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before="0"/>
      </w:pPr>
      <w:r>
        <w:rPr>
          <w:rFonts w:ascii="Arial" w:cs="Arial" w:eastAsia="Arial" w:hAnsi="Arial"/>
          <w:sz w:val="22"/>
          <w:szCs w:val="22"/>
        </w:rPr>
        <w:t xml:space="preserve"/>
      </w:r>
    </w:p>
    <w:p>
      <w:pPr>
        <w:spacing w:after="120" w:before="0"/>
        <w:jc w:val="center"/>
      </w:pPr>
      <w:r>
        <w:rPr>
          <w:rFonts w:ascii="Arial" w:cs="Arial" w:eastAsia="Arial" w:hAnsi="Arial"/>
          <w:b/>
          <w:bCs/>
          <w:color w:val="1B3A5C"/>
          <w:sz w:val="52"/>
          <w:szCs w:val="52"/>
        </w:rPr>
        <w:t xml:space="preserve">SILENT PATIENT POOL FINDER</w:t>
      </w:r>
    </w:p>
    <w:p>
      <w:pPr>
        <w:spacing w:after="80" w:before="0"/>
        <w:jc w:val="center"/>
      </w:pPr>
      <w:r>
        <w:rPr>
          <w:rFonts w:ascii="Arial" w:cs="Arial" w:eastAsia="Arial" w:hAnsi="Arial"/>
          <w:color w:val="7A8494"/>
          <w:sz w:val="30"/>
          <w:szCs w:val="30"/>
        </w:rPr>
        <w:t xml:space="preserve">Methodology &amp; Technical Reference</w:t>
      </w:r>
    </w:p>
    <w:p>
      <w:pPr>
        <w:pBdr>
          <w:bottom w:val="single" w:color="E63946" w:sz="6" w:space="1"/>
        </w:pBdr>
        <w:spacing w:after="200" w:before="0"/>
      </w:pPr>
      <w:r>
        <w:rPr>
          <w:rFonts w:ascii="Arial" w:cs="Arial" w:eastAsia="Arial" w:hAnsi="Arial"/>
          <w:sz w:val="22"/>
          <w:szCs w:val="22"/>
        </w:rPr>
        <w:t xml:space="preserve"/>
      </w:r>
    </w:p>
    <w:p>
      <w:pPr>
        <w:spacing w:after="0" w:before="0"/>
        <w:jc w:val="center"/>
      </w:pPr>
      <w:r>
        <w:rPr>
          <w:rFonts w:ascii="Arial" w:cs="Arial" w:eastAsia="Arial" w:hAnsi="Arial"/>
          <w:i/>
          <w:iCs/>
          <w:color w:val="555566"/>
          <w:sz w:val="22"/>
          <w:szCs w:val="22"/>
        </w:rPr>
        <w:t xml:space="preserve">Market Access Intelligence Platform for Chronic Disease Patient Identification</w:t>
      </w:r>
    </w:p>
    <w:p>
      <w:pPr>
        <w:spacing w:after="1200" w:before="0"/>
      </w:pPr>
      <w:r>
        <w:rPr>
          <w:rFonts w:ascii="Arial" w:cs="Arial" w:eastAsia="Arial" w:hAnsi="Arial"/>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8DEE4" w:sz="1"/>
              <w:left w:val="single" w:color="D8DEE4" w:sz="1"/>
              <w:bottom w:val="single" w:color="D8DEE4" w:sz="1"/>
              <w:right w:val="single" w:color="D8DEE4" w:sz="1"/>
            </w:tcBorders>
            <w:shd w:fill="F5F7FA" w:val="clear"/>
            <w:tcMar>
              <w:top w:type="dxa" w:w="200"/>
              <w:left w:type="dxa" w:w="400"/>
              <w:bottom w:type="dxa" w:w="200"/>
              <w:right w:type="dxa" w:w="400"/>
            </w:tcMar>
          </w:tcPr>
          <w:p>
            <w:pPr>
              <w:spacing w:after="80" w:before="0"/>
            </w:pPr>
            <w:r>
              <w:rPr>
                <w:rFonts w:ascii="Arial" w:cs="Arial" w:eastAsia="Arial" w:hAnsi="Arial"/>
                <w:b/>
                <w:bCs/>
                <w:color w:val="555566"/>
                <w:sz w:val="22"/>
                <w:szCs w:val="22"/>
              </w:rPr>
              <w:t xml:space="preserve">Version:  </w:t>
            </w:r>
            <w:r>
              <w:rPr>
                <w:rFonts w:ascii="Arial" w:cs="Arial" w:eastAsia="Arial" w:hAnsi="Arial"/>
                <w:color w:val="1A1A2E"/>
                <w:sz w:val="22"/>
                <w:szCs w:val="22"/>
              </w:rPr>
              <w:t xml:space="preserve">1.0   |   July 2026</w:t>
            </w:r>
          </w:p>
          <w:p>
            <w:pPr>
              <w:spacing w:after="80" w:before="0"/>
            </w:pPr>
            <w:r>
              <w:rPr>
                <w:rFonts w:ascii="Arial" w:cs="Arial" w:eastAsia="Arial" w:hAnsi="Arial"/>
                <w:b/>
                <w:bCs/>
                <w:color w:val="555566"/>
                <w:sz w:val="22"/>
                <w:szCs w:val="22"/>
              </w:rPr>
              <w:t xml:space="preserve">Classification:  </w:t>
            </w:r>
            <w:r>
              <w:rPr>
                <w:rFonts w:ascii="Arial" w:cs="Arial" w:eastAsia="Arial" w:hAnsi="Arial"/>
                <w:b/>
                <w:bCs/>
                <w:color w:val="E63946"/>
                <w:sz w:val="22"/>
                <w:szCs w:val="22"/>
              </w:rPr>
              <w:t xml:space="preserve">Confidential — Internal Use Only</w:t>
            </w:r>
          </w:p>
          <w:p>
            <w:pPr>
              <w:spacing w:after="0" w:before="0"/>
            </w:pPr>
            <w:r>
              <w:rPr>
                <w:rFonts w:ascii="Arial" w:cs="Arial" w:eastAsia="Arial" w:hAnsi="Arial"/>
                <w:b/>
                <w:bCs/>
                <w:color w:val="555566"/>
                <w:sz w:val="22"/>
                <w:szCs w:val="22"/>
              </w:rPr>
              <w:t xml:space="preserve">Prepared by:  </w:t>
            </w:r>
            <w:r>
              <w:rPr>
                <w:rFonts w:ascii="Arial" w:cs="Arial" w:eastAsia="Arial" w:hAnsi="Arial"/>
                <w:color w:val="1A1A2E"/>
                <w:sz w:val="22"/>
                <w:szCs w:val="22"/>
              </w:rPr>
              <w:t xml:space="preserve">Market Access Analytics</w:t>
            </w:r>
          </w:p>
        </w:tc>
      </w:tr>
    </w:tbl>
    <w:p>
      <w:pPr>
        <w:spacing w:after="2400" w:before="0"/>
      </w:pPr>
      <w:r>
        <w:rPr>
          <w:rFonts w:ascii="Arial" w:cs="Arial" w:eastAsia="Arial" w:hAnsi="Arial"/>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1B3A5C" w:val="clear"/>
            <w:tcMar>
              <w:top w:type="dxa" w:w="180"/>
              <w:left w:type="dxa" w:w="240"/>
              <w:bottom w:type="dxa" w:w="180"/>
              <w:right w:type="dxa" w:w="240"/>
            </w:tcMar>
          </w:tcPr>
          <w:p>
            <w:pPr>
              <w:spacing w:after="0" w:before="0"/>
            </w:pPr>
            <w:r>
              <w:rPr>
                <w:rFonts w:ascii="Arial" w:cs="Arial" w:eastAsia="Arial" w:hAnsi="Arial"/>
                <w:b/>
                <w:bCs/>
                <w:color w:val="FFFFFF"/>
                <w:sz w:val="30"/>
                <w:szCs w:val="30"/>
              </w:rPr>
              <w:t xml:space="preserve">1.   EXECUTIVE SUMMARY</w:t>
            </w:r>
          </w:p>
        </w:tc>
      </w:tr>
    </w:tbl>
    <w:p>
      <w:pPr>
        <w:spacing w:after="160" w:before="0"/>
      </w:pPr>
      <w:r>
        <w:rPr>
          <w:rFonts w:ascii="Arial" w:cs="Arial" w:eastAsia="Arial" w:hAnsi="Arial"/>
          <w:sz w:val="22"/>
          <w:szCs w:val="22"/>
        </w:rPr>
        <w:t xml:space="preserve"/>
      </w:r>
    </w:p>
    <w:p>
      <w:pPr>
        <w:spacing w:after="140" w:before="0"/>
      </w:pPr>
      <w:r>
        <w:rPr>
          <w:rFonts w:ascii="Arial" w:cs="Arial" w:eastAsia="Arial" w:hAnsi="Arial"/>
          <w:color w:val="1A1A2E"/>
          <w:sz w:val="22"/>
          <w:szCs w:val="22"/>
        </w:rPr>
        <w:t xml:space="preserve">The Silent Patient Pool Finder (SPPF) is a market access intelligence platform that scores every US county and ZIP Code Tabulation Area (ZCTA) across seven clinically grounded dimensions to identify where undiagnosed chronic disease burden is highest, where the healthcare system is least likely to catch it, and which type of program is most likely to convert that gap into diagnosed, treated patients.</w:t>
      </w:r>
    </w:p>
    <w:p>
      <w:pPr>
        <w:spacing w:after="140" w:before="0"/>
      </w:pPr>
      <w:r>
        <w:rPr>
          <w:rFonts w:ascii="Arial" w:cs="Arial" w:eastAsia="Arial" w:hAnsi="Arial"/>
          <w:color w:val="1A1A2E"/>
          <w:sz w:val="22"/>
          <w:szCs w:val="22"/>
        </w:rPr>
        <w:t xml:space="preserve">SPPF was built to answer the question that pharma market access teams face at every launch: where do we go first, and how do we make the case to a payer or health system? The platform provides an evidence-based, reproducible answer using exclusively publicly available government data — no proprietary data purchases required.</w:t>
      </w:r>
    </w:p>
    <w:p>
      <w:pPr>
        <w:spacing w:after="100" w:before="0"/>
      </w:pPr>
      <w:r>
        <w:rPr>
          <w:rFonts w:ascii="Arial" w:cs="Arial" w:eastAsia="Arial" w:hAnsi="Arial"/>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1944"/>
        <w:gridCol w:w="1944"/>
        <w:gridCol w:w="1944"/>
      </w:tblGrid>
      <w:tr>
        <w:tc>
          <w:tcPr>
            <w:tcW w:type="dxa" w:w="1944"/>
            <w:tcBorders>
              <w:top w:val="none" w:color="FFFFFF" w:sz="0"/>
              <w:left w:val="none" w:color="FFFFFF" w:sz="0"/>
              <w:bottom w:val="none" w:color="FFFFFF" w:sz="0"/>
              <w:right w:val="single" w:color="FFFFFF" w:sz="3"/>
            </w:tcBorders>
            <w:shd w:fill="1B3A5C" w:val="clear"/>
            <w:tcMar>
              <w:top w:type="dxa" w:w="160"/>
              <w:left w:type="dxa" w:w="80"/>
              <w:bottom w:type="dxa" w:w="160"/>
              <w:right w:type="dxa" w:w="80"/>
            </w:tcMar>
            <w:vAlign w:val="center"/>
          </w:tcPr>
          <w:p>
            <w:pPr>
              <w:spacing w:after="40" w:before="0"/>
              <w:jc w:val="center"/>
            </w:pPr>
            <w:r>
              <w:rPr>
                <w:rFonts w:ascii="Arial" w:cs="Arial" w:eastAsia="Arial" w:hAnsi="Arial"/>
                <w:b/>
                <w:bCs/>
                <w:color w:val="FFFFFF"/>
                <w:sz w:val="56"/>
                <w:szCs w:val="56"/>
              </w:rPr>
              <w:t xml:space="preserve">3,143</w:t>
            </w:r>
          </w:p>
          <w:p>
            <w:pPr>
              <w:spacing w:after="0" w:before="0"/>
              <w:jc w:val="center"/>
            </w:pPr>
            <w:r>
              <w:rPr>
                <w:rFonts w:ascii="Arial" w:cs="Arial" w:eastAsia="Arial" w:hAnsi="Arial"/>
                <w:color w:val="D0DCE8"/>
                <w:sz w:val="18"/>
                <w:szCs w:val="18"/>
              </w:rPr>
              <w:t xml:space="preserve">Counties Scored</w:t>
            </w:r>
          </w:p>
        </w:tc>
        <w:tc>
          <w:tcPr>
            <w:tcW w:type="dxa" w:w="1944"/>
            <w:tcBorders>
              <w:top w:val="none" w:color="FFFFFF" w:sz="0"/>
              <w:left w:val="none" w:color="FFFFFF" w:sz="0"/>
              <w:bottom w:val="none" w:color="FFFFFF" w:sz="0"/>
              <w:right w:val="single" w:color="FFFFFF" w:sz="3"/>
            </w:tcBorders>
            <w:shd w:fill="E63946" w:val="clear"/>
            <w:tcMar>
              <w:top w:type="dxa" w:w="160"/>
              <w:left w:type="dxa" w:w="80"/>
              <w:bottom w:type="dxa" w:w="160"/>
              <w:right w:type="dxa" w:w="80"/>
            </w:tcMar>
            <w:vAlign w:val="center"/>
          </w:tcPr>
          <w:p>
            <w:pPr>
              <w:spacing w:after="40" w:before="0"/>
              <w:jc w:val="center"/>
            </w:pPr>
            <w:r>
              <w:rPr>
                <w:rFonts w:ascii="Arial" w:cs="Arial" w:eastAsia="Arial" w:hAnsi="Arial"/>
                <w:b/>
                <w:bCs/>
                <w:color w:val="FFFFFF"/>
                <w:sz w:val="56"/>
                <w:szCs w:val="56"/>
              </w:rPr>
              <w:t xml:space="preserve">33,774</w:t>
            </w:r>
          </w:p>
          <w:p>
            <w:pPr>
              <w:spacing w:after="0" w:before="0"/>
              <w:jc w:val="center"/>
            </w:pPr>
            <w:r>
              <w:rPr>
                <w:rFonts w:ascii="Arial" w:cs="Arial" w:eastAsia="Arial" w:hAnsi="Arial"/>
                <w:color w:val="D0DCE8"/>
                <w:sz w:val="18"/>
                <w:szCs w:val="18"/>
              </w:rPr>
              <w:t xml:space="preserve">ZIPs Scored</w:t>
            </w:r>
          </w:p>
        </w:tc>
        <w:tc>
          <w:tcPr>
            <w:tcW w:type="dxa" w:w="1944"/>
            <w:tcBorders>
              <w:top w:val="none" w:color="FFFFFF" w:sz="0"/>
              <w:left w:val="none" w:color="FFFFFF" w:sz="0"/>
              <w:bottom w:val="none" w:color="FFFFFF" w:sz="0"/>
              <w:right w:val="single" w:color="FFFFFF" w:sz="3"/>
            </w:tcBorders>
            <w:shd w:fill="2A9D8F" w:val="clear"/>
            <w:tcMar>
              <w:top w:type="dxa" w:w="160"/>
              <w:left w:type="dxa" w:w="80"/>
              <w:bottom w:type="dxa" w:w="160"/>
              <w:right w:type="dxa" w:w="80"/>
            </w:tcMar>
            <w:vAlign w:val="center"/>
          </w:tcPr>
          <w:p>
            <w:pPr>
              <w:spacing w:after="40" w:before="0"/>
              <w:jc w:val="center"/>
            </w:pPr>
            <w:r>
              <w:rPr>
                <w:rFonts w:ascii="Arial" w:cs="Arial" w:eastAsia="Arial" w:hAnsi="Arial"/>
                <w:b/>
                <w:bCs/>
                <w:color w:val="FFFFFF"/>
                <w:sz w:val="56"/>
                <w:szCs w:val="56"/>
              </w:rPr>
              <w:t xml:space="preserve">7</w:t>
            </w:r>
          </w:p>
          <w:p>
            <w:pPr>
              <w:spacing w:after="0" w:before="0"/>
              <w:jc w:val="center"/>
            </w:pPr>
            <w:r>
              <w:rPr>
                <w:rFonts w:ascii="Arial" w:cs="Arial" w:eastAsia="Arial" w:hAnsi="Arial"/>
                <w:color w:val="D0DCE8"/>
                <w:sz w:val="18"/>
                <w:szCs w:val="18"/>
              </w:rPr>
              <w:t xml:space="preserve">Dimensions</w:t>
            </w:r>
          </w:p>
        </w:tc>
        <w:tc>
          <w:tcPr>
            <w:tcW w:type="dxa" w:w="1944"/>
            <w:tcBorders>
              <w:top w:val="none" w:color="FFFFFF" w:sz="0"/>
              <w:left w:val="none" w:color="FFFFFF" w:sz="0"/>
              <w:bottom w:val="none" w:color="FFFFFF" w:sz="0"/>
              <w:right w:val="single" w:color="FFFFFF" w:sz="3"/>
            </w:tcBorders>
            <w:shd w:fill="457B9D" w:val="clear"/>
            <w:tcMar>
              <w:top w:type="dxa" w:w="160"/>
              <w:left w:type="dxa" w:w="80"/>
              <w:bottom w:type="dxa" w:w="160"/>
              <w:right w:type="dxa" w:w="80"/>
            </w:tcMar>
            <w:vAlign w:val="center"/>
          </w:tcPr>
          <w:p>
            <w:pPr>
              <w:spacing w:after="40" w:before="0"/>
              <w:jc w:val="center"/>
            </w:pPr>
            <w:r>
              <w:rPr>
                <w:rFonts w:ascii="Arial" w:cs="Arial" w:eastAsia="Arial" w:hAnsi="Arial"/>
                <w:b/>
                <w:bCs/>
                <w:color w:val="FFFFFF"/>
                <w:sz w:val="56"/>
                <w:szCs w:val="56"/>
              </w:rPr>
              <w:t xml:space="preserve">7</w:t>
            </w:r>
          </w:p>
          <w:p>
            <w:pPr>
              <w:spacing w:after="0" w:before="0"/>
              <w:jc w:val="center"/>
            </w:pPr>
            <w:r>
              <w:rPr>
                <w:rFonts w:ascii="Arial" w:cs="Arial" w:eastAsia="Arial" w:hAnsi="Arial"/>
                <w:color w:val="D0DCE8"/>
                <w:sz w:val="18"/>
                <w:szCs w:val="18"/>
              </w:rPr>
              <w:t xml:space="preserve">Real Data Sources</w:t>
            </w:r>
          </w:p>
        </w:tc>
        <w:tc>
          <w:tcPr>
            <w:tcW w:type="dxa" w:w="1944"/>
            <w:tcBorders>
              <w:top w:val="none" w:color="FFFFFF" w:sz="0"/>
              <w:left w:val="none" w:color="FFFFFF" w:sz="0"/>
              <w:bottom w:val="none" w:color="FFFFFF" w:sz="0"/>
              <w:right w:val="single" w:color="FFFFFF" w:sz="3"/>
            </w:tcBorders>
            <w:shd w:fill="8338EC" w:val="clear"/>
            <w:tcMar>
              <w:top w:type="dxa" w:w="160"/>
              <w:left w:type="dxa" w:w="80"/>
              <w:bottom w:type="dxa" w:w="160"/>
              <w:right w:type="dxa" w:w="80"/>
            </w:tcMar>
            <w:vAlign w:val="center"/>
          </w:tcPr>
          <w:p>
            <w:pPr>
              <w:spacing w:after="40" w:before="0"/>
              <w:jc w:val="center"/>
            </w:pPr>
            <w:r>
              <w:rPr>
                <w:rFonts w:ascii="Arial" w:cs="Arial" w:eastAsia="Arial" w:hAnsi="Arial"/>
                <w:b/>
                <w:bCs/>
                <w:color w:val="FFFFFF"/>
                <w:sz w:val="56"/>
                <w:szCs w:val="56"/>
              </w:rPr>
              <w:t xml:space="preserve">3</w:t>
            </w:r>
          </w:p>
          <w:p>
            <w:pPr>
              <w:spacing w:after="0" w:before="0"/>
              <w:jc w:val="center"/>
            </w:pPr>
            <w:r>
              <w:rPr>
                <w:rFonts w:ascii="Arial" w:cs="Arial" w:eastAsia="Arial" w:hAnsi="Arial"/>
                <w:color w:val="D0DCE8"/>
                <w:sz w:val="18"/>
                <w:szCs w:val="18"/>
              </w:rPr>
              <w:t xml:space="preserve">Conditions</w:t>
            </w:r>
          </w:p>
        </w:tc>
      </w:tr>
    </w:tbl>
    <w:p>
      <w:pPr>
        <w:spacing w:after="160" w:before="0"/>
      </w:pPr>
      <w:r>
        <w:rPr>
          <w:rFonts w:ascii="Arial" w:cs="Arial" w:eastAsia="Arial" w:hAnsi="Arial"/>
          <w:sz w:val="22"/>
          <w:szCs w:val="22"/>
        </w:rPr>
        <w:t xml:space="preserve"/>
      </w:r>
    </w:p>
    <w:p>
      <w:pPr>
        <w:spacing w:after="140" w:before="0"/>
      </w:pPr>
      <w:r>
        <w:rPr>
          <w:rFonts w:ascii="Arial" w:cs="Arial" w:eastAsia="Arial" w:hAnsi="Arial"/>
          <w:color w:val="1A1A2E"/>
          <w:sz w:val="22"/>
          <w:szCs w:val="22"/>
        </w:rPr>
        <w:t xml:space="preserve">The scoring framework evaluates each geography on disease burden, diagnosis gap, access to care, social determinants, payer landscape, commercial readiness, and opportunity trajectory. Each dimension is scored 0–100 using real public data and combined into a composite Opportunity Score via a weighted sum. Counties scoring ≥55 are designated Priority markets; 40–54 are Emerging; below 40 are Developing.</w:t>
      </w:r>
    </w:p>
    <w:p>
      <w:pPr>
        <w:spacing w:after="140" w:before="0"/>
      </w:pPr>
      <w:r>
        <w:rPr>
          <w:rFonts w:ascii="Arial" w:cs="Arial" w:eastAsia="Arial" w:hAnsi="Arial"/>
          <w:color w:val="1A1A2E"/>
          <w:sz w:val="22"/>
          <w:szCs w:val="22"/>
        </w:rPr>
        <w:t xml:space="preserve">For every geography, the platform recommends the intervention type most likely to succeed given the specific dimensional profile — Payer Partnership, Community Health Center Partnership, Employer Wellness, Digital Health, or Pharmacy-Based Screening. This recommendation is rule-based and transparent, derived directly from the scoring outputs.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1B3A5C" w:sz="10"/>
              <w:bottom w:val="none" w:color="FFFFFF" w:sz="0"/>
              <w:right w:val="none" w:color="FFFFFF" w:sz="0"/>
            </w:tcBorders>
            <w:shd w:fill="F5F7FA" w:val="clear"/>
            <w:tcMar>
              <w:top w:type="dxa" w:w="120"/>
              <w:left w:type="dxa" w:w="220"/>
              <w:bottom w:type="dxa" w:w="120"/>
              <w:right w:type="dxa" w:w="220"/>
            </w:tcMar>
          </w:tcPr>
          <w:p>
            <w:pPr>
              <w:spacing w:after="0" w:before="0"/>
            </w:pPr>
            <w:r>
              <w:rPr>
                <w:rFonts w:ascii="Arial" w:cs="Arial" w:eastAsia="Arial" w:hAnsi="Arial"/>
                <w:i/>
                <w:iCs/>
                <w:color w:val="1A1A2E"/>
                <w:sz w:val="22"/>
                <w:szCs w:val="22"/>
              </w:rPr>
              <w:t xml:space="preserve">SPPF uses no proprietary or syndicated data. Every score is reproducible from publicly available government sources: CDC, Census Bureau, CMS, HRSA, USDA, and the Robert Wood Johnson Foundation. This makes the output defensible in any payer or health system conversation.</w:t>
            </w:r>
          </w:p>
        </w:tc>
      </w:tr>
    </w:tbl>
    <w:p>
      <w:pPr>
        <w:spacing w:after="100" w:before="0"/>
      </w:pPr>
      <w:r>
        <w:rPr>
          <w:rFonts w:ascii="Arial" w:cs="Arial" w:eastAsia="Arial" w:hAnsi="Arial"/>
          <w:sz w:val="22"/>
          <w:szCs w:val="22"/>
        </w:rPr>
        <w:t xml:space="preserve"/>
      </w:r>
    </w:p>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1B3A5C" w:val="clear"/>
            <w:tcMar>
              <w:top w:type="dxa" w:w="180"/>
              <w:left w:type="dxa" w:w="240"/>
              <w:bottom w:type="dxa" w:w="180"/>
              <w:right w:type="dxa" w:w="240"/>
            </w:tcMar>
          </w:tcPr>
          <w:p>
            <w:pPr>
              <w:spacing w:after="0" w:before="0"/>
            </w:pPr>
            <w:r>
              <w:rPr>
                <w:rFonts w:ascii="Arial" w:cs="Arial" w:eastAsia="Arial" w:hAnsi="Arial"/>
                <w:b/>
                <w:bCs/>
                <w:color w:val="FFFFFF"/>
                <w:sz w:val="30"/>
                <w:szCs w:val="30"/>
              </w:rPr>
              <w:t xml:space="preserve">2.   THE UNDIAGNOSED CHRONIC DISEASE PROBLEM</w:t>
            </w:r>
          </w:p>
        </w:tc>
      </w:tr>
    </w:tbl>
    <w:p>
      <w:pPr>
        <w:spacing w:after="160" w:before="0"/>
      </w:pPr>
      <w:r>
        <w:rPr>
          <w:rFonts w:ascii="Arial" w:cs="Arial" w:eastAsia="Arial" w:hAnsi="Arial"/>
          <w:sz w:val="22"/>
          <w:szCs w:val="22"/>
        </w:rPr>
        <w:t xml:space="preserve"/>
      </w:r>
    </w:p>
    <w:p>
      <w:pPr>
        <w:spacing w:after="140" w:before="0"/>
      </w:pPr>
      <w:r>
        <w:rPr>
          <w:rFonts w:ascii="Arial" w:cs="Arial" w:eastAsia="Arial" w:hAnsi="Arial"/>
          <w:color w:val="1A1A2E"/>
          <w:sz w:val="22"/>
          <w:szCs w:val="22"/>
        </w:rPr>
        <w:t xml:space="preserve">Chronic conditions — type 2 diabetes (T2D), hypertension (HTN), and hypothyroidism — represent among the highest-burden, highest-cost conditions in the US healthcare system. Yet a substantial fraction of affected individuals remain undiagnosed and untreated, creating both a significant public health problem and a commercially addressable market.</w:t>
      </w:r>
    </w:p>
    <w:p>
      <w:pPr>
        <w:spacing w:after="80" w:before="0"/>
      </w:pPr>
      <w:r>
        <w:rPr>
          <w:rFonts w:ascii="Arial" w:cs="Arial" w:eastAsia="Arial" w:hAnsi="Arial"/>
          <w:sz w:val="22"/>
          <w:szCs w:val="22"/>
        </w:rPr>
        <w:t xml:space="preserve"/>
      </w:r>
    </w:p>
    <w:p>
      <w:pPr>
        <w:pBdr>
          <w:bottom w:val="single" w:color="1B3A5C" w:sz="2" w:space="4"/>
        </w:pBdr>
        <w:spacing w:after="100" w:before="260"/>
      </w:pPr>
      <w:r>
        <w:rPr>
          <w:rFonts w:ascii="Arial" w:cs="Arial" w:eastAsia="Arial" w:hAnsi="Arial"/>
          <w:b/>
          <w:bCs/>
          <w:color w:val="1B3A5C"/>
          <w:sz w:val="26"/>
          <w:szCs w:val="26"/>
        </w:rPr>
        <w:t xml:space="preserve">Scale of the Undiagnosed Population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400"/>
        <w:gridCol w:w="3120"/>
      </w:tblGrid>
      <w:tr>
        <w:trPr>
          <w:tblHeader/>
        </w:trPr>
        <w:tc>
          <w:tcPr>
            <w:tcW w:type="dxa" w:w="20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Condition</w:t>
            </w:r>
          </w:p>
        </w:tc>
        <w:tc>
          <w:tcPr>
            <w:tcW w:type="dxa" w:w="16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Total Prevalence</w:t>
            </w:r>
          </w:p>
        </w:tc>
        <w:tc>
          <w:tcPr>
            <w:tcW w:type="dxa" w:w="16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Estimated Undiagnosed</w:t>
            </w:r>
          </w:p>
        </w:tc>
        <w:tc>
          <w:tcPr>
            <w:tcW w:type="dxa" w:w="14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Undiagnosed Rate</w:t>
            </w:r>
          </w:p>
        </w:tc>
        <w:tc>
          <w:tcPr>
            <w:tcW w:type="dxa" w:w="312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Primary Source</w:t>
            </w:r>
          </w:p>
        </w:tc>
      </w:tr>
      <w:tr>
        <w:tc>
          <w:tcPr>
            <w:tcW w:type="dxa" w:w="20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Type 2 Diabetes</w:t>
            </w:r>
          </w:p>
        </w:tc>
        <w:tc>
          <w:tcPr>
            <w:tcW w:type="dxa" w:w="16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37.3 million</w:t>
            </w:r>
          </w:p>
        </w:tc>
        <w:tc>
          <w:tcPr>
            <w:tcW w:type="dxa" w:w="16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8.5 million</w:t>
            </w:r>
          </w:p>
        </w:tc>
        <w:tc>
          <w:tcPr>
            <w:tcW w:type="dxa" w:w="14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23.1%</w:t>
            </w:r>
          </w:p>
        </w:tc>
        <w:tc>
          <w:tcPr>
            <w:tcW w:type="dxa" w:w="31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ADA / CDC National Diabetes Statistics Report 2022</w:t>
            </w:r>
          </w:p>
        </w:tc>
      </w:tr>
      <w:tr>
        <w:tc>
          <w:tcPr>
            <w:tcW w:type="dxa" w:w="20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Hypertension</w:t>
            </w:r>
          </w:p>
        </w:tc>
        <w:tc>
          <w:tcPr>
            <w:tcW w:type="dxa" w:w="16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122.4 million</w:t>
            </w:r>
          </w:p>
        </w:tc>
        <w:tc>
          <w:tcPr>
            <w:tcW w:type="dxa" w:w="16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33 million</w:t>
            </w:r>
          </w:p>
        </w:tc>
        <w:tc>
          <w:tcPr>
            <w:tcW w:type="dxa" w:w="14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27.0%</w:t>
            </w:r>
          </w:p>
        </w:tc>
        <w:tc>
          <w:tcPr>
            <w:tcW w:type="dxa" w:w="312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American Heart Association Heart Disease Statistics 2023</w:t>
            </w:r>
          </w:p>
        </w:tc>
      </w:tr>
      <w:tr>
        <w:tc>
          <w:tcPr>
            <w:tcW w:type="dxa" w:w="20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Hypothyroidism</w:t>
            </w:r>
          </w:p>
        </w:tc>
        <w:tc>
          <w:tcPr>
            <w:tcW w:type="dxa" w:w="16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~20 million</w:t>
            </w:r>
          </w:p>
        </w:tc>
        <w:tc>
          <w:tcPr>
            <w:tcW w:type="dxa" w:w="16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~10 million</w:t>
            </w:r>
          </w:p>
        </w:tc>
        <w:tc>
          <w:tcPr>
            <w:tcW w:type="dxa" w:w="14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~50%</w:t>
            </w:r>
          </w:p>
        </w:tc>
        <w:tc>
          <w:tcPr>
            <w:tcW w:type="dxa" w:w="31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American Thyroid Association / Vanderbilt clinical data</w:t>
            </w:r>
          </w:p>
        </w:tc>
      </w:tr>
    </w:tbl>
    <w:p>
      <w:pPr>
        <w:spacing w:after="160" w:before="0"/>
      </w:pPr>
      <w:r>
        <w:rPr>
          <w:rFonts w:ascii="Arial" w:cs="Arial" w:eastAsia="Arial" w:hAnsi="Arial"/>
          <w:sz w:val="22"/>
          <w:szCs w:val="22"/>
        </w:rPr>
        <w:t xml:space="preserve"/>
      </w:r>
    </w:p>
    <w:p>
      <w:pPr>
        <w:pBdr>
          <w:bottom w:val="single" w:color="1B3A5C" w:sz="2" w:space="4"/>
        </w:pBdr>
        <w:spacing w:after="100" w:before="260"/>
      </w:pPr>
      <w:r>
        <w:rPr>
          <w:rFonts w:ascii="Arial" w:cs="Arial" w:eastAsia="Arial" w:hAnsi="Arial"/>
          <w:b/>
          <w:bCs/>
          <w:color w:val="1B3A5C"/>
          <w:sz w:val="26"/>
          <w:szCs w:val="26"/>
        </w:rPr>
        <w:t xml:space="preserve">Why Traditional Approaches Fall Short</w:t>
      </w:r>
    </w:p>
    <w:p>
      <w:pPr>
        <w:spacing w:after="140" w:before="0"/>
      </w:pPr>
      <w:r>
        <w:rPr>
          <w:rFonts w:ascii="Arial" w:cs="Arial" w:eastAsia="Arial" w:hAnsi="Arial"/>
          <w:color w:val="1A1A2E"/>
          <w:sz w:val="22"/>
          <w:szCs w:val="22"/>
        </w:rPr>
        <w:t xml:space="preserve">Standard market segmentation approaches — physician target lists, prescription data, claims analysis — are inherently backward-looking: they identify markets where diagnosis and treatment are already happening. They systematically miss the geographies where the problem is largest but healthcare engagement is lowest.</w:t>
      </w:r>
    </w:p>
    <w:p>
      <w:pPr>
        <w:pStyle w:val="ListParagraph"/>
        <w:numPr>
          <w:ilvl w:val="0"/>
          <w:numId w:val="2"/>
        </w:numPr>
        <w:spacing w:after="70" w:before="0"/>
      </w:pPr>
      <w:r>
        <w:rPr>
          <w:rFonts w:ascii="Arial" w:cs="Arial" w:eastAsia="Arial" w:hAnsi="Arial"/>
          <w:b w:val="false"/>
          <w:bCs w:val="false"/>
          <w:color w:val="1A1A2E"/>
          <w:sz w:val="22"/>
          <w:szCs w:val="22"/>
        </w:rPr>
        <w:t xml:space="preserve">Claims-based analysis cannot see undiagnosed patients by definition — they have no claims.</w:t>
      </w:r>
    </w:p>
    <w:p>
      <w:pPr>
        <w:pStyle w:val="ListParagraph"/>
        <w:numPr>
          <w:ilvl w:val="0"/>
          <w:numId w:val="2"/>
        </w:numPr>
        <w:spacing w:after="70" w:before="0"/>
      </w:pPr>
      <w:r>
        <w:rPr>
          <w:rFonts w:ascii="Arial" w:cs="Arial" w:eastAsia="Arial" w:hAnsi="Arial"/>
          <w:b w:val="false"/>
          <w:bCs w:val="false"/>
          <w:color w:val="1A1A2E"/>
          <w:sz w:val="22"/>
          <w:szCs w:val="22"/>
        </w:rPr>
        <w:t xml:space="preserve">Physician targeting overlooks the structural barriers (poverty, food insecurity, rural isolation) that determine whether an identified patient will follow through on a referral.</w:t>
      </w:r>
    </w:p>
    <w:p>
      <w:pPr>
        <w:pStyle w:val="ListParagraph"/>
        <w:numPr>
          <w:ilvl w:val="0"/>
          <w:numId w:val="2"/>
        </w:numPr>
        <w:spacing w:after="70" w:before="0"/>
      </w:pPr>
      <w:r>
        <w:rPr>
          <w:rFonts w:ascii="Arial" w:cs="Arial" w:eastAsia="Arial" w:hAnsi="Arial"/>
          <w:b w:val="false"/>
          <w:bCs w:val="false"/>
          <w:color w:val="1A1A2E"/>
          <w:sz w:val="22"/>
          <w:szCs w:val="22"/>
        </w:rPr>
        <w:t xml:space="preserve">National averages mask enormous county-level variation: diabetes prevalence ranges from 5.2% to 22.4% across US counties, a more than 4× spread.</w:t>
      </w:r>
    </w:p>
    <w:p>
      <w:pPr>
        <w:spacing w:after="80" w:before="0"/>
      </w:pPr>
      <w:r>
        <w:rPr>
          <w:rFonts w:ascii="Arial" w:cs="Arial" w:eastAsia="Arial" w:hAnsi="Arial"/>
          <w:sz w:val="22"/>
          <w:szCs w:val="22"/>
        </w:rPr>
        <w:t xml:space="preserve"/>
      </w:r>
    </w:p>
    <w:p>
      <w:pPr>
        <w:pBdr>
          <w:bottom w:val="single" w:color="1B3A5C" w:sz="2" w:space="4"/>
        </w:pBdr>
        <w:spacing w:after="100" w:before="260"/>
      </w:pPr>
      <w:r>
        <w:rPr>
          <w:rFonts w:ascii="Arial" w:cs="Arial" w:eastAsia="Arial" w:hAnsi="Arial"/>
          <w:b/>
          <w:bCs/>
          <w:color w:val="1B3A5C"/>
          <w:sz w:val="26"/>
          <w:szCs w:val="26"/>
        </w:rPr>
        <w:t xml:space="preserve">The SPPF Approach</w:t>
      </w:r>
    </w:p>
    <w:p>
      <w:pPr>
        <w:spacing w:after="140" w:before="0"/>
      </w:pPr>
      <w:r>
        <w:rPr>
          <w:rFonts w:ascii="Arial" w:cs="Arial" w:eastAsia="Arial" w:hAnsi="Arial"/>
          <w:color w:val="1A1A2E"/>
          <w:sz w:val="22"/>
          <w:szCs w:val="22"/>
        </w:rPr>
        <w:t xml:space="preserve">SPPF inverts the traditional approach. Instead of starting with diagnosed patient claims, it starts with population-level disease burden estimates from the CDC and Census, then identifies where the gap between burden and treatment is widest, and then overlays access infrastructure, social determinants, and payer incentives to produce an actionable market prioritization.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E63946" w:sz="10"/>
              <w:bottom w:val="none" w:color="FFFFFF" w:sz="0"/>
              <w:right w:val="none" w:color="FFFFFF" w:sz="0"/>
            </w:tcBorders>
            <w:shd w:fill="F5F7FA" w:val="clear"/>
            <w:tcMar>
              <w:top w:type="dxa" w:w="120"/>
              <w:left w:type="dxa" w:w="220"/>
              <w:bottom w:type="dxa" w:w="120"/>
              <w:right w:type="dxa" w:w="220"/>
            </w:tcMar>
          </w:tcPr>
          <w:p>
            <w:pPr>
              <w:spacing w:after="0" w:before="0"/>
            </w:pPr>
            <w:r>
              <w:rPr>
                <w:rFonts w:ascii="Arial" w:cs="Arial" w:eastAsia="Arial" w:hAnsi="Arial"/>
                <w:i/>
                <w:iCs/>
                <w:color w:val="1A1A2E"/>
                <w:sz w:val="22"/>
                <w:szCs w:val="22"/>
              </w:rPr>
              <w:t xml:space="preserve">The core insight: the largest market opportunity is not where the most patients are already diagnosed — it is where the most patients exist but have never been found.</w:t>
            </w:r>
          </w:p>
        </w:tc>
      </w:tr>
    </w:tbl>
    <w:p>
      <w:pPr>
        <w:spacing w:after="100" w:before="0"/>
      </w:pPr>
      <w:r>
        <w:rPr>
          <w:rFonts w:ascii="Arial" w:cs="Arial" w:eastAsia="Arial" w:hAnsi="Arial"/>
          <w:sz w:val="22"/>
          <w:szCs w:val="22"/>
        </w:rPr>
        <w:t xml:space="preserve"/>
      </w:r>
    </w:p>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1B3A5C" w:val="clear"/>
            <w:tcMar>
              <w:top w:type="dxa" w:w="180"/>
              <w:left w:type="dxa" w:w="240"/>
              <w:bottom w:type="dxa" w:w="180"/>
              <w:right w:type="dxa" w:w="240"/>
            </w:tcMar>
          </w:tcPr>
          <w:p>
            <w:pPr>
              <w:spacing w:after="0" w:before="0"/>
            </w:pPr>
            <w:r>
              <w:rPr>
                <w:rFonts w:ascii="Arial" w:cs="Arial" w:eastAsia="Arial" w:hAnsi="Arial"/>
                <w:b/>
                <w:bCs/>
                <w:color w:val="FFFFFF"/>
                <w:sz w:val="30"/>
                <w:szCs w:val="30"/>
              </w:rPr>
              <w:t xml:space="preserve">3.   PLATFORM OVERVIEW</w:t>
            </w:r>
          </w:p>
        </w:tc>
      </w:tr>
    </w:tbl>
    <w:p>
      <w:pPr>
        <w:spacing w:after="160" w:before="0"/>
      </w:pPr>
      <w:r>
        <w:rPr>
          <w:rFonts w:ascii="Arial" w:cs="Arial" w:eastAsia="Arial" w:hAnsi="Arial"/>
          <w:sz w:val="22"/>
          <w:szCs w:val="22"/>
        </w:rPr>
        <w:t xml:space="preserve"/>
      </w:r>
    </w:p>
    <w:p>
      <w:pPr>
        <w:pBdr>
          <w:bottom w:val="single" w:color="1B3A5C" w:sz="2" w:space="4"/>
        </w:pBdr>
        <w:spacing w:after="100" w:before="260"/>
      </w:pPr>
      <w:r>
        <w:rPr>
          <w:rFonts w:ascii="Arial" w:cs="Arial" w:eastAsia="Arial" w:hAnsi="Arial"/>
          <w:b/>
          <w:bCs/>
          <w:color w:val="1B3A5C"/>
          <w:sz w:val="26"/>
          <w:szCs w:val="26"/>
        </w:rPr>
        <w:t xml:space="preserve">Architecture</w:t>
      </w:r>
    </w:p>
    <w:p>
      <w:pPr>
        <w:spacing w:after="140" w:before="0"/>
      </w:pPr>
      <w:r>
        <w:rPr>
          <w:rFonts w:ascii="Arial" w:cs="Arial" w:eastAsia="Arial" w:hAnsi="Arial"/>
          <w:color w:val="1A1A2E"/>
          <w:sz w:val="22"/>
          <w:szCs w:val="22"/>
        </w:rPr>
        <w:t xml:space="preserve">SPPF operates as a three-layer pipeline:</w:t>
      </w:r>
    </w:p>
    <w:p>
      <w:pPr>
        <w:pStyle w:val="ListParagraph"/>
        <w:numPr>
          <w:ilvl w:val="0"/>
          <w:numId w:val="2"/>
        </w:numPr>
        <w:spacing w:after="70" w:before="0"/>
      </w:pPr>
      <w:r>
        <w:rPr>
          <w:rFonts w:ascii="Arial" w:cs="Arial" w:eastAsia="Arial" w:hAnsi="Arial"/>
          <w:b/>
          <w:bCs/>
          <w:color w:val="1A1A2E"/>
          <w:sz w:val="22"/>
          <w:szCs w:val="22"/>
        </w:rPr>
        <w:t xml:space="preserve">Ingestion Layer: Downloads and caches raw data from seven government sources. All data is normalized to county FIPS or ZCTA identifier, enabling cross-source joins without commercial geocoding.</w:t>
      </w:r>
    </w:p>
    <w:p>
      <w:pPr>
        <w:pStyle w:val="ListParagraph"/>
        <w:numPr>
          <w:ilvl w:val="0"/>
          <w:numId w:val="2"/>
        </w:numPr>
        <w:spacing w:after="70" w:before="0"/>
      </w:pPr>
      <w:r>
        <w:rPr>
          <w:rFonts w:ascii="Arial" w:cs="Arial" w:eastAsia="Arial" w:hAnsi="Arial"/>
          <w:b/>
          <w:bCs/>
          <w:color w:val="1A1A2E"/>
          <w:sz w:val="22"/>
          <w:szCs w:val="22"/>
        </w:rPr>
        <w:t xml:space="preserve">Scoring Engine: Computes all seven dimension scores (0–100) for each geography using min-max normalization within the national sample, then produces a weighted composite Opportunity Score and assigns each county or ZIP to a priority tier.</w:t>
      </w:r>
    </w:p>
    <w:p>
      <w:pPr>
        <w:pStyle w:val="ListParagraph"/>
        <w:numPr>
          <w:ilvl w:val="0"/>
          <w:numId w:val="2"/>
        </w:numPr>
        <w:spacing w:after="70" w:before="0"/>
      </w:pPr>
      <w:r>
        <w:rPr>
          <w:rFonts w:ascii="Arial" w:cs="Arial" w:eastAsia="Arial" w:hAnsi="Arial"/>
          <w:b/>
          <w:bCs/>
          <w:color w:val="1A1A2E"/>
          <w:sz w:val="22"/>
          <w:szCs w:val="22"/>
        </w:rPr>
        <w:t xml:space="preserve">Dashboard Layer: A Streamlit application with seven analytical views — market overview, dimension analysis, investment planning, geographic maps, payer landscape, state drill-down, and ZIP territory analysis — plus a Territory Builder for field teams.</w:t>
      </w:r>
    </w:p>
    <w:p>
      <w:pPr>
        <w:spacing w:after="80" w:before="0"/>
      </w:pPr>
      <w:r>
        <w:rPr>
          <w:rFonts w:ascii="Arial" w:cs="Arial" w:eastAsia="Arial" w:hAnsi="Arial"/>
          <w:sz w:val="22"/>
          <w:szCs w:val="22"/>
        </w:rPr>
        <w:t xml:space="preserve"/>
      </w:r>
    </w:p>
    <w:p>
      <w:pPr>
        <w:pBdr>
          <w:bottom w:val="single" w:color="1B3A5C" w:sz="2" w:space="4"/>
        </w:pBdr>
        <w:spacing w:after="100" w:before="260"/>
      </w:pPr>
      <w:r>
        <w:rPr>
          <w:rFonts w:ascii="Arial" w:cs="Arial" w:eastAsia="Arial" w:hAnsi="Arial"/>
          <w:b/>
          <w:bCs/>
          <w:color w:val="1B3A5C"/>
          <w:sz w:val="26"/>
          <w:szCs w:val="26"/>
        </w:rPr>
        <w:t xml:space="preserve">Two-Level Geographic Coverage</w:t>
      </w:r>
    </w:p>
    <w:p>
      <w:pPr>
        <w:spacing w:after="140" w:before="0"/>
      </w:pPr>
      <w:r>
        <w:rPr>
          <w:rFonts w:ascii="Arial" w:cs="Arial" w:eastAsia="Arial" w:hAnsi="Arial"/>
          <w:color w:val="1A1A2E"/>
          <w:sz w:val="22"/>
          <w:szCs w:val="22"/>
        </w:rPr>
        <w:t xml:space="preserve">SPPF scores geographies at two resolutions: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1000"/>
        <w:gridCol w:w="4320"/>
      </w:tblGrid>
      <w:tr>
        <w:trPr>
          <w:tblHeader/>
        </w:trPr>
        <w:tc>
          <w:tcPr>
            <w:tcW w:type="dxa" w:w="12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Level</w:t>
            </w:r>
          </w:p>
        </w:tc>
        <w:tc>
          <w:tcPr>
            <w:tcW w:type="dxa" w:w="32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Unit</w:t>
            </w:r>
          </w:p>
        </w:tc>
        <w:tc>
          <w:tcPr>
            <w:tcW w:type="dxa" w:w="10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Count</w:t>
            </w:r>
          </w:p>
        </w:tc>
        <w:tc>
          <w:tcPr>
            <w:tcW w:type="dxa" w:w="432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Primary Use</w:t>
            </w:r>
          </w:p>
        </w:tc>
      </w:tr>
      <w:tr>
        <w:tc>
          <w:tcPr>
            <w:tcW w:type="dxa" w:w="12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County</w:t>
            </w:r>
          </w:p>
        </w:tc>
        <w:tc>
          <w:tcPr>
            <w:tcW w:type="dxa" w:w="32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US Counties and County Equivalents</w:t>
            </w:r>
          </w:p>
        </w:tc>
        <w:tc>
          <w:tcPr>
            <w:tcW w:type="dxa" w:w="10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3,143</w:t>
            </w:r>
          </w:p>
        </w:tc>
        <w:tc>
          <w:tcPr>
            <w:tcW w:type="dxa" w:w="43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Strategic market planning, payer partnership targeting, investment allocation</w:t>
            </w:r>
          </w:p>
        </w:tc>
      </w:tr>
      <w:tr>
        <w:tc>
          <w:tcPr>
            <w:tcW w:type="dxa" w:w="12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ZIP/ZCTA</w:t>
            </w:r>
          </w:p>
        </w:tc>
        <w:tc>
          <w:tcPr>
            <w:tcW w:type="dxa" w:w="32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ZIP Code Tabulation Areas (Census)</w:t>
            </w:r>
          </w:p>
        </w:tc>
        <w:tc>
          <w:tcPr>
            <w:tcW w:type="dxa" w:w="10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33,774</w:t>
            </w:r>
          </w:p>
        </w:tc>
        <w:tc>
          <w:tcPr>
            <w:tcW w:type="dxa" w:w="432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Field territory design, rep targeting, ZIP-level scorecard generation</w:t>
            </w:r>
          </w:p>
        </w:tc>
      </w:tr>
    </w:tbl>
    <w:p>
      <w:pPr>
        <w:spacing w:after="140" w:before="0"/>
      </w:pPr>
      <w:r>
        <w:rPr>
          <w:rFonts w:ascii="Arial" w:cs="Arial" w:eastAsia="Arial" w:hAnsi="Arial"/>
          <w:sz w:val="22"/>
          <w:szCs w:val="22"/>
        </w:rPr>
        <w:t xml:space="preserve"/>
      </w:r>
    </w:p>
    <w:p>
      <w:pPr>
        <w:spacing w:after="140" w:before="0"/>
      </w:pPr>
      <w:r>
        <w:rPr>
          <w:rFonts w:ascii="Arial" w:cs="Arial" w:eastAsia="Arial" w:hAnsi="Arial"/>
          <w:color w:val="1A1A2E"/>
          <w:sz w:val="22"/>
          <w:szCs w:val="22"/>
        </w:rPr>
        <w:t xml:space="preserve">ZIP-level scores are computed using real CDC PLACES and Census ACS data at the ZCTA level where available. For dimensions where ZCTA-level data is not published by the source (payer landscape, commercial readiness, trajectory), county-level dimension scores are downscaled to ZIP level using a population-weighted Census ZCTA-to-county crosswalk.</w:t>
      </w:r>
    </w:p>
    <w:p>
      <w:pPr>
        <w:spacing w:after="80" w:before="0"/>
      </w:pPr>
      <w:r>
        <w:rPr>
          <w:rFonts w:ascii="Arial" w:cs="Arial" w:eastAsia="Arial" w:hAnsi="Arial"/>
          <w:sz w:val="22"/>
          <w:szCs w:val="22"/>
        </w:rPr>
        <w:t xml:space="preserve"/>
      </w:r>
    </w:p>
    <w:p>
      <w:pPr>
        <w:pBdr>
          <w:bottom w:val="single" w:color="1B3A5C" w:sz="2" w:space="4"/>
        </w:pBdr>
        <w:spacing w:after="100" w:before="260"/>
      </w:pPr>
      <w:r>
        <w:rPr>
          <w:rFonts w:ascii="Arial" w:cs="Arial" w:eastAsia="Arial" w:hAnsi="Arial"/>
          <w:b/>
          <w:bCs/>
          <w:color w:val="1B3A5C"/>
          <w:sz w:val="26"/>
          <w:szCs w:val="26"/>
        </w:rPr>
        <w:t xml:space="preserve">Conditions Covered</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400"/>
        <w:gridCol w:w="4920"/>
      </w:tblGrid>
      <w:tr>
        <w:trPr>
          <w:tblHeader/>
        </w:trPr>
        <w:tc>
          <w:tcPr>
            <w:tcW w:type="dxa" w:w="24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Condition</w:t>
            </w:r>
          </w:p>
        </w:tc>
        <w:tc>
          <w:tcPr>
            <w:tcW w:type="dxa" w:w="10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ICD-10</w:t>
            </w:r>
          </w:p>
        </w:tc>
        <w:tc>
          <w:tcPr>
            <w:tcW w:type="dxa" w:w="14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Undiagnosed Rate</w:t>
            </w:r>
          </w:p>
        </w:tc>
        <w:tc>
          <w:tcPr>
            <w:tcW w:type="dxa" w:w="492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Dimension Weighting</w:t>
            </w:r>
          </w:p>
        </w:tc>
      </w:tr>
      <w:tr>
        <w:tc>
          <w:tcPr>
            <w:tcW w:type="dxa" w:w="24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Type 2 Diabetes (T2D)</w:t>
            </w:r>
          </w:p>
        </w:tc>
        <w:tc>
          <w:tcPr>
            <w:tcW w:type="dxa" w:w="10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E11.x</w:t>
            </w:r>
          </w:p>
        </w:tc>
        <w:tc>
          <w:tcPr>
            <w:tcW w:type="dxa" w:w="14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23.1%</w:t>
            </w:r>
          </w:p>
        </w:tc>
        <w:tc>
          <w:tcPr>
            <w:tcW w:type="dxa" w:w="49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Default framework weights — T2D is the primary scoring condition</w:t>
            </w:r>
          </w:p>
        </w:tc>
      </w:tr>
      <w:tr>
        <w:tc>
          <w:tcPr>
            <w:tcW w:type="dxa" w:w="24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Hypertension (HTN)</w:t>
            </w:r>
          </w:p>
        </w:tc>
        <w:tc>
          <w:tcPr>
            <w:tcW w:type="dxa" w:w="10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I10</w:t>
            </w:r>
          </w:p>
        </w:tc>
        <w:tc>
          <w:tcPr>
            <w:tcW w:type="dxa" w:w="14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27.0%</w:t>
            </w:r>
          </w:p>
        </w:tc>
        <w:tc>
          <w:tcPr>
            <w:tcW w:type="dxa" w:w="492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Identical dimension weights; HTN-specific CMS GV PUF signals used in Diagnosis Gap</w:t>
            </w:r>
          </w:p>
        </w:tc>
      </w:tr>
      <w:tr>
        <w:tc>
          <w:tcPr>
            <w:tcW w:type="dxa" w:w="24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Hypothyroidism</w:t>
            </w:r>
          </w:p>
        </w:tc>
        <w:tc>
          <w:tcPr>
            <w:tcW w:type="dxa" w:w="10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E03.9</w:t>
            </w:r>
          </w:p>
        </w:tc>
        <w:tc>
          <w:tcPr>
            <w:tcW w:type="dxa" w:w="14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~50%</w:t>
            </w:r>
          </w:p>
        </w:tc>
        <w:tc>
          <w:tcPr>
            <w:tcW w:type="dxa" w:w="49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Identical dimension weights; thyroid-specific prevalence signals applied where available</w:t>
            </w:r>
          </w:p>
        </w:tc>
      </w:tr>
    </w:tbl>
    <w:p>
      <w:pPr>
        <w:spacing w:after="100" w:before="0"/>
      </w:pPr>
      <w:r>
        <w:rPr>
          <w:rFonts w:ascii="Arial" w:cs="Arial" w:eastAsia="Arial" w:hAnsi="Arial"/>
          <w:sz w:val="22"/>
          <w:szCs w:val="22"/>
        </w:rPr>
        <w:t xml:space="preserve"/>
      </w:r>
    </w:p>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1B3A5C" w:val="clear"/>
            <w:tcMar>
              <w:top w:type="dxa" w:w="180"/>
              <w:left w:type="dxa" w:w="240"/>
              <w:bottom w:type="dxa" w:w="180"/>
              <w:right w:type="dxa" w:w="240"/>
            </w:tcMar>
          </w:tcPr>
          <w:p>
            <w:pPr>
              <w:spacing w:after="0" w:before="0"/>
            </w:pPr>
            <w:r>
              <w:rPr>
                <w:rFonts w:ascii="Arial" w:cs="Arial" w:eastAsia="Arial" w:hAnsi="Arial"/>
                <w:b/>
                <w:bCs/>
                <w:color w:val="FFFFFF"/>
                <w:sz w:val="30"/>
                <w:szCs w:val="30"/>
              </w:rPr>
              <w:t xml:space="preserve">4.   THE 7-DIMENSION SCORING FRAMEWORK</w:t>
            </w:r>
          </w:p>
        </w:tc>
      </w:tr>
    </w:tbl>
    <w:p>
      <w:pPr>
        <w:spacing w:after="160" w:before="0"/>
      </w:pPr>
      <w:r>
        <w:rPr>
          <w:rFonts w:ascii="Arial" w:cs="Arial" w:eastAsia="Arial" w:hAnsi="Arial"/>
          <w:sz w:val="22"/>
          <w:szCs w:val="22"/>
        </w:rPr>
        <w:t xml:space="preserve"/>
      </w:r>
    </w:p>
    <w:p>
      <w:pPr>
        <w:spacing w:after="140" w:before="0"/>
      </w:pPr>
      <w:r>
        <w:rPr>
          <w:rFonts w:ascii="Arial" w:cs="Arial" w:eastAsia="Arial" w:hAnsi="Arial"/>
          <w:color w:val="1A1A2E"/>
          <w:sz w:val="22"/>
          <w:szCs w:val="22"/>
        </w:rPr>
        <w:t xml:space="preserve">The SPPF framework evaluates each geography on seven independent dimensions, each answering a distinct strategic question. No single dimension is sufficient — a county may have high disease burden but strong diagnosis rates, or poor payer incentives but exceptional community health infrastructure. The composite score integrates all seven to produce a holistic opportunity ranking.</w:t>
      </w:r>
    </w:p>
    <w:p>
      <w:pPr>
        <w:spacing w:after="80" w:before="0"/>
      </w:pPr>
      <w:r>
        <w:rPr>
          <w:rFonts w:ascii="Arial" w:cs="Arial" w:eastAsia="Arial" w:hAnsi="Arial"/>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800"/>
        <w:gridCol w:w="5920"/>
      </w:tblGrid>
      <w:tr>
        <w:trPr>
          <w:tblHeader/>
        </w:trPr>
        <w:tc>
          <w:tcPr>
            <w:tcW w:type="dxa" w:w="4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t>
            </w:r>
          </w:p>
        </w:tc>
        <w:tc>
          <w:tcPr>
            <w:tcW w:type="dxa" w:w="26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Dimension</w:t>
            </w:r>
          </w:p>
        </w:tc>
        <w:tc>
          <w:tcPr>
            <w:tcW w:type="dxa" w:w="8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Weight</w:t>
            </w:r>
          </w:p>
        </w:tc>
        <w:tc>
          <w:tcPr>
            <w:tcW w:type="dxa" w:w="592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Strategic Question</w:t>
            </w:r>
          </w:p>
        </w:tc>
      </w:tr>
      <w:tr>
        <w:tc>
          <w:tcPr>
            <w:tcW w:type="dxa" w:w="4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1</w:t>
            </w:r>
          </w:p>
        </w:tc>
        <w:tc>
          <w:tcPr>
            <w:tcW w:type="dxa" w:w="26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Disease Burden</w:t>
            </w:r>
          </w:p>
        </w:tc>
        <w:tc>
          <w:tcPr>
            <w:tcW w:type="dxa" w:w="8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20%</w:t>
            </w:r>
          </w:p>
        </w:tc>
        <w:tc>
          <w:tcPr>
            <w:tcW w:type="dxa" w:w="59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How big is the undiagnosed opportunity here?</w:t>
            </w:r>
          </w:p>
        </w:tc>
      </w:tr>
      <w:tr>
        <w:tc>
          <w:tcPr>
            <w:tcW w:type="dxa" w:w="4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2</w:t>
            </w:r>
          </w:p>
        </w:tc>
        <w:tc>
          <w:tcPr>
            <w:tcW w:type="dxa" w:w="26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Diagnosis Gap</w:t>
            </w:r>
          </w:p>
        </w:tc>
        <w:tc>
          <w:tcPr>
            <w:tcW w:type="dxa" w:w="8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25%</w:t>
            </w:r>
          </w:p>
        </w:tc>
        <w:tc>
          <w:tcPr>
            <w:tcW w:type="dxa" w:w="592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How many silent patients are here?</w:t>
            </w:r>
          </w:p>
        </w:tc>
      </w:tr>
      <w:tr>
        <w:tc>
          <w:tcPr>
            <w:tcW w:type="dxa" w:w="4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3</w:t>
            </w:r>
          </w:p>
        </w:tc>
        <w:tc>
          <w:tcPr>
            <w:tcW w:type="dxa" w:w="26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Access to Care</w:t>
            </w:r>
          </w:p>
        </w:tc>
        <w:tc>
          <w:tcPr>
            <w:tcW w:type="dxa" w:w="8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15%</w:t>
            </w:r>
          </w:p>
        </w:tc>
        <w:tc>
          <w:tcPr>
            <w:tcW w:type="dxa" w:w="59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Does the infrastructure exist to act on what we find?</w:t>
            </w:r>
          </w:p>
        </w:tc>
      </w:tr>
      <w:tr>
        <w:tc>
          <w:tcPr>
            <w:tcW w:type="dxa" w:w="4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4</w:t>
            </w:r>
          </w:p>
        </w:tc>
        <w:tc>
          <w:tcPr>
            <w:tcW w:type="dxa" w:w="26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Social Determinants</w:t>
            </w:r>
          </w:p>
        </w:tc>
        <w:tc>
          <w:tcPr>
            <w:tcW w:type="dxa" w:w="8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15%</w:t>
            </w:r>
          </w:p>
        </w:tc>
        <w:tc>
          <w:tcPr>
            <w:tcW w:type="dxa" w:w="592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What is causing the gap — and what program will work?</w:t>
            </w:r>
          </w:p>
        </w:tc>
      </w:tr>
      <w:tr>
        <w:tc>
          <w:tcPr>
            <w:tcW w:type="dxa" w:w="4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5</w:t>
            </w:r>
          </w:p>
        </w:tc>
        <w:tc>
          <w:tcPr>
            <w:tcW w:type="dxa" w:w="26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Payer Landscape</w:t>
            </w:r>
          </w:p>
        </w:tc>
        <w:tc>
          <w:tcPr>
            <w:tcW w:type="dxa" w:w="8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10%</w:t>
            </w:r>
          </w:p>
        </w:tc>
        <w:tc>
          <w:tcPr>
            <w:tcW w:type="dxa" w:w="59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Who pays for the solution — and why would they say yes?</w:t>
            </w:r>
          </w:p>
        </w:tc>
      </w:tr>
      <w:tr>
        <w:tc>
          <w:tcPr>
            <w:tcW w:type="dxa" w:w="4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6</w:t>
            </w:r>
          </w:p>
        </w:tc>
        <w:tc>
          <w:tcPr>
            <w:tcW w:type="dxa" w:w="26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Commercial Readiness</w:t>
            </w:r>
          </w:p>
        </w:tc>
        <w:tc>
          <w:tcPr>
            <w:tcW w:type="dxa" w:w="8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10%</w:t>
            </w:r>
          </w:p>
        </w:tc>
        <w:tc>
          <w:tcPr>
            <w:tcW w:type="dxa" w:w="592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How hard is it to run a program here?</w:t>
            </w:r>
          </w:p>
        </w:tc>
      </w:tr>
      <w:tr>
        <w:tc>
          <w:tcPr>
            <w:tcW w:type="dxa" w:w="4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7</w:t>
            </w:r>
          </w:p>
        </w:tc>
        <w:tc>
          <w:tcPr>
            <w:tcW w:type="dxa" w:w="26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Trajectory</w:t>
            </w:r>
          </w:p>
        </w:tc>
        <w:tc>
          <w:tcPr>
            <w:tcW w:type="dxa" w:w="8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5%</w:t>
            </w:r>
          </w:p>
        </w:tc>
        <w:tc>
          <w:tcPr>
            <w:tcW w:type="dxa" w:w="59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Is this market getting better or worse — and when should we move?</w:t>
            </w:r>
          </w:p>
        </w:tc>
      </w:tr>
    </w:tbl>
    <w:p>
      <w:pPr>
        <w:spacing w:after="140" w:before="0"/>
      </w:pPr>
      <w:r>
        <w:rPr>
          <w:rFonts w:ascii="Arial" w:cs="Arial" w:eastAsia="Arial" w:hAnsi="Arial"/>
          <w:sz w:val="22"/>
          <w:szCs w:val="22"/>
        </w:rPr>
        <w:t xml:space="preserve"/>
      </w:r>
    </w:p>
    <w:p>
      <w:pPr>
        <w:spacing w:after="140" w:before="0"/>
      </w:pPr>
      <w:r>
        <w:rPr>
          <w:rFonts w:ascii="Arial" w:cs="Arial" w:eastAsia="Arial" w:hAnsi="Arial"/>
          <w:color w:val="1A1A2E"/>
          <w:sz w:val="22"/>
          <w:szCs w:val="22"/>
        </w:rPr>
        <w:t xml:space="preserve">All dimension scores are min-max normalized within the national county sample before weighting. This means a score of 70 indicates a county at approximately the 70th percentile nationally on that dimension, not an absolute value. The composite Opportunity Score is the weighted sum of all seven dimension scores.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1B3A5C" w:sz="10"/>
              <w:bottom w:val="none" w:color="FFFFFF" w:sz="0"/>
              <w:right w:val="none" w:color="FFFFFF" w:sz="0"/>
            </w:tcBorders>
            <w:shd w:fill="F5F7FA" w:val="clear"/>
            <w:tcMar>
              <w:top w:type="dxa" w:w="120"/>
              <w:left w:type="dxa" w:w="220"/>
              <w:bottom w:type="dxa" w:w="120"/>
              <w:right w:type="dxa" w:w="220"/>
            </w:tcMar>
          </w:tcPr>
          <w:p>
            <w:pPr>
              <w:spacing w:after="0" w:before="0"/>
            </w:pPr>
            <w:r>
              <w:rPr>
                <w:rFonts w:ascii="Arial" w:cs="Arial" w:eastAsia="Arial" w:hAnsi="Arial"/>
                <w:i/>
                <w:iCs/>
                <w:color w:val="1A1A2E"/>
                <w:sz w:val="22"/>
                <w:szCs w:val="22"/>
              </w:rPr>
              <w:t xml:space="preserve">Dimension weights reflect clinical and commercial judgment about which factors most reliably predict successful patient identification program outcomes. The diagnosis gap carries the highest weight because it directly quantifies the addressable market — patients who exist but have not been found.</w:t>
            </w:r>
          </w:p>
        </w:tc>
      </w:tr>
    </w:tbl>
    <w:p>
      <w:pPr>
        <w:spacing w:after="100" w:before="0"/>
      </w:pPr>
      <w:r>
        <w:rPr>
          <w:rFonts w:ascii="Arial" w:cs="Arial" w:eastAsia="Arial" w:hAnsi="Arial"/>
          <w:sz w:val="22"/>
          <w:szCs w:val="22"/>
        </w:rPr>
        <w:t xml:space="preserve"/>
      </w:r>
    </w:p>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E76F51" w:val="clear"/>
            <w:tcMar>
              <w:top w:type="dxa" w:w="180"/>
              <w:left w:type="dxa" w:w="240"/>
              <w:bottom w:type="dxa" w:w="180"/>
              <w:right w:type="dxa" w:w="240"/>
            </w:tcMar>
          </w:tcPr>
          <w:p>
            <w:pPr>
              <w:spacing w:after="0" w:before="0"/>
            </w:pPr>
            <w:r>
              <w:rPr>
                <w:rFonts w:ascii="Arial" w:cs="Arial" w:eastAsia="Arial" w:hAnsi="Arial"/>
                <w:b/>
                <w:bCs/>
                <w:color w:val="FFFFFF"/>
                <w:sz w:val="30"/>
                <w:szCs w:val="30"/>
              </w:rPr>
              <w:t xml:space="preserve">DIMENSION 1:   DISEASE BURDEN   (Weight: 20%)</w:t>
            </w:r>
          </w:p>
        </w:tc>
      </w:tr>
    </w:tbl>
    <w:p>
      <w:pPr>
        <w:spacing w:after="140" w:before="0"/>
      </w:pPr>
      <w:r>
        <w:rPr>
          <w:rFonts w:ascii="Arial" w:cs="Arial" w:eastAsia="Arial" w:hAnsi="Arial"/>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1B3A5C" w:val="clear"/>
            <w:tcMar>
              <w:top w:type="dxa" w:w="100"/>
              <w:left w:type="dxa" w:w="200"/>
              <w:bottom w:type="dxa" w:w="100"/>
              <w:right w:type="dxa" w:w="200"/>
            </w:tcMar>
          </w:tcPr>
          <w:p>
            <w:pPr>
              <w:spacing w:after="40" w:before="0"/>
            </w:pPr>
            <w:r>
              <w:rPr>
                <w:rFonts w:ascii="Arial" w:cs="Arial" w:eastAsia="Arial" w:hAnsi="Arial"/>
                <w:b/>
                <w:bCs/>
                <w:color w:val="A8C4DC"/>
                <w:sz w:val="17"/>
                <w:szCs w:val="17"/>
              </w:rPr>
              <w:t xml:space="preserve">STRATEGIC QUESTION</w:t>
            </w:r>
          </w:p>
          <w:p>
            <w:pPr>
              <w:spacing w:after="0" w:before="0"/>
            </w:pPr>
            <w:r>
              <w:rPr>
                <w:rFonts w:ascii="Arial" w:cs="Arial" w:eastAsia="Arial" w:hAnsi="Arial"/>
                <w:b/>
                <w:bCs/>
                <w:i/>
                <w:iCs/>
                <w:color w:val="FFFFFF"/>
                <w:sz w:val="23"/>
                <w:szCs w:val="23"/>
              </w:rPr>
              <w:t xml:space="preserve">How big is the undiagnosed opportunity here?</w:t>
            </w:r>
          </w:p>
        </w:tc>
      </w:tr>
    </w:tbl>
    <w:p>
      <w:pPr>
        <w:spacing w:after="120" w:before="0"/>
      </w:pPr>
      <w:r>
        <w:rPr>
          <w:rFonts w:ascii="Arial" w:cs="Arial" w:eastAsia="Arial" w:hAnsi="Arial"/>
          <w:sz w:val="22"/>
          <w:szCs w:val="22"/>
        </w:rPr>
        <w:t xml:space="preserve"/>
      </w:r>
    </w:p>
    <w:p>
      <w:pPr>
        <w:spacing w:after="140" w:before="0"/>
      </w:pPr>
      <w:r>
        <w:rPr>
          <w:rFonts w:ascii="Arial" w:cs="Arial" w:eastAsia="Arial" w:hAnsi="Arial"/>
          <w:color w:val="1A1A2E"/>
          <w:sz w:val="22"/>
          <w:szCs w:val="22"/>
        </w:rPr>
        <w:t xml:space="preserve">Disease Burden measures the total prevalence and severity of chronic disease in a geography. It combines the direct disease prevalence signal (CDC PLACES diagnosed diabetes rate) with risk-amplifying comorbidities — obesity, hypertension co-occurrence, and poor physical health — that predict undiagnosed disease in the population not yet captured by primary care. A high SES Disadvantage Index further amplifies burden, reflecting that structurally disadvantaged populations carry disproportionate disease load.</w:t>
      </w:r>
    </w:p>
    <w:p>
      <w:pPr>
        <w:spacing w:after="60" w:before="0"/>
      </w:pPr>
      <w:r>
        <w:rPr>
          <w:rFonts w:ascii="Arial" w:cs="Arial" w:eastAsia="Arial" w:hAnsi="Arial"/>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E76F51" w:sz="10"/>
              <w:bottom w:val="none" w:color="FFFFFF" w:sz="0"/>
              <w:right w:val="none" w:color="FFFFFF" w:sz="0"/>
            </w:tcBorders>
            <w:shd w:fill="F5F7FA" w:val="clear"/>
            <w:tcMar>
              <w:top w:type="dxa" w:w="120"/>
              <w:left w:type="dxa" w:w="220"/>
              <w:bottom w:type="dxa" w:w="120"/>
              <w:right w:type="dxa" w:w="220"/>
            </w:tcMar>
          </w:tcPr>
          <w:p>
            <w:pPr>
              <w:spacing w:after="0" w:before="0"/>
            </w:pPr>
            <w:r>
              <w:rPr>
                <w:rFonts w:ascii="Arial" w:cs="Arial" w:eastAsia="Arial" w:hAnsi="Arial"/>
                <w:i/>
                <w:iCs/>
                <w:color w:val="1A1A2E"/>
                <w:sz w:val="22"/>
                <w:szCs w:val="22"/>
              </w:rPr>
              <w:t xml:space="preserve">Disease Burden alone is not sufficient to identify the best markets. A high-burden county with a fully-functioning care system (low diagnosis gap) has fewer undiagnosed patients than a lower-burden county that is systematically missing cases. Always interpret Disease Burden in conjunction with Dimension 2 (Diagnosis Gap).</w:t>
            </w:r>
          </w:p>
        </w:tc>
      </w:tr>
    </w:tbl>
    <w:p>
      <w:pPr>
        <w:spacing w:after="80" w:before="0"/>
      </w:pPr>
      <w:r>
        <w:rPr>
          <w:rFonts w:ascii="Arial" w:cs="Arial" w:eastAsia="Arial" w:hAnsi="Arial"/>
          <w:sz w:val="22"/>
          <w:szCs w:val="22"/>
        </w:rPr>
        <w:t xml:space="preserve"/>
      </w:r>
    </w:p>
    <w:p>
      <w:pPr>
        <w:spacing w:after="70" w:before="200"/>
      </w:pPr>
      <w:r>
        <w:rPr>
          <w:rFonts w:ascii="Arial" w:cs="Arial" w:eastAsia="Arial" w:hAnsi="Arial"/>
          <w:b/>
          <w:bCs/>
          <w:color w:val="E76F51"/>
          <w:sz w:val="22"/>
          <w:szCs w:val="22"/>
        </w:rPr>
        <w:t xml:space="preserve">Scoring Signals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600"/>
        <w:gridCol w:w="1000"/>
        <w:gridCol w:w="5120"/>
      </w:tblGrid>
      <w:tr>
        <w:trPr>
          <w:tblHeader/>
        </w:trPr>
        <w:tc>
          <w:tcPr>
            <w:tcW w:type="dxa" w:w="36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Signal</w:t>
            </w:r>
          </w:p>
        </w:tc>
        <w:tc>
          <w:tcPr>
            <w:tcW w:type="dxa" w:w="10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Weight</w:t>
            </w:r>
          </w:p>
        </w:tc>
        <w:tc>
          <w:tcPr>
            <w:tcW w:type="dxa" w:w="512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Primary Data Source</w:t>
            </w:r>
          </w:p>
        </w:tc>
      </w:tr>
      <w:tr>
        <w:tc>
          <w:tcPr>
            <w:tcW w:type="dxa" w:w="36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T2D Prevalence Rate (% adults with diabetes)</w:t>
            </w:r>
          </w:p>
        </w:tc>
        <w:tc>
          <w:tcPr>
            <w:tcW w:type="dxa" w:w="10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center"/>
            </w:pPr>
            <w:r>
              <w:rPr>
                <w:rFonts w:ascii="Arial" w:cs="Arial" w:eastAsia="Arial" w:hAnsi="Arial"/>
                <w:color w:val="1A1A2E"/>
                <w:sz w:val="20"/>
                <w:szCs w:val="20"/>
              </w:rPr>
              <w:t xml:space="preserve">40%</w:t>
            </w:r>
          </w:p>
        </w:tc>
        <w:tc>
          <w:tcPr>
            <w:tcW w:type="dxa" w:w="51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CDC PLACES 2024 (2022 BRFSS)</w:t>
            </w:r>
          </w:p>
        </w:tc>
      </w:tr>
      <w:tr>
        <w:tc>
          <w:tcPr>
            <w:tcW w:type="dxa" w:w="36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Obesity Rate (% adults with obesity)</w:t>
            </w:r>
          </w:p>
        </w:tc>
        <w:tc>
          <w:tcPr>
            <w:tcW w:type="dxa" w:w="10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center"/>
            </w:pPr>
            <w:r>
              <w:rPr>
                <w:rFonts w:ascii="Arial" w:cs="Arial" w:eastAsia="Arial" w:hAnsi="Arial"/>
                <w:color w:val="1A1A2E"/>
                <w:sz w:val="20"/>
                <w:szCs w:val="20"/>
              </w:rPr>
              <w:t xml:space="preserve">25%</w:t>
            </w:r>
          </w:p>
        </w:tc>
        <w:tc>
          <w:tcPr>
            <w:tcW w:type="dxa" w:w="512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CDC PLACES 2024 (2022 BRFSS)</w:t>
            </w:r>
          </w:p>
        </w:tc>
      </w:tr>
      <w:tr>
        <w:tc>
          <w:tcPr>
            <w:tcW w:type="dxa" w:w="36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Hypertension Co-occurrence (% adults with HTN)</w:t>
            </w:r>
          </w:p>
        </w:tc>
        <w:tc>
          <w:tcPr>
            <w:tcW w:type="dxa" w:w="10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center"/>
            </w:pPr>
            <w:r>
              <w:rPr>
                <w:rFonts w:ascii="Arial" w:cs="Arial" w:eastAsia="Arial" w:hAnsi="Arial"/>
                <w:color w:val="1A1A2E"/>
                <w:sz w:val="20"/>
                <w:szCs w:val="20"/>
              </w:rPr>
              <w:t xml:space="preserve">15%</w:t>
            </w:r>
          </w:p>
        </w:tc>
        <w:tc>
          <w:tcPr>
            <w:tcW w:type="dxa" w:w="51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CDC PLACES 2024 (2022 BRFSS)</w:t>
            </w:r>
          </w:p>
        </w:tc>
      </w:tr>
      <w:tr>
        <w:tc>
          <w:tcPr>
            <w:tcW w:type="dxa" w:w="36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Poor Physical Health Rate (% reporting ≥14 poor days)</w:t>
            </w:r>
          </w:p>
        </w:tc>
        <w:tc>
          <w:tcPr>
            <w:tcW w:type="dxa" w:w="10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center"/>
            </w:pPr>
            <w:r>
              <w:rPr>
                <w:rFonts w:ascii="Arial" w:cs="Arial" w:eastAsia="Arial" w:hAnsi="Arial"/>
                <w:color w:val="1A1A2E"/>
                <w:sz w:val="20"/>
                <w:szCs w:val="20"/>
              </w:rPr>
              <w:t xml:space="preserve">10%</w:t>
            </w:r>
          </w:p>
        </w:tc>
        <w:tc>
          <w:tcPr>
            <w:tcW w:type="dxa" w:w="512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CDC PLACES 2024 (2022 BRFSS)</w:t>
            </w:r>
          </w:p>
        </w:tc>
      </w:tr>
      <w:tr>
        <w:tc>
          <w:tcPr>
            <w:tcW w:type="dxa" w:w="36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SES Disadvantage Index (composite deprivation)</w:t>
            </w:r>
          </w:p>
        </w:tc>
        <w:tc>
          <w:tcPr>
            <w:tcW w:type="dxa" w:w="10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center"/>
            </w:pPr>
            <w:r>
              <w:rPr>
                <w:rFonts w:ascii="Arial" w:cs="Arial" w:eastAsia="Arial" w:hAnsi="Arial"/>
                <w:color w:val="1A1A2E"/>
                <w:sz w:val="20"/>
                <w:szCs w:val="20"/>
              </w:rPr>
              <w:t xml:space="preserve">10%</w:t>
            </w:r>
          </w:p>
        </w:tc>
        <w:tc>
          <w:tcPr>
            <w:tcW w:type="dxa" w:w="51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Census ACS 5-Year Estimates</w:t>
            </w:r>
          </w:p>
        </w:tc>
      </w:tr>
    </w:tbl>
    <w:p>
      <w:pPr>
        <w:spacing w:after="120" w:before="0"/>
      </w:pPr>
      <w:r>
        <w:rPr>
          <w:rFonts w:ascii="Arial" w:cs="Arial" w:eastAsia="Arial" w:hAnsi="Arial"/>
          <w:sz w:val="22"/>
          <w:szCs w:val="22"/>
        </w:rPr>
        <w:t xml:space="preserve"/>
      </w:r>
    </w:p>
    <w:p>
      <w:pPr>
        <w:spacing w:after="70" w:before="200"/>
      </w:pPr>
      <w:r>
        <w:rPr>
          <w:rFonts w:ascii="Arial" w:cs="Arial" w:eastAsia="Arial" w:hAnsi="Arial"/>
          <w:b/>
          <w:bCs/>
          <w:color w:val="E76F51"/>
          <w:sz w:val="22"/>
          <w:szCs w:val="22"/>
        </w:rPr>
        <w:t xml:space="preserve">How to Interpret This Score</w:t>
      </w:r>
    </w:p>
    <w:p>
      <w:pPr>
        <w:spacing w:after="140" w:before="0"/>
      </w:pPr>
      <w:r>
        <w:rPr>
          <w:rFonts w:ascii="Arial" w:cs="Arial" w:eastAsia="Arial" w:hAnsi="Arial"/>
          <w:color w:val="1A1A2E"/>
          <w:sz w:val="22"/>
          <w:szCs w:val="22"/>
        </w:rPr>
        <w:t xml:space="preserve">A Disease Burden score of ≥70 indicates a county in approximately the top 30% nationally for multi-condition disease burden — typically Deep South, Appalachian, or rural Midwest counties where T2D prevalence exceeds 14–15% and obesity rates exceed 40%. These counties have the largest absolute pool of undiagnosed patients. Scores in the 40–70 range represent the national mid-tier; scores below 40 reflect lighter-burden geographies (e.g., Mountain West, suburban Northeast) where opportunity exists but is smaller in absolute terms.</w:t>
      </w:r>
    </w:p>
    <w:p>
      <w:pPr>
        <w:spacing w:after="60" w:before="0"/>
      </w:pPr>
      <w:r>
        <w:rPr>
          <w:rFonts w:ascii="Arial" w:cs="Arial" w:eastAsia="Arial" w:hAnsi="Arial"/>
          <w:sz w:val="22"/>
          <w:szCs w:val="22"/>
        </w:rPr>
        <w:t xml:space="preserve"/>
      </w:r>
    </w:p>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E63946" w:val="clear"/>
            <w:tcMar>
              <w:top w:type="dxa" w:w="180"/>
              <w:left w:type="dxa" w:w="240"/>
              <w:bottom w:type="dxa" w:w="180"/>
              <w:right w:type="dxa" w:w="240"/>
            </w:tcMar>
          </w:tcPr>
          <w:p>
            <w:pPr>
              <w:spacing w:after="0" w:before="0"/>
            </w:pPr>
            <w:r>
              <w:rPr>
                <w:rFonts w:ascii="Arial" w:cs="Arial" w:eastAsia="Arial" w:hAnsi="Arial"/>
                <w:b/>
                <w:bCs/>
                <w:color w:val="FFFFFF"/>
                <w:sz w:val="30"/>
                <w:szCs w:val="30"/>
              </w:rPr>
              <w:t xml:space="preserve">DIMENSION 2:   DIAGNOSIS GAP   (Weight: 25%)</w:t>
            </w:r>
          </w:p>
        </w:tc>
      </w:tr>
    </w:tbl>
    <w:p>
      <w:pPr>
        <w:spacing w:after="140" w:before="0"/>
      </w:pPr>
      <w:r>
        <w:rPr>
          <w:rFonts w:ascii="Arial" w:cs="Arial" w:eastAsia="Arial" w:hAnsi="Arial"/>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1B3A5C" w:val="clear"/>
            <w:tcMar>
              <w:top w:type="dxa" w:w="100"/>
              <w:left w:type="dxa" w:w="200"/>
              <w:bottom w:type="dxa" w:w="100"/>
              <w:right w:type="dxa" w:w="200"/>
            </w:tcMar>
          </w:tcPr>
          <w:p>
            <w:pPr>
              <w:spacing w:after="40" w:before="0"/>
            </w:pPr>
            <w:r>
              <w:rPr>
                <w:rFonts w:ascii="Arial" w:cs="Arial" w:eastAsia="Arial" w:hAnsi="Arial"/>
                <w:b/>
                <w:bCs/>
                <w:color w:val="A8C4DC"/>
                <w:sz w:val="17"/>
                <w:szCs w:val="17"/>
              </w:rPr>
              <w:t xml:space="preserve">STRATEGIC QUESTION</w:t>
            </w:r>
          </w:p>
          <w:p>
            <w:pPr>
              <w:spacing w:after="0" w:before="0"/>
            </w:pPr>
            <w:r>
              <w:rPr>
                <w:rFonts w:ascii="Arial" w:cs="Arial" w:eastAsia="Arial" w:hAnsi="Arial"/>
                <w:b/>
                <w:bCs/>
                <w:i/>
                <w:iCs/>
                <w:color w:val="FFFFFF"/>
                <w:sz w:val="23"/>
                <w:szCs w:val="23"/>
              </w:rPr>
              <w:t xml:space="preserve">How many silent patients are here?</w:t>
            </w:r>
          </w:p>
        </w:tc>
      </w:tr>
    </w:tbl>
    <w:p>
      <w:pPr>
        <w:spacing w:after="120" w:before="0"/>
      </w:pPr>
      <w:r>
        <w:rPr>
          <w:rFonts w:ascii="Arial" w:cs="Arial" w:eastAsia="Arial" w:hAnsi="Arial"/>
          <w:sz w:val="22"/>
          <w:szCs w:val="22"/>
        </w:rPr>
        <w:t xml:space="preserve"/>
      </w:r>
    </w:p>
    <w:p>
      <w:pPr>
        <w:spacing w:after="140" w:before="0"/>
      </w:pPr>
      <w:r>
        <w:rPr>
          <w:rFonts w:ascii="Arial" w:cs="Arial" w:eastAsia="Arial" w:hAnsi="Arial"/>
          <w:color w:val="1A1A2E"/>
          <w:sz w:val="22"/>
          <w:szCs w:val="22"/>
        </w:rPr>
        <w:t xml:space="preserve">Diagnosis Gap is the most heavily weighted dimension because it directly quantifies the addressable market: patients who have the disease but have never been identified by the healthcare system. The signal is constructed by comparing observed county-level disease burden (CDC PLACES population prevalence) to actual Medicare diagnosis rates (CMS Geographic Variation Public Use File). Counties where the Medicare system is diagnosing fewer T2D or HTN cases than the national peer median have a structural detection deficit — more silent patients per capita than average.</w:t>
      </w:r>
    </w:p>
    <w:p>
      <w:pPr>
        <w:spacing w:after="60" w:before="0"/>
      </w:pPr>
      <w:r>
        <w:rPr>
          <w:rFonts w:ascii="Arial" w:cs="Arial" w:eastAsia="Arial" w:hAnsi="Arial"/>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E63946" w:sz="10"/>
              <w:bottom w:val="none" w:color="FFFFFF" w:sz="0"/>
              <w:right w:val="none" w:color="FFFFFF" w:sz="0"/>
            </w:tcBorders>
            <w:shd w:fill="F5F7FA" w:val="clear"/>
            <w:tcMar>
              <w:top w:type="dxa" w:w="120"/>
              <w:left w:type="dxa" w:w="220"/>
              <w:bottom w:type="dxa" w:w="120"/>
              <w:right w:type="dxa" w:w="220"/>
            </w:tcMar>
          </w:tcPr>
          <w:p>
            <w:pPr>
              <w:spacing w:after="0" w:before="0"/>
            </w:pPr>
            <w:r>
              <w:rPr>
                <w:rFonts w:ascii="Arial" w:cs="Arial" w:eastAsia="Arial" w:hAnsi="Arial"/>
                <w:i/>
                <w:iCs/>
                <w:color w:val="1A1A2E"/>
                <w:sz w:val="22"/>
                <w:szCs w:val="22"/>
              </w:rPr>
              <w:t xml:space="preserve">The Diagnosis Gap weight of 25% reflects the clinical reality that the American Diabetes Association estimates 23.1% of US adults with diabetes are undiagnosed, and the American Heart Association estimates 27% of hypertensives are unaware of their diagnosis. These are not edge cases — they represent tens of millions of Americans that primary care is missing.</w:t>
            </w:r>
          </w:p>
        </w:tc>
      </w:tr>
    </w:tbl>
    <w:p>
      <w:pPr>
        <w:spacing w:after="80" w:before="0"/>
      </w:pPr>
      <w:r>
        <w:rPr>
          <w:rFonts w:ascii="Arial" w:cs="Arial" w:eastAsia="Arial" w:hAnsi="Arial"/>
          <w:sz w:val="22"/>
          <w:szCs w:val="22"/>
        </w:rPr>
        <w:t xml:space="preserve"/>
      </w:r>
    </w:p>
    <w:p>
      <w:pPr>
        <w:spacing w:after="70" w:before="200"/>
      </w:pPr>
      <w:r>
        <w:rPr>
          <w:rFonts w:ascii="Arial" w:cs="Arial" w:eastAsia="Arial" w:hAnsi="Arial"/>
          <w:b/>
          <w:bCs/>
          <w:color w:val="E63946"/>
          <w:sz w:val="22"/>
          <w:szCs w:val="22"/>
        </w:rPr>
        <w:t xml:space="preserve">Scoring Signals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600"/>
        <w:gridCol w:w="1000"/>
        <w:gridCol w:w="5120"/>
      </w:tblGrid>
      <w:tr>
        <w:trPr>
          <w:tblHeader/>
        </w:trPr>
        <w:tc>
          <w:tcPr>
            <w:tcW w:type="dxa" w:w="36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Signal</w:t>
            </w:r>
          </w:p>
        </w:tc>
        <w:tc>
          <w:tcPr>
            <w:tcW w:type="dxa" w:w="10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Weight</w:t>
            </w:r>
          </w:p>
        </w:tc>
        <w:tc>
          <w:tcPr>
            <w:tcW w:type="dxa" w:w="512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Primary Data Source</w:t>
            </w:r>
          </w:p>
        </w:tc>
      </w:tr>
      <w:tr>
        <w:tc>
          <w:tcPr>
            <w:tcW w:type="dxa" w:w="36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T2D Treatment Penetration Gap (CDC PLACES × CMS GV PUF deficit)</w:t>
            </w:r>
          </w:p>
        </w:tc>
        <w:tc>
          <w:tcPr>
            <w:tcW w:type="dxa" w:w="10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center"/>
            </w:pPr>
            <w:r>
              <w:rPr>
                <w:rFonts w:ascii="Arial" w:cs="Arial" w:eastAsia="Arial" w:hAnsi="Arial"/>
                <w:color w:val="1A1A2E"/>
                <w:sz w:val="20"/>
                <w:szCs w:val="20"/>
              </w:rPr>
              <w:t xml:space="preserve">35%</w:t>
            </w:r>
          </w:p>
        </w:tc>
        <w:tc>
          <w:tcPr>
            <w:tcW w:type="dxa" w:w="51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CDC PLACES 2024 + CMS Geographic Variation PUF</w:t>
            </w:r>
          </w:p>
        </w:tc>
      </w:tr>
      <w:tr>
        <w:tc>
          <w:tcPr>
            <w:tcW w:type="dxa" w:w="36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HTN Medicare Diagnosis Deficit (below-median CMS HTN rate)</w:t>
            </w:r>
          </w:p>
        </w:tc>
        <w:tc>
          <w:tcPr>
            <w:tcW w:type="dxa" w:w="10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center"/>
            </w:pPr>
            <w:r>
              <w:rPr>
                <w:rFonts w:ascii="Arial" w:cs="Arial" w:eastAsia="Arial" w:hAnsi="Arial"/>
                <w:color w:val="1A1A2E"/>
                <w:sz w:val="20"/>
                <w:szCs w:val="20"/>
              </w:rPr>
              <w:t xml:space="preserve">20%</w:t>
            </w:r>
          </w:p>
        </w:tc>
        <w:tc>
          <w:tcPr>
            <w:tcW w:type="dxa" w:w="512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CMS Geographic Variation PUF (Medicare claims)</w:t>
            </w:r>
          </w:p>
        </w:tc>
      </w:tr>
      <w:tr>
        <w:tc>
          <w:tcPr>
            <w:tcW w:type="dxa" w:w="36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Diagnostic Orphan Proxy (SES disadvantage × low checkup rate)</w:t>
            </w:r>
          </w:p>
        </w:tc>
        <w:tc>
          <w:tcPr>
            <w:tcW w:type="dxa" w:w="10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center"/>
            </w:pPr>
            <w:r>
              <w:rPr>
                <w:rFonts w:ascii="Arial" w:cs="Arial" w:eastAsia="Arial" w:hAnsi="Arial"/>
                <w:color w:val="1A1A2E"/>
                <w:sz w:val="20"/>
                <w:szCs w:val="20"/>
              </w:rPr>
              <w:t xml:space="preserve">25%</w:t>
            </w:r>
          </w:p>
        </w:tc>
        <w:tc>
          <w:tcPr>
            <w:tcW w:type="dxa" w:w="51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CDC PLACES 2024 + Census ACS 5-Year</w:t>
            </w:r>
          </w:p>
        </w:tc>
      </w:tr>
      <w:tr>
        <w:tc>
          <w:tcPr>
            <w:tcW w:type="dxa" w:w="36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Annual Checkup Rate (inverted — low checkup = higher gap)</w:t>
            </w:r>
          </w:p>
        </w:tc>
        <w:tc>
          <w:tcPr>
            <w:tcW w:type="dxa" w:w="10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center"/>
            </w:pPr>
            <w:r>
              <w:rPr>
                <w:rFonts w:ascii="Arial" w:cs="Arial" w:eastAsia="Arial" w:hAnsi="Arial"/>
                <w:color w:val="1A1A2E"/>
                <w:sz w:val="20"/>
                <w:szCs w:val="20"/>
              </w:rPr>
              <w:t xml:space="preserve">10%</w:t>
            </w:r>
          </w:p>
        </w:tc>
        <w:tc>
          <w:tcPr>
            <w:tcW w:type="dxa" w:w="512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CDC PLACES 2024 (2022 BRFSS)</w:t>
            </w:r>
          </w:p>
        </w:tc>
      </w:tr>
      <w:tr>
        <w:tc>
          <w:tcPr>
            <w:tcW w:type="dxa" w:w="36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Uninsured Rate (cost barrier preventing diagnosis)</w:t>
            </w:r>
          </w:p>
        </w:tc>
        <w:tc>
          <w:tcPr>
            <w:tcW w:type="dxa" w:w="10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center"/>
            </w:pPr>
            <w:r>
              <w:rPr>
                <w:rFonts w:ascii="Arial" w:cs="Arial" w:eastAsia="Arial" w:hAnsi="Arial"/>
                <w:color w:val="1A1A2E"/>
                <w:sz w:val="20"/>
                <w:szCs w:val="20"/>
              </w:rPr>
              <w:t xml:space="preserve">10%</w:t>
            </w:r>
          </w:p>
        </w:tc>
        <w:tc>
          <w:tcPr>
            <w:tcW w:type="dxa" w:w="51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Census ACS 5-Year Estimates</w:t>
            </w:r>
          </w:p>
        </w:tc>
      </w:tr>
    </w:tbl>
    <w:p>
      <w:pPr>
        <w:spacing w:after="120" w:before="0"/>
      </w:pPr>
      <w:r>
        <w:rPr>
          <w:rFonts w:ascii="Arial" w:cs="Arial" w:eastAsia="Arial" w:hAnsi="Arial"/>
          <w:sz w:val="22"/>
          <w:szCs w:val="22"/>
        </w:rPr>
        <w:t xml:space="preserve"/>
      </w:r>
    </w:p>
    <w:p>
      <w:pPr>
        <w:spacing w:after="70" w:before="200"/>
      </w:pPr>
      <w:r>
        <w:rPr>
          <w:rFonts w:ascii="Arial" w:cs="Arial" w:eastAsia="Arial" w:hAnsi="Arial"/>
          <w:b/>
          <w:bCs/>
          <w:color w:val="E63946"/>
          <w:sz w:val="22"/>
          <w:szCs w:val="22"/>
        </w:rPr>
        <w:t xml:space="preserve">How to Interpret This Score</w:t>
      </w:r>
    </w:p>
    <w:p>
      <w:pPr>
        <w:spacing w:after="140" w:before="0"/>
      </w:pPr>
      <w:r>
        <w:rPr>
          <w:rFonts w:ascii="Arial" w:cs="Arial" w:eastAsia="Arial" w:hAnsi="Arial"/>
          <w:color w:val="1A1A2E"/>
          <w:sz w:val="22"/>
          <w:szCs w:val="22"/>
        </w:rPr>
        <w:t xml:space="preserve">The T2D Treatment Penetration Gap is the primary signal: it multiplies CDC PLACES diabetes prevalence by the county's CMS Medicare detection deficit (how far below the national county median that county's Medicare T2D diagnosis rate falls). Counties with both high prevalence and below-median Medicare detection represent the widest population-level gap. The HTN deficit uses the same construction — the national Medicare HTN diagnosed rate is approximately 57–60%; counties well below this median are systematically failing to identify hypertension in their Medicare population.</w:t>
      </w:r>
    </w:p>
    <w:p>
      <w:pPr>
        <w:spacing w:after="60" w:before="0"/>
      </w:pPr>
      <w:r>
        <w:rPr>
          <w:rFonts w:ascii="Arial" w:cs="Arial" w:eastAsia="Arial" w:hAnsi="Arial"/>
          <w:sz w:val="22"/>
          <w:szCs w:val="22"/>
        </w:rPr>
        <w:t xml:space="preserve"/>
      </w:r>
    </w:p>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2A9D8F" w:val="clear"/>
            <w:tcMar>
              <w:top w:type="dxa" w:w="180"/>
              <w:left w:type="dxa" w:w="240"/>
              <w:bottom w:type="dxa" w:w="180"/>
              <w:right w:type="dxa" w:w="240"/>
            </w:tcMar>
          </w:tcPr>
          <w:p>
            <w:pPr>
              <w:spacing w:after="0" w:before="0"/>
            </w:pPr>
            <w:r>
              <w:rPr>
                <w:rFonts w:ascii="Arial" w:cs="Arial" w:eastAsia="Arial" w:hAnsi="Arial"/>
                <w:b/>
                <w:bCs/>
                <w:color w:val="FFFFFF"/>
                <w:sz w:val="30"/>
                <w:szCs w:val="30"/>
              </w:rPr>
              <w:t xml:space="preserve">DIMENSION 3:   ACCESS TO CARE   (Weight: 15%)</w:t>
            </w:r>
          </w:p>
        </w:tc>
      </w:tr>
    </w:tbl>
    <w:p>
      <w:pPr>
        <w:spacing w:after="140" w:before="0"/>
      </w:pPr>
      <w:r>
        <w:rPr>
          <w:rFonts w:ascii="Arial" w:cs="Arial" w:eastAsia="Arial" w:hAnsi="Arial"/>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1B3A5C" w:val="clear"/>
            <w:tcMar>
              <w:top w:type="dxa" w:w="100"/>
              <w:left w:type="dxa" w:w="200"/>
              <w:bottom w:type="dxa" w:w="100"/>
              <w:right w:type="dxa" w:w="200"/>
            </w:tcMar>
          </w:tcPr>
          <w:p>
            <w:pPr>
              <w:spacing w:after="40" w:before="0"/>
            </w:pPr>
            <w:r>
              <w:rPr>
                <w:rFonts w:ascii="Arial" w:cs="Arial" w:eastAsia="Arial" w:hAnsi="Arial"/>
                <w:b/>
                <w:bCs/>
                <w:color w:val="A8C4DC"/>
                <w:sz w:val="17"/>
                <w:szCs w:val="17"/>
              </w:rPr>
              <w:t xml:space="preserve">STRATEGIC QUESTION</w:t>
            </w:r>
          </w:p>
          <w:p>
            <w:pPr>
              <w:spacing w:after="0" w:before="0"/>
            </w:pPr>
            <w:r>
              <w:rPr>
                <w:rFonts w:ascii="Arial" w:cs="Arial" w:eastAsia="Arial" w:hAnsi="Arial"/>
                <w:b/>
                <w:bCs/>
                <w:i/>
                <w:iCs/>
                <w:color w:val="FFFFFF"/>
                <w:sz w:val="23"/>
                <w:szCs w:val="23"/>
              </w:rPr>
              <w:t xml:space="preserve">Does the infrastructure exist to act on what we find?</w:t>
            </w:r>
          </w:p>
        </w:tc>
      </w:tr>
    </w:tbl>
    <w:p>
      <w:pPr>
        <w:spacing w:after="120" w:before="0"/>
      </w:pPr>
      <w:r>
        <w:rPr>
          <w:rFonts w:ascii="Arial" w:cs="Arial" w:eastAsia="Arial" w:hAnsi="Arial"/>
          <w:sz w:val="22"/>
          <w:szCs w:val="22"/>
        </w:rPr>
        <w:t xml:space="preserve"/>
      </w:r>
    </w:p>
    <w:p>
      <w:pPr>
        <w:spacing w:after="140" w:before="0"/>
      </w:pPr>
      <w:r>
        <w:rPr>
          <w:rFonts w:ascii="Arial" w:cs="Arial" w:eastAsia="Arial" w:hAnsi="Arial"/>
          <w:color w:val="1A1A2E"/>
          <w:sz w:val="22"/>
          <w:szCs w:val="22"/>
        </w:rPr>
        <w:t xml:space="preserve">Access to Care assesses whether a screened, identified patient can realistically get diagnosed and treated in that geography. A county may have a large diagnosis gap but if the healthcare infrastructure does not exist to follow through on a referral, identification programs will fail to convert patients into treated individuals. Access is measured through federal shortage area designations, federally qualified health center presence, rural classification, and actual care-seeking behavior.</w:t>
      </w:r>
    </w:p>
    <w:p>
      <w:pPr>
        <w:spacing w:after="60" w:before="0"/>
      </w:pPr>
      <w:r>
        <w:rPr>
          <w:rFonts w:ascii="Arial" w:cs="Arial" w:eastAsia="Arial" w:hAnsi="Arial"/>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2A9D8F" w:sz="10"/>
              <w:bottom w:val="none" w:color="FFFFFF" w:sz="0"/>
              <w:right w:val="none" w:color="FFFFFF" w:sz="0"/>
            </w:tcBorders>
            <w:shd w:fill="F5F7FA" w:val="clear"/>
            <w:tcMar>
              <w:top w:type="dxa" w:w="120"/>
              <w:left w:type="dxa" w:w="220"/>
              <w:bottom w:type="dxa" w:w="120"/>
              <w:right w:type="dxa" w:w="220"/>
            </w:tcMar>
          </w:tcPr>
          <w:p>
            <w:pPr>
              <w:spacing w:after="0" w:before="0"/>
            </w:pPr>
            <w:r>
              <w:rPr>
                <w:rFonts w:ascii="Arial" w:cs="Arial" w:eastAsia="Arial" w:hAnsi="Arial"/>
                <w:i/>
                <w:iCs/>
                <w:color w:val="1A1A2E"/>
                <w:sz w:val="22"/>
                <w:szCs w:val="22"/>
              </w:rPr>
              <w:t xml:space="preserve">HPSA designation is a federal Health Professional Shortage Area flag published by HRSA. Counties with primary care HPSA designations have fewer physicians per capita than federal thresholds require. FQHCs (Federally Qualified Health Centers) are federally funded community health centers required to serve all patients regardless of ability to pay — their presence signals that basic primary care infrastructure exists even in high-shortage areas.</w:t>
            </w:r>
          </w:p>
        </w:tc>
      </w:tr>
    </w:tbl>
    <w:p>
      <w:pPr>
        <w:spacing w:after="80" w:before="0"/>
      </w:pPr>
      <w:r>
        <w:rPr>
          <w:rFonts w:ascii="Arial" w:cs="Arial" w:eastAsia="Arial" w:hAnsi="Arial"/>
          <w:sz w:val="22"/>
          <w:szCs w:val="22"/>
        </w:rPr>
        <w:t xml:space="preserve"/>
      </w:r>
    </w:p>
    <w:p>
      <w:pPr>
        <w:spacing w:after="70" w:before="200"/>
      </w:pPr>
      <w:r>
        <w:rPr>
          <w:rFonts w:ascii="Arial" w:cs="Arial" w:eastAsia="Arial" w:hAnsi="Arial"/>
          <w:b/>
          <w:bCs/>
          <w:color w:val="2A9D8F"/>
          <w:sz w:val="22"/>
          <w:szCs w:val="22"/>
        </w:rPr>
        <w:t xml:space="preserve">Scoring Signals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600"/>
        <w:gridCol w:w="1000"/>
        <w:gridCol w:w="5120"/>
      </w:tblGrid>
      <w:tr>
        <w:trPr>
          <w:tblHeader/>
        </w:trPr>
        <w:tc>
          <w:tcPr>
            <w:tcW w:type="dxa" w:w="36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Signal</w:t>
            </w:r>
          </w:p>
        </w:tc>
        <w:tc>
          <w:tcPr>
            <w:tcW w:type="dxa" w:w="10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Weight</w:t>
            </w:r>
          </w:p>
        </w:tc>
        <w:tc>
          <w:tcPr>
            <w:tcW w:type="dxa" w:w="512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Primary Data Source</w:t>
            </w:r>
          </w:p>
        </w:tc>
      </w:tr>
      <w:tr>
        <w:tc>
          <w:tcPr>
            <w:tcW w:type="dxa" w:w="36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Absence of HPSA Designation (inverted — no shortage = better access)</w:t>
            </w:r>
          </w:p>
        </w:tc>
        <w:tc>
          <w:tcPr>
            <w:tcW w:type="dxa" w:w="10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center"/>
            </w:pPr>
            <w:r>
              <w:rPr>
                <w:rFonts w:ascii="Arial" w:cs="Arial" w:eastAsia="Arial" w:hAnsi="Arial"/>
                <w:color w:val="1A1A2E"/>
                <w:sz w:val="20"/>
                <w:szCs w:val="20"/>
              </w:rPr>
              <w:t xml:space="preserve">35%</w:t>
            </w:r>
          </w:p>
        </w:tc>
        <w:tc>
          <w:tcPr>
            <w:tcW w:type="dxa" w:w="51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HRSA Health Professional Shortage Area (HPSA) Database</w:t>
            </w:r>
          </w:p>
        </w:tc>
      </w:tr>
      <w:tr>
        <w:tc>
          <w:tcPr>
            <w:tcW w:type="dxa" w:w="36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FQHC Presence (safety net infrastructure available)</w:t>
            </w:r>
          </w:p>
        </w:tc>
        <w:tc>
          <w:tcPr>
            <w:tcW w:type="dxa" w:w="10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center"/>
            </w:pPr>
            <w:r>
              <w:rPr>
                <w:rFonts w:ascii="Arial" w:cs="Arial" w:eastAsia="Arial" w:hAnsi="Arial"/>
                <w:color w:val="1A1A2E"/>
                <w:sz w:val="20"/>
                <w:szCs w:val="20"/>
              </w:rPr>
              <w:t xml:space="preserve">25%</w:t>
            </w:r>
          </w:p>
        </w:tc>
        <w:tc>
          <w:tcPr>
            <w:tcW w:type="dxa" w:w="512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HRSA HPSA Database / Bureau of Primary Health Care</w:t>
            </w:r>
          </w:p>
        </w:tc>
      </w:tr>
      <w:tr>
        <w:tc>
          <w:tcPr>
            <w:tcW w:type="dxa" w:w="36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Non-Rural Classification (urban/suburban = better provider density)</w:t>
            </w:r>
          </w:p>
        </w:tc>
        <w:tc>
          <w:tcPr>
            <w:tcW w:type="dxa" w:w="10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center"/>
            </w:pPr>
            <w:r>
              <w:rPr>
                <w:rFonts w:ascii="Arial" w:cs="Arial" w:eastAsia="Arial" w:hAnsi="Arial"/>
                <w:color w:val="1A1A2E"/>
                <w:sz w:val="20"/>
                <w:szCs w:val="20"/>
              </w:rPr>
              <w:t xml:space="preserve">20%</w:t>
            </w:r>
          </w:p>
        </w:tc>
        <w:tc>
          <w:tcPr>
            <w:tcW w:type="dxa" w:w="51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US Census / USDA Rural-Urban Continuum Codes (RUCC)</w:t>
            </w:r>
          </w:p>
        </w:tc>
      </w:tr>
      <w:tr>
        <w:tc>
          <w:tcPr>
            <w:tcW w:type="dxa" w:w="36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Annual Checkup Rate (proxy for active primary care utilization)</w:t>
            </w:r>
          </w:p>
        </w:tc>
        <w:tc>
          <w:tcPr>
            <w:tcW w:type="dxa" w:w="10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center"/>
            </w:pPr>
            <w:r>
              <w:rPr>
                <w:rFonts w:ascii="Arial" w:cs="Arial" w:eastAsia="Arial" w:hAnsi="Arial"/>
                <w:color w:val="1A1A2E"/>
                <w:sz w:val="20"/>
                <w:szCs w:val="20"/>
              </w:rPr>
              <w:t xml:space="preserve">20%</w:t>
            </w:r>
          </w:p>
        </w:tc>
        <w:tc>
          <w:tcPr>
            <w:tcW w:type="dxa" w:w="512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CDC PLACES 2024 (2022 BRFSS)</w:t>
            </w:r>
          </w:p>
        </w:tc>
      </w:tr>
    </w:tbl>
    <w:p>
      <w:pPr>
        <w:spacing w:after="120" w:before="0"/>
      </w:pPr>
      <w:r>
        <w:rPr>
          <w:rFonts w:ascii="Arial" w:cs="Arial" w:eastAsia="Arial" w:hAnsi="Arial"/>
          <w:sz w:val="22"/>
          <w:szCs w:val="22"/>
        </w:rPr>
        <w:t xml:space="preserve"/>
      </w:r>
    </w:p>
    <w:p>
      <w:pPr>
        <w:spacing w:after="70" w:before="200"/>
      </w:pPr>
      <w:r>
        <w:rPr>
          <w:rFonts w:ascii="Arial" w:cs="Arial" w:eastAsia="Arial" w:hAnsi="Arial"/>
          <w:b/>
          <w:bCs/>
          <w:color w:val="2A9D8F"/>
          <w:sz w:val="22"/>
          <w:szCs w:val="22"/>
        </w:rPr>
        <w:t xml:space="preserve">How to Interpret This Score</w:t>
      </w:r>
    </w:p>
    <w:p>
      <w:pPr>
        <w:spacing w:after="140" w:before="0"/>
      </w:pPr>
      <w:r>
        <w:rPr>
          <w:rFonts w:ascii="Arial" w:cs="Arial" w:eastAsia="Arial" w:hAnsi="Arial"/>
          <w:color w:val="1A1A2E"/>
          <w:sz w:val="22"/>
          <w:szCs w:val="22"/>
        </w:rPr>
        <w:t xml:space="preserve">Access to Care functions as a program design modifier, not a disqualifier. Low-access counties (score &lt;40) with high Diagnosis Gap scores are prioritized for Community Health Center Partnership programs — the intervention design adapts to the available infrastructure. High-access counties (score ≥65) with strong payer landscapes are candidates for payer partnership or pharmacy-based programs that depend on an activated referral network.</w:t>
      </w:r>
    </w:p>
    <w:p>
      <w:pPr>
        <w:spacing w:after="60" w:before="0"/>
      </w:pPr>
      <w:r>
        <w:rPr>
          <w:rFonts w:ascii="Arial" w:cs="Arial" w:eastAsia="Arial" w:hAnsi="Arial"/>
          <w:sz w:val="22"/>
          <w:szCs w:val="22"/>
        </w:rPr>
        <w:t xml:space="preserve"/>
      </w:r>
    </w:p>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F4A261" w:val="clear"/>
            <w:tcMar>
              <w:top w:type="dxa" w:w="180"/>
              <w:left w:type="dxa" w:w="240"/>
              <w:bottom w:type="dxa" w:w="180"/>
              <w:right w:type="dxa" w:w="240"/>
            </w:tcMar>
          </w:tcPr>
          <w:p>
            <w:pPr>
              <w:spacing w:after="0" w:before="0"/>
            </w:pPr>
            <w:r>
              <w:rPr>
                <w:rFonts w:ascii="Arial" w:cs="Arial" w:eastAsia="Arial" w:hAnsi="Arial"/>
                <w:b/>
                <w:bCs/>
                <w:color w:val="FFFFFF"/>
                <w:sz w:val="30"/>
                <w:szCs w:val="30"/>
              </w:rPr>
              <w:t xml:space="preserve">DIMENSION 4:   SOCIAL DETERMINANTS   (Weight: 15%)</w:t>
            </w:r>
          </w:p>
        </w:tc>
      </w:tr>
    </w:tbl>
    <w:p>
      <w:pPr>
        <w:spacing w:after="140" w:before="0"/>
      </w:pPr>
      <w:r>
        <w:rPr>
          <w:rFonts w:ascii="Arial" w:cs="Arial" w:eastAsia="Arial" w:hAnsi="Arial"/>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1B3A5C" w:val="clear"/>
            <w:tcMar>
              <w:top w:type="dxa" w:w="100"/>
              <w:left w:type="dxa" w:w="200"/>
              <w:bottom w:type="dxa" w:w="100"/>
              <w:right w:type="dxa" w:w="200"/>
            </w:tcMar>
          </w:tcPr>
          <w:p>
            <w:pPr>
              <w:spacing w:after="40" w:before="0"/>
            </w:pPr>
            <w:r>
              <w:rPr>
                <w:rFonts w:ascii="Arial" w:cs="Arial" w:eastAsia="Arial" w:hAnsi="Arial"/>
                <w:b/>
                <w:bCs/>
                <w:color w:val="A8C4DC"/>
                <w:sz w:val="17"/>
                <w:szCs w:val="17"/>
              </w:rPr>
              <w:t xml:space="preserve">STRATEGIC QUESTION</w:t>
            </w:r>
          </w:p>
          <w:p>
            <w:pPr>
              <w:spacing w:after="0" w:before="0"/>
            </w:pPr>
            <w:r>
              <w:rPr>
                <w:rFonts w:ascii="Arial" w:cs="Arial" w:eastAsia="Arial" w:hAnsi="Arial"/>
                <w:b/>
                <w:bCs/>
                <w:i/>
                <w:iCs/>
                <w:color w:val="FFFFFF"/>
                <w:sz w:val="23"/>
                <w:szCs w:val="23"/>
              </w:rPr>
              <w:t xml:space="preserve">What is causing the gap — and what type of program will work?</w:t>
            </w:r>
          </w:p>
        </w:tc>
      </w:tr>
    </w:tbl>
    <w:p>
      <w:pPr>
        <w:spacing w:after="120" w:before="0"/>
      </w:pPr>
      <w:r>
        <w:rPr>
          <w:rFonts w:ascii="Arial" w:cs="Arial" w:eastAsia="Arial" w:hAnsi="Arial"/>
          <w:sz w:val="22"/>
          <w:szCs w:val="22"/>
        </w:rPr>
        <w:t xml:space="preserve"/>
      </w:r>
    </w:p>
    <w:p>
      <w:pPr>
        <w:spacing w:after="140" w:before="0"/>
      </w:pPr>
      <w:r>
        <w:rPr>
          <w:rFonts w:ascii="Arial" w:cs="Arial" w:eastAsia="Arial" w:hAnsi="Arial"/>
          <w:color w:val="1A1A2E"/>
          <w:sz w:val="22"/>
          <w:szCs w:val="22"/>
        </w:rPr>
        <w:t xml:space="preserve">Social Determinants identifies the structural root causes driving the diagnosis gap. These factors — poverty, food insecurity, educational attainment, racial demographic composition, and insurance coverage — determine both why patients are undiagnosed and which type of intervention will be most effective at reaching them. High social determinants burden signals a complex market requiring community partnerships and culturally competent outreach; it does not disqualify a market but it does shape the program design.</w:t>
      </w:r>
    </w:p>
    <w:p>
      <w:pPr>
        <w:spacing w:after="60" w:before="0"/>
      </w:pPr>
      <w:r>
        <w:rPr>
          <w:rFonts w:ascii="Arial" w:cs="Arial" w:eastAsia="Arial" w:hAnsi="Arial"/>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F4A261" w:sz="10"/>
              <w:bottom w:val="none" w:color="FFFFFF" w:sz="0"/>
              <w:right w:val="none" w:color="FFFFFF" w:sz="0"/>
            </w:tcBorders>
            <w:shd w:fill="F5F7FA" w:val="clear"/>
            <w:tcMar>
              <w:top w:type="dxa" w:w="120"/>
              <w:left w:type="dxa" w:w="220"/>
              <w:bottom w:type="dxa" w:w="120"/>
              <w:right w:type="dxa" w:w="220"/>
            </w:tcMar>
          </w:tcPr>
          <w:p>
            <w:pPr>
              <w:spacing w:after="0" w:before="0"/>
            </w:pPr>
            <w:r>
              <w:rPr>
                <w:rFonts w:ascii="Arial" w:cs="Arial" w:eastAsia="Arial" w:hAnsi="Arial"/>
                <w:i/>
                <w:iCs/>
                <w:color w:val="1A1A2E"/>
                <w:sz w:val="22"/>
                <w:szCs w:val="22"/>
              </w:rPr>
              <w:t xml:space="preserve">The USDA Food Environment Atlas (ERS PCT_LACCESS_POP15) measures the percentage of the county population with low access to a grocery store — defined as residing more than 1 mile (urban) or 10 miles (rural) from the nearest supermarket. Food desert populations have significantly elevated T2D and HTN risk due to diet-quality constraints, making this a strong structural predictor of undiagnosed disease burden.</w:t>
            </w:r>
          </w:p>
        </w:tc>
      </w:tr>
    </w:tbl>
    <w:p>
      <w:pPr>
        <w:spacing w:after="80" w:before="0"/>
      </w:pPr>
      <w:r>
        <w:rPr>
          <w:rFonts w:ascii="Arial" w:cs="Arial" w:eastAsia="Arial" w:hAnsi="Arial"/>
          <w:sz w:val="22"/>
          <w:szCs w:val="22"/>
        </w:rPr>
        <w:t xml:space="preserve"/>
      </w:r>
    </w:p>
    <w:p>
      <w:pPr>
        <w:spacing w:after="70" w:before="200"/>
      </w:pPr>
      <w:r>
        <w:rPr>
          <w:rFonts w:ascii="Arial" w:cs="Arial" w:eastAsia="Arial" w:hAnsi="Arial"/>
          <w:b/>
          <w:bCs/>
          <w:color w:val="F4A261"/>
          <w:sz w:val="22"/>
          <w:szCs w:val="22"/>
        </w:rPr>
        <w:t xml:space="preserve">Scoring Signals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600"/>
        <w:gridCol w:w="1000"/>
        <w:gridCol w:w="5120"/>
      </w:tblGrid>
      <w:tr>
        <w:trPr>
          <w:tblHeader/>
        </w:trPr>
        <w:tc>
          <w:tcPr>
            <w:tcW w:type="dxa" w:w="36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Signal</w:t>
            </w:r>
          </w:p>
        </w:tc>
        <w:tc>
          <w:tcPr>
            <w:tcW w:type="dxa" w:w="10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Weight</w:t>
            </w:r>
          </w:p>
        </w:tc>
        <w:tc>
          <w:tcPr>
            <w:tcW w:type="dxa" w:w="512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Primary Data Source</w:t>
            </w:r>
          </w:p>
        </w:tc>
      </w:tr>
      <w:tr>
        <w:tc>
          <w:tcPr>
            <w:tcW w:type="dxa" w:w="36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Poverty Rate (% population below federal poverty line)</w:t>
            </w:r>
          </w:p>
        </w:tc>
        <w:tc>
          <w:tcPr>
            <w:tcW w:type="dxa" w:w="10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center"/>
            </w:pPr>
            <w:r>
              <w:rPr>
                <w:rFonts w:ascii="Arial" w:cs="Arial" w:eastAsia="Arial" w:hAnsi="Arial"/>
                <w:color w:val="1A1A2E"/>
                <w:sz w:val="20"/>
                <w:szCs w:val="20"/>
              </w:rPr>
              <w:t xml:space="preserve">25%</w:t>
            </w:r>
          </w:p>
        </w:tc>
        <w:tc>
          <w:tcPr>
            <w:tcW w:type="dxa" w:w="51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US Census / USDA SAIPE (Small Area Income &amp; Poverty Estimates)</w:t>
            </w:r>
          </w:p>
        </w:tc>
      </w:tr>
      <w:tr>
        <w:tc>
          <w:tcPr>
            <w:tcW w:type="dxa" w:w="36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SES Disadvantage Index (composite ACS deprivation score)</w:t>
            </w:r>
          </w:p>
        </w:tc>
        <w:tc>
          <w:tcPr>
            <w:tcW w:type="dxa" w:w="10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center"/>
            </w:pPr>
            <w:r>
              <w:rPr>
                <w:rFonts w:ascii="Arial" w:cs="Arial" w:eastAsia="Arial" w:hAnsi="Arial"/>
                <w:color w:val="1A1A2E"/>
                <w:sz w:val="20"/>
                <w:szCs w:val="20"/>
              </w:rPr>
              <w:t xml:space="preserve">25%</w:t>
            </w:r>
          </w:p>
        </w:tc>
        <w:tc>
          <w:tcPr>
            <w:tcW w:type="dxa" w:w="512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Census ACS 5-Year (income, education, employment, housing)</w:t>
            </w:r>
          </w:p>
        </w:tc>
      </w:tr>
      <w:tr>
        <w:tc>
          <w:tcPr>
            <w:tcW w:type="dxa" w:w="36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Racial Risk Index (population-weighted T2D/HTN disease risk)</w:t>
            </w:r>
          </w:p>
        </w:tc>
        <w:tc>
          <w:tcPr>
            <w:tcW w:type="dxa" w:w="10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center"/>
            </w:pPr>
            <w:r>
              <w:rPr>
                <w:rFonts w:ascii="Arial" w:cs="Arial" w:eastAsia="Arial" w:hAnsi="Arial"/>
                <w:color w:val="1A1A2E"/>
                <w:sz w:val="20"/>
                <w:szCs w:val="20"/>
              </w:rPr>
              <w:t xml:space="preserve">20%</w:t>
            </w:r>
          </w:p>
        </w:tc>
        <w:tc>
          <w:tcPr>
            <w:tcW w:type="dxa" w:w="51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Census ACS 5-Year (race/ethnicity × published CDC risk rates)</w:t>
            </w:r>
          </w:p>
        </w:tc>
      </w:tr>
      <w:tr>
        <w:tc>
          <w:tcPr>
            <w:tcW w:type="dxa" w:w="36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Uninsured Rate (% population without health coverage)</w:t>
            </w:r>
          </w:p>
        </w:tc>
        <w:tc>
          <w:tcPr>
            <w:tcW w:type="dxa" w:w="10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center"/>
            </w:pPr>
            <w:r>
              <w:rPr>
                <w:rFonts w:ascii="Arial" w:cs="Arial" w:eastAsia="Arial" w:hAnsi="Arial"/>
                <w:color w:val="1A1A2E"/>
                <w:sz w:val="20"/>
                <w:szCs w:val="20"/>
              </w:rPr>
              <w:t xml:space="preserve">15%</w:t>
            </w:r>
          </w:p>
        </w:tc>
        <w:tc>
          <w:tcPr>
            <w:tcW w:type="dxa" w:w="512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Census ACS 5-Year Estimates</w:t>
            </w:r>
          </w:p>
        </w:tc>
      </w:tr>
      <w:tr>
        <w:tc>
          <w:tcPr>
            <w:tcW w:type="dxa" w:w="36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Food Desert Population % (low grocery access — USDA ERS)</w:t>
            </w:r>
          </w:p>
        </w:tc>
        <w:tc>
          <w:tcPr>
            <w:tcW w:type="dxa" w:w="10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center"/>
            </w:pPr>
            <w:r>
              <w:rPr>
                <w:rFonts w:ascii="Arial" w:cs="Arial" w:eastAsia="Arial" w:hAnsi="Arial"/>
                <w:color w:val="1A1A2E"/>
                <w:sz w:val="20"/>
                <w:szCs w:val="20"/>
              </w:rPr>
              <w:t xml:space="preserve">10%</w:t>
            </w:r>
          </w:p>
        </w:tc>
        <w:tc>
          <w:tcPr>
            <w:tcW w:type="dxa" w:w="51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USDA Food Environment Atlas (PCT_LACCESS_POP15)</w:t>
            </w:r>
          </w:p>
        </w:tc>
      </w:tr>
      <w:tr>
        <w:tc>
          <w:tcPr>
            <w:tcW w:type="dxa" w:w="36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HS Graduation Rate (inverted — low education = health literacy barrier)</w:t>
            </w:r>
          </w:p>
        </w:tc>
        <w:tc>
          <w:tcPr>
            <w:tcW w:type="dxa" w:w="10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center"/>
            </w:pPr>
            <w:r>
              <w:rPr>
                <w:rFonts w:ascii="Arial" w:cs="Arial" w:eastAsia="Arial" w:hAnsi="Arial"/>
                <w:color w:val="1A1A2E"/>
                <w:sz w:val="20"/>
                <w:szCs w:val="20"/>
              </w:rPr>
              <w:t xml:space="preserve">5%</w:t>
            </w:r>
          </w:p>
        </w:tc>
        <w:tc>
          <w:tcPr>
            <w:tcW w:type="dxa" w:w="512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County Health Rankings (Robert Wood Johnson Foundation)</w:t>
            </w:r>
          </w:p>
        </w:tc>
      </w:tr>
    </w:tbl>
    <w:p>
      <w:pPr>
        <w:spacing w:after="120" w:before="0"/>
      </w:pPr>
      <w:r>
        <w:rPr>
          <w:rFonts w:ascii="Arial" w:cs="Arial" w:eastAsia="Arial" w:hAnsi="Arial"/>
          <w:sz w:val="22"/>
          <w:szCs w:val="22"/>
        </w:rPr>
        <w:t xml:space="preserve"/>
      </w:r>
    </w:p>
    <w:p>
      <w:pPr>
        <w:spacing w:after="70" w:before="200"/>
      </w:pPr>
      <w:r>
        <w:rPr>
          <w:rFonts w:ascii="Arial" w:cs="Arial" w:eastAsia="Arial" w:hAnsi="Arial"/>
          <w:b/>
          <w:bCs/>
          <w:color w:val="F4A261"/>
          <w:sz w:val="22"/>
          <w:szCs w:val="22"/>
        </w:rPr>
        <w:t xml:space="preserve">How to Interpret This Score</w:t>
      </w:r>
    </w:p>
    <w:p>
      <w:pPr>
        <w:spacing w:after="140" w:before="0"/>
      </w:pPr>
      <w:r>
        <w:rPr>
          <w:rFonts w:ascii="Arial" w:cs="Arial" w:eastAsia="Arial" w:hAnsi="Arial"/>
          <w:color w:val="1A1A2E"/>
          <w:sz w:val="22"/>
          <w:szCs w:val="22"/>
        </w:rPr>
        <w:t xml:space="preserve">The Racial Risk Index weights county demographic composition by published CDC disease risk differentials: Black adults (T2D risk 2.0×), Hispanic/Latino adults (1.7×), American Indian/Alaska Native adults (2.3×), Asian adults (1.6×), and non-Hispanic White adults (1.0×). This reflects the documented disparity in chronic disease risk — counties with higher concentrations of high-risk demographic groups have structurally elevated undiagnosed disease burden independent of measured prevalence rates.</w:t>
      </w:r>
    </w:p>
    <w:p>
      <w:pPr>
        <w:spacing w:after="60" w:before="0"/>
      </w:pPr>
      <w:r>
        <w:rPr>
          <w:rFonts w:ascii="Arial" w:cs="Arial" w:eastAsia="Arial" w:hAnsi="Arial"/>
          <w:sz w:val="22"/>
          <w:szCs w:val="22"/>
        </w:rPr>
        <w:t xml:space="preserve"/>
      </w:r>
    </w:p>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457B9D" w:val="clear"/>
            <w:tcMar>
              <w:top w:type="dxa" w:w="180"/>
              <w:left w:type="dxa" w:w="240"/>
              <w:bottom w:type="dxa" w:w="180"/>
              <w:right w:type="dxa" w:w="240"/>
            </w:tcMar>
          </w:tcPr>
          <w:p>
            <w:pPr>
              <w:spacing w:after="0" w:before="0"/>
            </w:pPr>
            <w:r>
              <w:rPr>
                <w:rFonts w:ascii="Arial" w:cs="Arial" w:eastAsia="Arial" w:hAnsi="Arial"/>
                <w:b/>
                <w:bCs/>
                <w:color w:val="FFFFFF"/>
                <w:sz w:val="30"/>
                <w:szCs w:val="30"/>
              </w:rPr>
              <w:t xml:space="preserve">DIMENSION 5:   PAYER LANDSCAPE   (Weight: 10%)</w:t>
            </w:r>
          </w:p>
        </w:tc>
      </w:tr>
    </w:tbl>
    <w:p>
      <w:pPr>
        <w:spacing w:after="140" w:before="0"/>
      </w:pPr>
      <w:r>
        <w:rPr>
          <w:rFonts w:ascii="Arial" w:cs="Arial" w:eastAsia="Arial" w:hAnsi="Arial"/>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1B3A5C" w:val="clear"/>
            <w:tcMar>
              <w:top w:type="dxa" w:w="100"/>
              <w:left w:type="dxa" w:w="200"/>
              <w:bottom w:type="dxa" w:w="100"/>
              <w:right w:type="dxa" w:w="200"/>
            </w:tcMar>
          </w:tcPr>
          <w:p>
            <w:pPr>
              <w:spacing w:after="40" w:before="0"/>
            </w:pPr>
            <w:r>
              <w:rPr>
                <w:rFonts w:ascii="Arial" w:cs="Arial" w:eastAsia="Arial" w:hAnsi="Arial"/>
                <w:b/>
                <w:bCs/>
                <w:color w:val="A8C4DC"/>
                <w:sz w:val="17"/>
                <w:szCs w:val="17"/>
              </w:rPr>
              <w:t xml:space="preserve">STRATEGIC QUESTION</w:t>
            </w:r>
          </w:p>
          <w:p>
            <w:pPr>
              <w:spacing w:after="0" w:before="0"/>
            </w:pPr>
            <w:r>
              <w:rPr>
                <w:rFonts w:ascii="Arial" w:cs="Arial" w:eastAsia="Arial" w:hAnsi="Arial"/>
                <w:b/>
                <w:bCs/>
                <w:i/>
                <w:iCs/>
                <w:color w:val="FFFFFF"/>
                <w:sz w:val="23"/>
                <w:szCs w:val="23"/>
              </w:rPr>
              <w:t xml:space="preserve">Who pays for the solution — and why would they say yes?</w:t>
            </w:r>
          </w:p>
        </w:tc>
      </w:tr>
    </w:tbl>
    <w:p>
      <w:pPr>
        <w:spacing w:after="120" w:before="0"/>
      </w:pPr>
      <w:r>
        <w:rPr>
          <w:rFonts w:ascii="Arial" w:cs="Arial" w:eastAsia="Arial" w:hAnsi="Arial"/>
          <w:sz w:val="22"/>
          <w:szCs w:val="22"/>
        </w:rPr>
        <w:t xml:space="preserve"/>
      </w:r>
    </w:p>
    <w:p>
      <w:pPr>
        <w:spacing w:after="140" w:before="0"/>
      </w:pPr>
      <w:r>
        <w:rPr>
          <w:rFonts w:ascii="Arial" w:cs="Arial" w:eastAsia="Arial" w:hAnsi="Arial"/>
          <w:color w:val="1A1A2E"/>
          <w:sz w:val="22"/>
          <w:szCs w:val="22"/>
        </w:rPr>
        <w:t xml:space="preserve">Payer Landscape determines who insures the undiagnosed population and what financial incentives exist to fund a patient identification program. Medicare Advantage (MA) plans have the strongest incentives: their Stars quality ratings include diabetes and hypertension care measures, and every percentage-point improvement in Stars ratings translates to significant per-member-per-year bonus payments from CMS. Counties with high MA penetration are the highest-readiness markets for payer partnership pitches.</w:t>
      </w:r>
    </w:p>
    <w:p>
      <w:pPr>
        <w:spacing w:after="80" w:before="0"/>
      </w:pPr>
      <w:r>
        <w:rPr>
          <w:rFonts w:ascii="Arial" w:cs="Arial" w:eastAsia="Arial" w:hAnsi="Arial"/>
          <w:sz w:val="22"/>
          <w:szCs w:val="22"/>
        </w:rPr>
        <w:t xml:space="preserve"/>
      </w:r>
    </w:p>
    <w:p>
      <w:pPr>
        <w:spacing w:after="70" w:before="200"/>
      </w:pPr>
      <w:r>
        <w:rPr>
          <w:rFonts w:ascii="Arial" w:cs="Arial" w:eastAsia="Arial" w:hAnsi="Arial"/>
          <w:b/>
          <w:bCs/>
          <w:color w:val="457B9D"/>
          <w:sz w:val="22"/>
          <w:szCs w:val="22"/>
        </w:rPr>
        <w:t xml:space="preserve">Scoring Signals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600"/>
        <w:gridCol w:w="1000"/>
        <w:gridCol w:w="5120"/>
      </w:tblGrid>
      <w:tr>
        <w:trPr>
          <w:tblHeader/>
        </w:trPr>
        <w:tc>
          <w:tcPr>
            <w:tcW w:type="dxa" w:w="36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Signal</w:t>
            </w:r>
          </w:p>
        </w:tc>
        <w:tc>
          <w:tcPr>
            <w:tcW w:type="dxa" w:w="10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Weight</w:t>
            </w:r>
          </w:p>
        </w:tc>
        <w:tc>
          <w:tcPr>
            <w:tcW w:type="dxa" w:w="512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Primary Data Source</w:t>
            </w:r>
          </w:p>
        </w:tc>
      </w:tr>
      <w:tr>
        <w:tc>
          <w:tcPr>
            <w:tcW w:type="dxa" w:w="36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Medicare Advantage Penetration Rate (% Medicare beneficiaries in MA)</w:t>
            </w:r>
          </w:p>
        </w:tc>
        <w:tc>
          <w:tcPr>
            <w:tcW w:type="dxa" w:w="10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center"/>
            </w:pPr>
            <w:r>
              <w:rPr>
                <w:rFonts w:ascii="Arial" w:cs="Arial" w:eastAsia="Arial" w:hAnsi="Arial"/>
                <w:color w:val="1A1A2E"/>
                <w:sz w:val="20"/>
                <w:szCs w:val="20"/>
              </w:rPr>
              <w:t xml:space="preserve">40%</w:t>
            </w:r>
          </w:p>
        </w:tc>
        <w:tc>
          <w:tcPr>
            <w:tcW w:type="dxa" w:w="51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CMS Geographic Variation Public Use File (GV PUF)</w:t>
            </w:r>
          </w:p>
        </w:tc>
      </w:tr>
      <w:tr>
        <w:tc>
          <w:tcPr>
            <w:tcW w:type="dxa" w:w="36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Medicaid Penetration (% population enrolled in Medicaid/CHIP)</w:t>
            </w:r>
          </w:p>
        </w:tc>
        <w:tc>
          <w:tcPr>
            <w:tcW w:type="dxa" w:w="10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center"/>
            </w:pPr>
            <w:r>
              <w:rPr>
                <w:rFonts w:ascii="Arial" w:cs="Arial" w:eastAsia="Arial" w:hAnsi="Arial"/>
                <w:color w:val="1A1A2E"/>
                <w:sz w:val="20"/>
                <w:szCs w:val="20"/>
              </w:rPr>
              <w:t xml:space="preserve">30%</w:t>
            </w:r>
          </w:p>
        </w:tc>
        <w:tc>
          <w:tcPr>
            <w:tcW w:type="dxa" w:w="512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Census ACS 5-Year / CMS State Medicaid data</w:t>
            </w:r>
          </w:p>
        </w:tc>
      </w:tr>
      <w:tr>
        <w:tc>
          <w:tcPr>
            <w:tcW w:type="dxa" w:w="36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Commercial Coverage Rate (% population with employer/private coverage)</w:t>
            </w:r>
          </w:p>
        </w:tc>
        <w:tc>
          <w:tcPr>
            <w:tcW w:type="dxa" w:w="10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center"/>
            </w:pPr>
            <w:r>
              <w:rPr>
                <w:rFonts w:ascii="Arial" w:cs="Arial" w:eastAsia="Arial" w:hAnsi="Arial"/>
                <w:color w:val="1A1A2E"/>
                <w:sz w:val="20"/>
                <w:szCs w:val="20"/>
              </w:rPr>
              <w:t xml:space="preserve">20%</w:t>
            </w:r>
          </w:p>
        </w:tc>
        <w:tc>
          <w:tcPr>
            <w:tcW w:type="dxa" w:w="51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Census ACS 5-Year Estimates</w:t>
            </w:r>
          </w:p>
        </w:tc>
      </w:tr>
      <w:tr>
        <w:tc>
          <w:tcPr>
            <w:tcW w:type="dxa" w:w="36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Dual Eligible Rate (Medicare + Medicaid co-enrollment proxy)</w:t>
            </w:r>
          </w:p>
        </w:tc>
        <w:tc>
          <w:tcPr>
            <w:tcW w:type="dxa" w:w="10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center"/>
            </w:pPr>
            <w:r>
              <w:rPr>
                <w:rFonts w:ascii="Arial" w:cs="Arial" w:eastAsia="Arial" w:hAnsi="Arial"/>
                <w:color w:val="1A1A2E"/>
                <w:sz w:val="20"/>
                <w:szCs w:val="20"/>
              </w:rPr>
              <w:t xml:space="preserve">10%</w:t>
            </w:r>
          </w:p>
        </w:tc>
        <w:tc>
          <w:tcPr>
            <w:tcW w:type="dxa" w:w="512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CMS GV PUF / Census ACS composite</w:t>
            </w:r>
          </w:p>
        </w:tc>
      </w:tr>
    </w:tbl>
    <w:p>
      <w:pPr>
        <w:spacing w:after="120" w:before="0"/>
      </w:pPr>
      <w:r>
        <w:rPr>
          <w:rFonts w:ascii="Arial" w:cs="Arial" w:eastAsia="Arial" w:hAnsi="Arial"/>
          <w:sz w:val="22"/>
          <w:szCs w:val="22"/>
        </w:rPr>
        <w:t xml:space="preserve"/>
      </w:r>
    </w:p>
    <w:p>
      <w:pPr>
        <w:spacing w:after="70" w:before="200"/>
      </w:pPr>
      <w:r>
        <w:rPr>
          <w:rFonts w:ascii="Arial" w:cs="Arial" w:eastAsia="Arial" w:hAnsi="Arial"/>
          <w:b/>
          <w:bCs/>
          <w:color w:val="457B9D"/>
          <w:sz w:val="22"/>
          <w:szCs w:val="22"/>
        </w:rPr>
        <w:t xml:space="preserve">How to Interpret This Score</w:t>
      </w:r>
    </w:p>
    <w:p>
      <w:pPr>
        <w:spacing w:after="140" w:before="0"/>
      </w:pPr>
      <w:r>
        <w:rPr>
          <w:rFonts w:ascii="Arial" w:cs="Arial" w:eastAsia="Arial" w:hAnsi="Arial"/>
          <w:color w:val="1A1A2E"/>
          <w:sz w:val="22"/>
          <w:szCs w:val="22"/>
        </w:rPr>
        <w:t xml:space="preserve">Counties with MA penetration above 40% have a critical mass of Medicare beneficiaries in plans with quality-driven financial incentives. The CMS Stars Ratings system rewards MA plans for diabetes eye exam rates, HbA1c testing, blood pressure control, and medication adherence — all of which improve when previously undiagnosed patients enter the care system. Counties with Medicaid penetration above 30% are candidates for MCO-funded programs with HEDIS measure improvement as the ROI driver.</w:t>
      </w:r>
    </w:p>
    <w:p>
      <w:pPr>
        <w:spacing w:after="60" w:before="0"/>
      </w:pPr>
      <w:r>
        <w:rPr>
          <w:rFonts w:ascii="Arial" w:cs="Arial" w:eastAsia="Arial" w:hAnsi="Arial"/>
          <w:sz w:val="22"/>
          <w:szCs w:val="22"/>
        </w:rPr>
        <w:t xml:space="preserve"/>
      </w:r>
    </w:p>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8338EC" w:val="clear"/>
            <w:tcMar>
              <w:top w:type="dxa" w:w="180"/>
              <w:left w:type="dxa" w:w="240"/>
              <w:bottom w:type="dxa" w:w="180"/>
              <w:right w:type="dxa" w:w="240"/>
            </w:tcMar>
          </w:tcPr>
          <w:p>
            <w:pPr>
              <w:spacing w:after="0" w:before="0"/>
            </w:pPr>
            <w:r>
              <w:rPr>
                <w:rFonts w:ascii="Arial" w:cs="Arial" w:eastAsia="Arial" w:hAnsi="Arial"/>
                <w:b/>
                <w:bCs/>
                <w:color w:val="FFFFFF"/>
                <w:sz w:val="30"/>
                <w:szCs w:val="30"/>
              </w:rPr>
              <w:t xml:space="preserve">DIMENSION 6:   COMMERCIAL READINESS   (Weight: 10%)</w:t>
            </w:r>
          </w:p>
        </w:tc>
      </w:tr>
    </w:tbl>
    <w:p>
      <w:pPr>
        <w:spacing w:after="140" w:before="0"/>
      </w:pPr>
      <w:r>
        <w:rPr>
          <w:rFonts w:ascii="Arial" w:cs="Arial" w:eastAsia="Arial" w:hAnsi="Arial"/>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1B3A5C" w:val="clear"/>
            <w:tcMar>
              <w:top w:type="dxa" w:w="100"/>
              <w:left w:type="dxa" w:w="200"/>
              <w:bottom w:type="dxa" w:w="100"/>
              <w:right w:type="dxa" w:w="200"/>
            </w:tcMar>
          </w:tcPr>
          <w:p>
            <w:pPr>
              <w:spacing w:after="40" w:before="0"/>
            </w:pPr>
            <w:r>
              <w:rPr>
                <w:rFonts w:ascii="Arial" w:cs="Arial" w:eastAsia="Arial" w:hAnsi="Arial"/>
                <w:b/>
                <w:bCs/>
                <w:color w:val="A8C4DC"/>
                <w:sz w:val="17"/>
                <w:szCs w:val="17"/>
              </w:rPr>
              <w:t xml:space="preserve">STRATEGIC QUESTION</w:t>
            </w:r>
          </w:p>
          <w:p>
            <w:pPr>
              <w:spacing w:after="0" w:before="0"/>
            </w:pPr>
            <w:r>
              <w:rPr>
                <w:rFonts w:ascii="Arial" w:cs="Arial" w:eastAsia="Arial" w:hAnsi="Arial"/>
                <w:b/>
                <w:bCs/>
                <w:i/>
                <w:iCs/>
                <w:color w:val="FFFFFF"/>
                <w:sz w:val="23"/>
                <w:szCs w:val="23"/>
              </w:rPr>
              <w:t xml:space="preserve">How hard is it to run a program here?</w:t>
            </w:r>
          </w:p>
        </w:tc>
      </w:tr>
    </w:tbl>
    <w:p>
      <w:pPr>
        <w:spacing w:after="120" w:before="0"/>
      </w:pPr>
      <w:r>
        <w:rPr>
          <w:rFonts w:ascii="Arial" w:cs="Arial" w:eastAsia="Arial" w:hAnsi="Arial"/>
          <w:sz w:val="22"/>
          <w:szCs w:val="22"/>
        </w:rPr>
        <w:t xml:space="preserve"/>
      </w:r>
    </w:p>
    <w:p>
      <w:pPr>
        <w:spacing w:after="140" w:before="0"/>
      </w:pPr>
      <w:r>
        <w:rPr>
          <w:rFonts w:ascii="Arial" w:cs="Arial" w:eastAsia="Arial" w:hAnsi="Arial"/>
          <w:color w:val="1A1A2E"/>
          <w:sz w:val="22"/>
          <w:szCs w:val="22"/>
        </w:rPr>
        <w:t xml:space="preserve">Commercial Readiness assesses the operational feasibility of launching and scaling a patient identification program in a given geography. Even the highest-opportunity market is commercially useless if the field infrastructure required to execute a program does not exist. Readiness is measured through digital connectivity (broadband), urbanicity (proxy for pharmacy density and health system infrastructure), income (proxy for OTC product engagement), and existing care-seeking behavior.</w:t>
      </w:r>
    </w:p>
    <w:p>
      <w:pPr>
        <w:spacing w:after="80" w:before="0"/>
      </w:pPr>
      <w:r>
        <w:rPr>
          <w:rFonts w:ascii="Arial" w:cs="Arial" w:eastAsia="Arial" w:hAnsi="Arial"/>
          <w:sz w:val="22"/>
          <w:szCs w:val="22"/>
        </w:rPr>
        <w:t xml:space="preserve"/>
      </w:r>
    </w:p>
    <w:p>
      <w:pPr>
        <w:spacing w:after="70" w:before="200"/>
      </w:pPr>
      <w:r>
        <w:rPr>
          <w:rFonts w:ascii="Arial" w:cs="Arial" w:eastAsia="Arial" w:hAnsi="Arial"/>
          <w:b/>
          <w:bCs/>
          <w:color w:val="8338EC"/>
          <w:sz w:val="22"/>
          <w:szCs w:val="22"/>
        </w:rPr>
        <w:t xml:space="preserve">Scoring Signals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600"/>
        <w:gridCol w:w="1000"/>
        <w:gridCol w:w="5120"/>
      </w:tblGrid>
      <w:tr>
        <w:trPr>
          <w:tblHeader/>
        </w:trPr>
        <w:tc>
          <w:tcPr>
            <w:tcW w:type="dxa" w:w="36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Signal</w:t>
            </w:r>
          </w:p>
        </w:tc>
        <w:tc>
          <w:tcPr>
            <w:tcW w:type="dxa" w:w="10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Weight</w:t>
            </w:r>
          </w:p>
        </w:tc>
        <w:tc>
          <w:tcPr>
            <w:tcW w:type="dxa" w:w="512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Primary Data Source</w:t>
            </w:r>
          </w:p>
        </w:tc>
      </w:tr>
      <w:tr>
        <w:tc>
          <w:tcPr>
            <w:tcW w:type="dxa" w:w="36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Broadband Access Rate (% households with broadband internet)</w:t>
            </w:r>
          </w:p>
        </w:tc>
        <w:tc>
          <w:tcPr>
            <w:tcW w:type="dxa" w:w="10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center"/>
            </w:pPr>
            <w:r>
              <w:rPr>
                <w:rFonts w:ascii="Arial" w:cs="Arial" w:eastAsia="Arial" w:hAnsi="Arial"/>
                <w:color w:val="1A1A2E"/>
                <w:sz w:val="20"/>
                <w:szCs w:val="20"/>
              </w:rPr>
              <w:t xml:space="preserve">30%</w:t>
            </w:r>
          </w:p>
        </w:tc>
        <w:tc>
          <w:tcPr>
            <w:tcW w:type="dxa" w:w="51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Census ACS 5-Year Estimates</w:t>
            </w:r>
          </w:p>
        </w:tc>
      </w:tr>
      <w:tr>
        <w:tc>
          <w:tcPr>
            <w:tcW w:type="dxa" w:w="36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Non-Rural Classification (urban/suburban infrastructure proxy)</w:t>
            </w:r>
          </w:p>
        </w:tc>
        <w:tc>
          <w:tcPr>
            <w:tcW w:type="dxa" w:w="10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center"/>
            </w:pPr>
            <w:r>
              <w:rPr>
                <w:rFonts w:ascii="Arial" w:cs="Arial" w:eastAsia="Arial" w:hAnsi="Arial"/>
                <w:color w:val="1A1A2E"/>
                <w:sz w:val="20"/>
                <w:szCs w:val="20"/>
              </w:rPr>
              <w:t xml:space="preserve">25%</w:t>
            </w:r>
          </w:p>
        </w:tc>
        <w:tc>
          <w:tcPr>
            <w:tcW w:type="dxa" w:w="512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Census / USDA Rural-Urban Continuum Codes (RUCC 1–6)</w:t>
            </w:r>
          </w:p>
        </w:tc>
      </w:tr>
      <w:tr>
        <w:tc>
          <w:tcPr>
            <w:tcW w:type="dxa" w:w="36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Median Household Income (OTC purchasing / engagement proxy)</w:t>
            </w:r>
          </w:p>
        </w:tc>
        <w:tc>
          <w:tcPr>
            <w:tcW w:type="dxa" w:w="10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center"/>
            </w:pPr>
            <w:r>
              <w:rPr>
                <w:rFonts w:ascii="Arial" w:cs="Arial" w:eastAsia="Arial" w:hAnsi="Arial"/>
                <w:color w:val="1A1A2E"/>
                <w:sz w:val="20"/>
                <w:szCs w:val="20"/>
              </w:rPr>
              <w:t xml:space="preserve">25%</w:t>
            </w:r>
          </w:p>
        </w:tc>
        <w:tc>
          <w:tcPr>
            <w:tcW w:type="dxa" w:w="51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Census ACS 5-Year Estimates</w:t>
            </w:r>
          </w:p>
        </w:tc>
      </w:tr>
      <w:tr>
        <w:tc>
          <w:tcPr>
            <w:tcW w:type="dxa" w:w="36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Annual Checkup Rate (existing patient-provider relationship)</w:t>
            </w:r>
          </w:p>
        </w:tc>
        <w:tc>
          <w:tcPr>
            <w:tcW w:type="dxa" w:w="10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center"/>
            </w:pPr>
            <w:r>
              <w:rPr>
                <w:rFonts w:ascii="Arial" w:cs="Arial" w:eastAsia="Arial" w:hAnsi="Arial"/>
                <w:color w:val="1A1A2E"/>
                <w:sz w:val="20"/>
                <w:szCs w:val="20"/>
              </w:rPr>
              <w:t xml:space="preserve">20%</w:t>
            </w:r>
          </w:p>
        </w:tc>
        <w:tc>
          <w:tcPr>
            <w:tcW w:type="dxa" w:w="512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CDC PLACES 2024 (2022 BRFSS)</w:t>
            </w:r>
          </w:p>
        </w:tc>
      </w:tr>
    </w:tbl>
    <w:p>
      <w:pPr>
        <w:spacing w:after="120" w:before="0"/>
      </w:pPr>
      <w:r>
        <w:rPr>
          <w:rFonts w:ascii="Arial" w:cs="Arial" w:eastAsia="Arial" w:hAnsi="Arial"/>
          <w:sz w:val="22"/>
          <w:szCs w:val="22"/>
        </w:rPr>
        <w:t xml:space="preserve"/>
      </w:r>
    </w:p>
    <w:p>
      <w:pPr>
        <w:spacing w:after="70" w:before="200"/>
      </w:pPr>
      <w:r>
        <w:rPr>
          <w:rFonts w:ascii="Arial" w:cs="Arial" w:eastAsia="Arial" w:hAnsi="Arial"/>
          <w:b/>
          <w:bCs/>
          <w:color w:val="8338EC"/>
          <w:sz w:val="22"/>
          <w:szCs w:val="22"/>
        </w:rPr>
        <w:t xml:space="preserve">How to Interpret This Score</w:t>
      </w:r>
    </w:p>
    <w:p>
      <w:pPr>
        <w:spacing w:after="140" w:before="0"/>
      </w:pPr>
      <w:r>
        <w:rPr>
          <w:rFonts w:ascii="Arial" w:cs="Arial" w:eastAsia="Arial" w:hAnsi="Arial"/>
          <w:color w:val="1A1A2E"/>
          <w:sz w:val="22"/>
          <w:szCs w:val="22"/>
        </w:rPr>
        <w:t xml:space="preserve">Broadband access above 75% indicates a market where digital health programs — telehealth-based screening, CGM-connected identification, app-based navigation — are operationally viable. Non-rural counties (RUCC codes 1–3: metropolitan areas) typically have retail pharmacy density sufficient for pharmacy-based screening programs and are more likely to have large self-insured employers for wellness program partnerships. Counties with median household income above $55,000 show higher OTC product engagement, suggesting an activated consumer health behavior that screening programs can intercept.</w:t>
      </w:r>
    </w:p>
    <w:p>
      <w:pPr>
        <w:spacing w:after="60" w:before="0"/>
      </w:pPr>
      <w:r>
        <w:rPr>
          <w:rFonts w:ascii="Arial" w:cs="Arial" w:eastAsia="Arial" w:hAnsi="Arial"/>
          <w:sz w:val="22"/>
          <w:szCs w:val="22"/>
        </w:rPr>
        <w:t xml:space="preserve"/>
      </w:r>
    </w:p>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06A67A" w:val="clear"/>
            <w:tcMar>
              <w:top w:type="dxa" w:w="180"/>
              <w:left w:type="dxa" w:w="240"/>
              <w:bottom w:type="dxa" w:w="180"/>
              <w:right w:type="dxa" w:w="240"/>
            </w:tcMar>
          </w:tcPr>
          <w:p>
            <w:pPr>
              <w:spacing w:after="0" w:before="0"/>
            </w:pPr>
            <w:r>
              <w:rPr>
                <w:rFonts w:ascii="Arial" w:cs="Arial" w:eastAsia="Arial" w:hAnsi="Arial"/>
                <w:b/>
                <w:bCs/>
                <w:color w:val="FFFFFF"/>
                <w:sz w:val="30"/>
                <w:szCs w:val="30"/>
              </w:rPr>
              <w:t xml:space="preserve">DIMENSION 7:   TRAJECTORY   (Weight: 5%)</w:t>
            </w:r>
          </w:p>
        </w:tc>
      </w:tr>
    </w:tbl>
    <w:p>
      <w:pPr>
        <w:spacing w:after="140" w:before="0"/>
      </w:pPr>
      <w:r>
        <w:rPr>
          <w:rFonts w:ascii="Arial" w:cs="Arial" w:eastAsia="Arial" w:hAnsi="Arial"/>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1B3A5C" w:val="clear"/>
            <w:tcMar>
              <w:top w:type="dxa" w:w="100"/>
              <w:left w:type="dxa" w:w="200"/>
              <w:bottom w:type="dxa" w:w="100"/>
              <w:right w:type="dxa" w:w="200"/>
            </w:tcMar>
          </w:tcPr>
          <w:p>
            <w:pPr>
              <w:spacing w:after="40" w:before="0"/>
            </w:pPr>
            <w:r>
              <w:rPr>
                <w:rFonts w:ascii="Arial" w:cs="Arial" w:eastAsia="Arial" w:hAnsi="Arial"/>
                <w:b/>
                <w:bCs/>
                <w:color w:val="A8C4DC"/>
                <w:sz w:val="17"/>
                <w:szCs w:val="17"/>
              </w:rPr>
              <w:t xml:space="preserve">STRATEGIC QUESTION</w:t>
            </w:r>
          </w:p>
          <w:p>
            <w:pPr>
              <w:spacing w:after="0" w:before="0"/>
            </w:pPr>
            <w:r>
              <w:rPr>
                <w:rFonts w:ascii="Arial" w:cs="Arial" w:eastAsia="Arial" w:hAnsi="Arial"/>
                <w:b/>
                <w:bCs/>
                <w:i/>
                <w:iCs/>
                <w:color w:val="FFFFFF"/>
                <w:sz w:val="23"/>
                <w:szCs w:val="23"/>
              </w:rPr>
              <w:t xml:space="preserve">Is this market getting better or worse — and when should we move?</w:t>
            </w:r>
          </w:p>
        </w:tc>
      </w:tr>
    </w:tbl>
    <w:p>
      <w:pPr>
        <w:spacing w:after="120" w:before="0"/>
      </w:pPr>
      <w:r>
        <w:rPr>
          <w:rFonts w:ascii="Arial" w:cs="Arial" w:eastAsia="Arial" w:hAnsi="Arial"/>
          <w:sz w:val="22"/>
          <w:szCs w:val="22"/>
        </w:rPr>
        <w:t xml:space="preserve"/>
      </w:r>
    </w:p>
    <w:p>
      <w:pPr>
        <w:spacing w:after="140" w:before="0"/>
      </w:pPr>
      <w:r>
        <w:rPr>
          <w:rFonts w:ascii="Arial" w:cs="Arial" w:eastAsia="Arial" w:hAnsi="Arial"/>
          <w:color w:val="1A1A2E"/>
          <w:sz w:val="22"/>
          <w:szCs w:val="22"/>
        </w:rPr>
        <w:t xml:space="preserve">Trajectory answers the timing question: should you launch now, or are there higher-priority markets to address first? Counties where chronic disease burden is actively growing — where CDC PLACES shows rising diabetes and hypertension prevalence between release years — represent expanding markets where early entry captures more patients over a program lifecycle than waiting. Aging population and structural socioeconomic factors drive long-term trajectory even when near-term trend data is unavailable.</w:t>
      </w:r>
    </w:p>
    <w:p>
      <w:pPr>
        <w:spacing w:after="60" w:before="0"/>
      </w:pPr>
      <w:r>
        <w:rPr>
          <w:rFonts w:ascii="Arial" w:cs="Arial" w:eastAsia="Arial" w:hAnsi="Arial"/>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06A67A" w:sz="10"/>
              <w:bottom w:val="none" w:color="FFFFFF" w:sz="0"/>
              <w:right w:val="none" w:color="FFFFFF" w:sz="0"/>
            </w:tcBorders>
            <w:shd w:fill="F5F7FA" w:val="clear"/>
            <w:tcMar>
              <w:top w:type="dxa" w:w="120"/>
              <w:left w:type="dxa" w:w="220"/>
              <w:bottom w:type="dxa" w:w="120"/>
              <w:right w:type="dxa" w:w="220"/>
            </w:tcMar>
          </w:tcPr>
          <w:p>
            <w:pPr>
              <w:spacing w:after="0" w:before="0"/>
            </w:pPr>
            <w:r>
              <w:rPr>
                <w:rFonts w:ascii="Arial" w:cs="Arial" w:eastAsia="Arial" w:hAnsi="Arial"/>
                <w:i/>
                <w:iCs/>
                <w:color w:val="1A1A2E"/>
                <w:sz w:val="22"/>
                <w:szCs w:val="22"/>
              </w:rPr>
              <w:t xml:space="preserve">Trajectory is a tiebreaker, not a primary driver. Two counties with identical composite scores should prioritize the higher-trajectory market for first deployment, as the opportunity is expanding rather than stable or contracting.</w:t>
            </w:r>
          </w:p>
        </w:tc>
      </w:tr>
    </w:tbl>
    <w:p>
      <w:pPr>
        <w:spacing w:after="80" w:before="0"/>
      </w:pPr>
      <w:r>
        <w:rPr>
          <w:rFonts w:ascii="Arial" w:cs="Arial" w:eastAsia="Arial" w:hAnsi="Arial"/>
          <w:sz w:val="22"/>
          <w:szCs w:val="22"/>
        </w:rPr>
        <w:t xml:space="preserve"/>
      </w:r>
    </w:p>
    <w:p>
      <w:pPr>
        <w:spacing w:after="70" w:before="200"/>
      </w:pPr>
      <w:r>
        <w:rPr>
          <w:rFonts w:ascii="Arial" w:cs="Arial" w:eastAsia="Arial" w:hAnsi="Arial"/>
          <w:b/>
          <w:bCs/>
          <w:color w:val="06A67A"/>
          <w:sz w:val="22"/>
          <w:szCs w:val="22"/>
        </w:rPr>
        <w:t xml:space="preserve">Scoring Signals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600"/>
        <w:gridCol w:w="1000"/>
        <w:gridCol w:w="5120"/>
      </w:tblGrid>
      <w:tr>
        <w:trPr>
          <w:tblHeader/>
        </w:trPr>
        <w:tc>
          <w:tcPr>
            <w:tcW w:type="dxa" w:w="36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Signal</w:t>
            </w:r>
          </w:p>
        </w:tc>
        <w:tc>
          <w:tcPr>
            <w:tcW w:type="dxa" w:w="10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Weight</w:t>
            </w:r>
          </w:p>
        </w:tc>
        <w:tc>
          <w:tcPr>
            <w:tcW w:type="dxa" w:w="512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Primary Data Source</w:t>
            </w:r>
          </w:p>
        </w:tc>
      </w:tr>
      <w:tr>
        <w:tc>
          <w:tcPr>
            <w:tcW w:type="dxa" w:w="36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T2D Prevalence Trend (2022→2024 CDC PLACES delta, positive = growing)</w:t>
            </w:r>
          </w:p>
        </w:tc>
        <w:tc>
          <w:tcPr>
            <w:tcW w:type="dxa" w:w="10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center"/>
            </w:pPr>
            <w:r>
              <w:rPr>
                <w:rFonts w:ascii="Arial" w:cs="Arial" w:eastAsia="Arial" w:hAnsi="Arial"/>
                <w:color w:val="1A1A2E"/>
                <w:sz w:val="20"/>
                <w:szCs w:val="20"/>
              </w:rPr>
              <w:t xml:space="preserve">35%</w:t>
            </w:r>
          </w:p>
        </w:tc>
        <w:tc>
          <w:tcPr>
            <w:tcW w:type="dxa" w:w="51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CDC PLACES 2024 vs. CDC PLACES 2022 (2022 vs. 2020 BRFSS)</w:t>
            </w:r>
          </w:p>
        </w:tc>
      </w:tr>
      <w:tr>
        <w:tc>
          <w:tcPr>
            <w:tcW w:type="dxa" w:w="36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HTN Prevalence Trend (2022→2024 CDC PLACES delta, positive = growing)</w:t>
            </w:r>
          </w:p>
        </w:tc>
        <w:tc>
          <w:tcPr>
            <w:tcW w:type="dxa" w:w="10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center"/>
            </w:pPr>
            <w:r>
              <w:rPr>
                <w:rFonts w:ascii="Arial" w:cs="Arial" w:eastAsia="Arial" w:hAnsi="Arial"/>
                <w:color w:val="1A1A2E"/>
                <w:sz w:val="20"/>
                <w:szCs w:val="20"/>
              </w:rPr>
              <w:t xml:space="preserve">20%</w:t>
            </w:r>
          </w:p>
        </w:tc>
        <w:tc>
          <w:tcPr>
            <w:tcW w:type="dxa" w:w="512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CDC PLACES 2024 vs. CDC PLACES 2022</w:t>
            </w:r>
          </w:p>
        </w:tc>
      </w:tr>
      <w:tr>
        <w:tc>
          <w:tcPr>
            <w:tcW w:type="dxa" w:w="36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Aging Population (% adults 65+ — future T2D/HTN incidence driver)</w:t>
            </w:r>
          </w:p>
        </w:tc>
        <w:tc>
          <w:tcPr>
            <w:tcW w:type="dxa" w:w="10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center"/>
            </w:pPr>
            <w:r>
              <w:rPr>
                <w:rFonts w:ascii="Arial" w:cs="Arial" w:eastAsia="Arial" w:hAnsi="Arial"/>
                <w:color w:val="1A1A2E"/>
                <w:sz w:val="20"/>
                <w:szCs w:val="20"/>
              </w:rPr>
              <w:t xml:space="preserve">25%</w:t>
            </w:r>
          </w:p>
        </w:tc>
        <w:tc>
          <w:tcPr>
            <w:tcW w:type="dxa" w:w="51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Census ACS 5-Year Estimates</w:t>
            </w:r>
          </w:p>
        </w:tc>
      </w:tr>
      <w:tr>
        <w:tc>
          <w:tcPr>
            <w:tcW w:type="dxa" w:w="36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SDoH + Rural Widening Proxy (structural gap-widening factors)</w:t>
            </w:r>
          </w:p>
        </w:tc>
        <w:tc>
          <w:tcPr>
            <w:tcW w:type="dxa" w:w="10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center"/>
            </w:pPr>
            <w:r>
              <w:rPr>
                <w:rFonts w:ascii="Arial" w:cs="Arial" w:eastAsia="Arial" w:hAnsi="Arial"/>
                <w:color w:val="1A1A2E"/>
                <w:sz w:val="20"/>
                <w:szCs w:val="20"/>
              </w:rPr>
              <w:t xml:space="preserve">20%</w:t>
            </w:r>
          </w:p>
        </w:tc>
        <w:tc>
          <w:tcPr>
            <w:tcW w:type="dxa" w:w="512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Census ACS 5-Year + USDA RUCC</w:t>
            </w:r>
          </w:p>
        </w:tc>
      </w:tr>
    </w:tbl>
    <w:p>
      <w:pPr>
        <w:spacing w:after="120" w:before="0"/>
      </w:pPr>
      <w:r>
        <w:rPr>
          <w:rFonts w:ascii="Arial" w:cs="Arial" w:eastAsia="Arial" w:hAnsi="Arial"/>
          <w:sz w:val="22"/>
          <w:szCs w:val="22"/>
        </w:rPr>
        <w:t xml:space="preserve"/>
      </w:r>
    </w:p>
    <w:p>
      <w:pPr>
        <w:spacing w:after="70" w:before="200"/>
      </w:pPr>
      <w:r>
        <w:rPr>
          <w:rFonts w:ascii="Arial" w:cs="Arial" w:eastAsia="Arial" w:hAnsi="Arial"/>
          <w:b/>
          <w:bCs/>
          <w:color w:val="06A67A"/>
          <w:sz w:val="22"/>
          <w:szCs w:val="22"/>
        </w:rPr>
        <w:t xml:space="preserve">How to Interpret This Score</w:t>
      </w:r>
    </w:p>
    <w:p>
      <w:pPr>
        <w:spacing w:after="140" w:before="0"/>
      </w:pPr>
      <w:r>
        <w:rPr>
          <w:rFonts w:ascii="Arial" w:cs="Arial" w:eastAsia="Arial" w:hAnsi="Arial"/>
          <w:color w:val="1A1A2E"/>
          <w:sz w:val="22"/>
          <w:szCs w:val="22"/>
        </w:rPr>
        <w:t xml:space="preserve">CDC PLACES 2022 release uses 2020 BRFSS survey data; CDC PLACES 2024 uses 2022 BRFSS data. A positive T2D or HTN trend value indicates that chronic disease burden in that county increased between those two survey years. Counties with growing burden have more undiagnosed patients entering the addressable pool each year — first-mover advantage is stronger in these markets. Trajectory carries the lowest dimension weight (5%) because it is directional context, not an independent disqualifying signal.</w:t>
      </w:r>
    </w:p>
    <w:p>
      <w:pPr>
        <w:spacing w:after="60" w:before="0"/>
      </w:pPr>
      <w:r>
        <w:rPr>
          <w:rFonts w:ascii="Arial" w:cs="Arial" w:eastAsia="Arial" w:hAnsi="Arial"/>
          <w:sz w:val="22"/>
          <w:szCs w:val="22"/>
        </w:rPr>
        <w:t xml:space="preserve"/>
      </w:r>
    </w:p>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1B3A5C" w:val="clear"/>
            <w:tcMar>
              <w:top w:type="dxa" w:w="180"/>
              <w:left w:type="dxa" w:w="240"/>
              <w:bottom w:type="dxa" w:w="180"/>
              <w:right w:type="dxa" w:w="240"/>
            </w:tcMar>
          </w:tcPr>
          <w:p>
            <w:pPr>
              <w:spacing w:after="0" w:before="0"/>
            </w:pPr>
            <w:r>
              <w:rPr>
                <w:rFonts w:ascii="Arial" w:cs="Arial" w:eastAsia="Arial" w:hAnsi="Arial"/>
                <w:b/>
                <w:bCs/>
                <w:color w:val="FFFFFF"/>
                <w:sz w:val="30"/>
                <w:szCs w:val="30"/>
              </w:rPr>
              <w:t xml:space="preserve">5.   DATA SOURCES</w:t>
            </w:r>
          </w:p>
        </w:tc>
      </w:tr>
    </w:tbl>
    <w:p>
      <w:pPr>
        <w:spacing w:after="140" w:before="0"/>
      </w:pPr>
      <w:r>
        <w:rPr>
          <w:rFonts w:ascii="Arial" w:cs="Arial" w:eastAsia="Arial" w:hAnsi="Arial"/>
          <w:sz w:val="22"/>
          <w:szCs w:val="22"/>
        </w:rPr>
        <w:t xml:space="preserve"/>
      </w:r>
    </w:p>
    <w:p>
      <w:pPr>
        <w:spacing w:after="140" w:before="0"/>
      </w:pPr>
      <w:r>
        <w:rPr>
          <w:rFonts w:ascii="Arial" w:cs="Arial" w:eastAsia="Arial" w:hAnsi="Arial"/>
          <w:color w:val="1A1A2E"/>
          <w:sz w:val="22"/>
          <w:szCs w:val="22"/>
        </w:rPr>
        <w:t xml:space="preserve">SPPF uses seven publicly available government and foundation datasets. All data is downloaded programmatically from official sources and cached locally. No proprietary data, no vendor licenses, no API subscription fees are required.</w:t>
      </w:r>
    </w:p>
    <w:p>
      <w:pPr>
        <w:spacing w:after="100" w:before="0"/>
      </w:pPr>
      <w:r>
        <w:rPr>
          <w:rFonts w:ascii="Arial" w:cs="Arial" w:eastAsia="Arial" w:hAnsi="Arial"/>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200"/>
        <w:gridCol w:w="1200"/>
        <w:gridCol w:w="3120"/>
      </w:tblGrid>
      <w:tr>
        <w:trPr>
          <w:tblHeader/>
        </w:trPr>
        <w:tc>
          <w:tcPr>
            <w:tcW w:type="dxa" w:w="20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Source</w:t>
            </w:r>
          </w:p>
        </w:tc>
        <w:tc>
          <w:tcPr>
            <w:tcW w:type="dxa" w:w="22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Publisher</w:t>
            </w:r>
          </w:p>
        </w:tc>
        <w:tc>
          <w:tcPr>
            <w:tcW w:type="dxa" w:w="12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Geography</w:t>
            </w:r>
          </w:p>
        </w:tc>
        <w:tc>
          <w:tcPr>
            <w:tcW w:type="dxa" w:w="12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Update Cadence</w:t>
            </w:r>
          </w:p>
        </w:tc>
        <w:tc>
          <w:tcPr>
            <w:tcW w:type="dxa" w:w="312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Key Variables</w:t>
            </w:r>
          </w:p>
        </w:tc>
      </w:tr>
      <w:tr>
        <w:tc>
          <w:tcPr>
            <w:tcW w:type="dxa" w:w="20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CDC PLACES 2024
(2022 BRFSS data)</w:t>
            </w:r>
          </w:p>
        </w:tc>
        <w:tc>
          <w:tcPr>
            <w:tcW w:type="dxa" w:w="22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CDC / Robert Wood Johnson Foundation</w:t>
            </w:r>
          </w:p>
        </w:tc>
        <w:tc>
          <w:tcPr>
            <w:tcW w:type="dxa" w:w="12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County + ZCTA</w:t>
            </w:r>
          </w:p>
        </w:tc>
        <w:tc>
          <w:tcPr>
            <w:tcW w:type="dxa" w:w="12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Annual</w:t>
            </w:r>
          </w:p>
        </w:tc>
        <w:tc>
          <w:tcPr>
            <w:tcW w:type="dxa" w:w="31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Diabetes, obesity, hypertension, checkup, smoking prevalence rates</w:t>
            </w:r>
          </w:p>
        </w:tc>
      </w:tr>
      <w:tr>
        <w:tc>
          <w:tcPr>
            <w:tcW w:type="dxa" w:w="20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CDC PLACES 2022
(2020 BRFSS data)</w:t>
            </w:r>
          </w:p>
        </w:tc>
        <w:tc>
          <w:tcPr>
            <w:tcW w:type="dxa" w:w="22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CDC / Robert Wood Johnson Foundation</w:t>
            </w:r>
          </w:p>
        </w:tc>
        <w:tc>
          <w:tcPr>
            <w:tcW w:type="dxa" w:w="12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County + ZCTA</w:t>
            </w:r>
          </w:p>
        </w:tc>
        <w:tc>
          <w:tcPr>
            <w:tcW w:type="dxa" w:w="12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Historical</w:t>
            </w:r>
          </w:p>
        </w:tc>
        <w:tc>
          <w:tcPr>
            <w:tcW w:type="dxa" w:w="312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Same measures — used for trajectory delta (prior year)</w:t>
            </w:r>
          </w:p>
        </w:tc>
      </w:tr>
      <w:tr>
        <w:tc>
          <w:tcPr>
            <w:tcW w:type="dxa" w:w="20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Census ACS 5-Year
(most recent release)</w:t>
            </w:r>
          </w:p>
        </w:tc>
        <w:tc>
          <w:tcPr>
            <w:tcW w:type="dxa" w:w="22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US Census Bureau</w:t>
            </w:r>
          </w:p>
        </w:tc>
        <w:tc>
          <w:tcPr>
            <w:tcW w:type="dxa" w:w="12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County + ZCTA</w:t>
            </w:r>
          </w:p>
        </w:tc>
        <w:tc>
          <w:tcPr>
            <w:tcW w:type="dxa" w:w="12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Annual</w:t>
            </w:r>
          </w:p>
        </w:tc>
        <w:tc>
          <w:tcPr>
            <w:tcW w:type="dxa" w:w="31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Poverty, income, insurance, education, broadband, demographics, population</w:t>
            </w:r>
          </w:p>
        </w:tc>
      </w:tr>
      <w:tr>
        <w:tc>
          <w:tcPr>
            <w:tcW w:type="dxa" w:w="20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CMS Geographic
Variation PUF</w:t>
            </w:r>
          </w:p>
        </w:tc>
        <w:tc>
          <w:tcPr>
            <w:tcW w:type="dxa" w:w="22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Centers for Medicare &amp; Medicaid</w:t>
            </w:r>
          </w:p>
        </w:tc>
        <w:tc>
          <w:tcPr>
            <w:tcW w:type="dxa" w:w="12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County</w:t>
            </w:r>
          </w:p>
        </w:tc>
        <w:tc>
          <w:tcPr>
            <w:tcW w:type="dxa" w:w="12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Annual</w:t>
            </w:r>
          </w:p>
        </w:tc>
        <w:tc>
          <w:tcPr>
            <w:tcW w:type="dxa" w:w="312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Medicare T2D and HTN diagnosis rates, Medicare Advantage penetration, beneficiary counts</w:t>
            </w:r>
          </w:p>
        </w:tc>
      </w:tr>
      <w:tr>
        <w:tc>
          <w:tcPr>
            <w:tcW w:type="dxa" w:w="20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HRSA HPSA
Database</w:t>
            </w:r>
          </w:p>
        </w:tc>
        <w:tc>
          <w:tcPr>
            <w:tcW w:type="dxa" w:w="22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Health Resources &amp; Services Administration</w:t>
            </w:r>
          </w:p>
        </w:tc>
        <w:tc>
          <w:tcPr>
            <w:tcW w:type="dxa" w:w="12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County</w:t>
            </w:r>
          </w:p>
        </w:tc>
        <w:tc>
          <w:tcPr>
            <w:tcW w:type="dxa" w:w="12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Quarterly</w:t>
            </w:r>
          </w:p>
        </w:tc>
        <w:tc>
          <w:tcPr>
            <w:tcW w:type="dxa" w:w="31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Primary care Health Professional Shortage Area designations, FQHC presence</w:t>
            </w:r>
          </w:p>
        </w:tc>
      </w:tr>
      <w:tr>
        <w:tc>
          <w:tcPr>
            <w:tcW w:type="dxa" w:w="20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County Health
Rankings (RWJ)</w:t>
            </w:r>
          </w:p>
        </w:tc>
        <w:tc>
          <w:tcPr>
            <w:tcW w:type="dxa" w:w="22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Robert Wood Johnson Foundation</w:t>
            </w:r>
          </w:p>
        </w:tc>
        <w:tc>
          <w:tcPr>
            <w:tcW w:type="dxa" w:w="12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County</w:t>
            </w:r>
          </w:p>
        </w:tc>
        <w:tc>
          <w:tcPr>
            <w:tcW w:type="dxa" w:w="12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Annual</w:t>
            </w:r>
          </w:p>
        </w:tc>
        <w:tc>
          <w:tcPr>
            <w:tcW w:type="dxa" w:w="312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Primary care ratios, food insecurity, HS graduation rates, SDoH composites</w:t>
            </w:r>
          </w:p>
        </w:tc>
      </w:tr>
      <w:tr>
        <w:tc>
          <w:tcPr>
            <w:tcW w:type="dxa" w:w="20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USDA Food
Environment Atlas</w:t>
            </w:r>
          </w:p>
        </w:tc>
        <w:tc>
          <w:tcPr>
            <w:tcW w:type="dxa" w:w="22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US Dept. of Agriculture (ERS)</w:t>
            </w:r>
          </w:p>
        </w:tc>
        <w:tc>
          <w:tcPr>
            <w:tcW w:type="dxa" w:w="12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County</w:t>
            </w:r>
          </w:p>
        </w:tc>
        <w:tc>
          <w:tcPr>
            <w:tcW w:type="dxa" w:w="12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~3 years</w:t>
            </w:r>
          </w:p>
        </w:tc>
        <w:tc>
          <w:tcPr>
            <w:tcW w:type="dxa" w:w="31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Food desert designation (PCT_LACCESS_POP15), food insecurity rates, store access</w:t>
            </w:r>
          </w:p>
        </w:tc>
      </w:tr>
    </w:tbl>
    <w:p>
      <w:pPr>
        <w:spacing w:after="160" w:before="0"/>
      </w:pPr>
      <w:r>
        <w:rPr>
          <w:rFonts w:ascii="Arial" w:cs="Arial" w:eastAsia="Arial" w:hAnsi="Arial"/>
          <w:sz w:val="22"/>
          <w:szCs w:val="22"/>
        </w:rPr>
        <w:t xml:space="preserve"/>
      </w:r>
    </w:p>
    <w:p>
      <w:pPr>
        <w:pBdr>
          <w:bottom w:val="single" w:color="1B3A5C" w:sz="2" w:space="4"/>
        </w:pBdr>
        <w:spacing w:after="100" w:before="260"/>
      </w:pPr>
      <w:r>
        <w:rPr>
          <w:rFonts w:ascii="Arial" w:cs="Arial" w:eastAsia="Arial" w:hAnsi="Arial"/>
          <w:b/>
          <w:bCs/>
          <w:color w:val="1B3A5C"/>
          <w:sz w:val="26"/>
          <w:szCs w:val="26"/>
        </w:rPr>
        <w:t xml:space="preserve">Data Quality and Coverage</w:t>
      </w:r>
    </w:p>
    <w:p>
      <w:pPr>
        <w:pStyle w:val="ListParagraph"/>
        <w:numPr>
          <w:ilvl w:val="0"/>
          <w:numId w:val="2"/>
        </w:numPr>
        <w:spacing w:after="70" w:before="0"/>
      </w:pPr>
      <w:r>
        <w:rPr>
          <w:rFonts w:ascii="Arial" w:cs="Arial" w:eastAsia="Arial" w:hAnsi="Arial"/>
          <w:b w:val="false"/>
          <w:bCs w:val="false"/>
          <w:color w:val="1A1A2E"/>
          <w:sz w:val="22"/>
          <w:szCs w:val="22"/>
        </w:rPr>
        <w:t xml:space="preserve">CDC PLACES county coverage: all 3,143 US counties and county equivalents, plus 33,774 ZCTAs.</w:t>
      </w:r>
    </w:p>
    <w:p>
      <w:pPr>
        <w:pStyle w:val="ListParagraph"/>
        <w:numPr>
          <w:ilvl w:val="0"/>
          <w:numId w:val="2"/>
        </w:numPr>
        <w:spacing w:after="70" w:before="0"/>
      </w:pPr>
      <w:r>
        <w:rPr>
          <w:rFonts w:ascii="Arial" w:cs="Arial" w:eastAsia="Arial" w:hAnsi="Arial"/>
          <w:b w:val="false"/>
          <w:bCs w:val="false"/>
          <w:color w:val="1A1A2E"/>
          <w:sz w:val="22"/>
          <w:szCs w:val="22"/>
        </w:rPr>
        <w:t xml:space="preserve">Census ACS: universal coverage for all counties and ZCTAs with sufficient population. Suppressed cells (small populations) are filled using state medians to preserve full coverage.</w:t>
      </w:r>
    </w:p>
    <w:p>
      <w:pPr>
        <w:pStyle w:val="ListParagraph"/>
        <w:numPr>
          <w:ilvl w:val="0"/>
          <w:numId w:val="2"/>
        </w:numPr>
        <w:spacing w:after="70" w:before="0"/>
      </w:pPr>
      <w:r>
        <w:rPr>
          <w:rFonts w:ascii="Arial" w:cs="Arial" w:eastAsia="Arial" w:hAnsi="Arial"/>
          <w:b w:val="false"/>
          <w:bCs w:val="false"/>
          <w:color w:val="1A1A2E"/>
          <w:sz w:val="22"/>
          <w:szCs w:val="22"/>
        </w:rPr>
        <w:t xml:space="preserve">CMS GV PUF: covers counties with ≥11 Medicare beneficiaries (effectively all counties). Suppressed values are filled with the state median.</w:t>
      </w:r>
    </w:p>
    <w:p>
      <w:pPr>
        <w:pStyle w:val="ListParagraph"/>
        <w:numPr>
          <w:ilvl w:val="0"/>
          <w:numId w:val="2"/>
        </w:numPr>
        <w:spacing w:after="70" w:before="0"/>
      </w:pPr>
      <w:r>
        <w:rPr>
          <w:rFonts w:ascii="Arial" w:cs="Arial" w:eastAsia="Arial" w:hAnsi="Arial"/>
          <w:b w:val="false"/>
          <w:bCs w:val="false"/>
          <w:color w:val="1A1A2E"/>
          <w:sz w:val="22"/>
          <w:szCs w:val="22"/>
        </w:rPr>
        <w:t xml:space="preserve">HRSA HPSA: binary flags derived from the Bureau of Health Workforce designation file. All counties with at least one active HPSA designation receive a flag = 1.</w:t>
      </w:r>
    </w:p>
    <w:p>
      <w:pPr>
        <w:pStyle w:val="ListParagraph"/>
        <w:numPr>
          <w:ilvl w:val="0"/>
          <w:numId w:val="2"/>
        </w:numPr>
        <w:spacing w:after="70" w:before="0"/>
      </w:pPr>
      <w:r>
        <w:rPr>
          <w:rFonts w:ascii="Arial" w:cs="Arial" w:eastAsia="Arial" w:hAnsi="Arial"/>
          <w:b w:val="false"/>
          <w:bCs w:val="false"/>
          <w:color w:val="1A1A2E"/>
          <w:sz w:val="22"/>
          <w:szCs w:val="22"/>
        </w:rPr>
        <w:t xml:space="preserve">County Health Rankings: 99%+ county coverage. Missing values filled with state medians.</w:t>
      </w:r>
    </w:p>
    <w:p>
      <w:pPr>
        <w:pStyle w:val="ListParagraph"/>
        <w:numPr>
          <w:ilvl w:val="0"/>
          <w:numId w:val="2"/>
        </w:numPr>
        <w:spacing w:after="70" w:before="0"/>
      </w:pPr>
      <w:r>
        <w:rPr>
          <w:rFonts w:ascii="Arial" w:cs="Arial" w:eastAsia="Arial" w:hAnsi="Arial"/>
          <w:b w:val="false"/>
          <w:bCs w:val="false"/>
          <w:color w:val="1A1A2E"/>
          <w:sz w:val="22"/>
          <w:szCs w:val="22"/>
        </w:rPr>
        <w:t xml:space="preserve">USDA Food Environment Atlas: county-level only; used directly for Social Determinants dimension.</w:t>
      </w:r>
    </w:p>
    <w:p>
      <w:pPr>
        <w:spacing w:after="100" w:before="0"/>
      </w:pPr>
      <w:r>
        <w:rPr>
          <w:rFonts w:ascii="Arial" w:cs="Arial" w:eastAsia="Arial" w:hAnsi="Arial"/>
          <w:sz w:val="22"/>
          <w:szCs w:val="22"/>
        </w:rPr>
        <w:t xml:space="preserve"/>
      </w:r>
    </w:p>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1B3A5C" w:val="clear"/>
            <w:tcMar>
              <w:top w:type="dxa" w:w="180"/>
              <w:left w:type="dxa" w:w="240"/>
              <w:bottom w:type="dxa" w:w="180"/>
              <w:right w:type="dxa" w:w="240"/>
            </w:tcMar>
          </w:tcPr>
          <w:p>
            <w:pPr>
              <w:spacing w:after="0" w:before="0"/>
            </w:pPr>
            <w:r>
              <w:rPr>
                <w:rFonts w:ascii="Arial" w:cs="Arial" w:eastAsia="Arial" w:hAnsi="Arial"/>
                <w:b/>
                <w:bCs/>
                <w:color w:val="FFFFFF"/>
                <w:sz w:val="30"/>
                <w:szCs w:val="30"/>
              </w:rPr>
              <w:t xml:space="preserve">6.   COMPOSITE SCORING &amp; TIER ASSIGNMENT</w:t>
            </w:r>
          </w:p>
        </w:tc>
      </w:tr>
    </w:tbl>
    <w:p>
      <w:pPr>
        <w:spacing w:after="140" w:before="0"/>
      </w:pPr>
      <w:r>
        <w:rPr>
          <w:rFonts w:ascii="Arial" w:cs="Arial" w:eastAsia="Arial" w:hAnsi="Arial"/>
          <w:sz w:val="22"/>
          <w:szCs w:val="22"/>
        </w:rPr>
        <w:t xml:space="preserve"/>
      </w:r>
    </w:p>
    <w:p>
      <w:pPr>
        <w:pBdr>
          <w:bottom w:val="single" w:color="1B3A5C" w:sz="2" w:space="4"/>
        </w:pBdr>
        <w:spacing w:after="100" w:before="260"/>
      </w:pPr>
      <w:r>
        <w:rPr>
          <w:rFonts w:ascii="Arial" w:cs="Arial" w:eastAsia="Arial" w:hAnsi="Arial"/>
          <w:b/>
          <w:bCs/>
          <w:color w:val="1B3A5C"/>
          <w:sz w:val="26"/>
          <w:szCs w:val="26"/>
        </w:rPr>
        <w:t xml:space="preserve">Composite Opportunity Score</w:t>
      </w:r>
    </w:p>
    <w:p>
      <w:pPr>
        <w:spacing w:after="140" w:before="0"/>
      </w:pPr>
      <w:r>
        <w:rPr>
          <w:rFonts w:ascii="Arial" w:cs="Arial" w:eastAsia="Arial" w:hAnsi="Arial"/>
          <w:color w:val="1A1A2E"/>
          <w:sz w:val="22"/>
          <w:szCs w:val="22"/>
        </w:rPr>
        <w:t xml:space="preserve">The composite Opportunity Score is a weighted linear combination of the seven dimension scores. Each dimension score is independently min-max normalized to [0, 100] within the national county sample before weighting.</w:t>
      </w:r>
    </w:p>
    <w:p>
      <w:pPr>
        <w:spacing w:after="80" w:before="0"/>
      </w:pPr>
      <w:r>
        <w:rPr>
          <w:rFonts w:ascii="Arial" w:cs="Arial" w:eastAsia="Arial" w:hAnsi="Arial"/>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8DEE4" w:sz="1"/>
              <w:left w:val="single" w:color="D8DEE4" w:sz="1"/>
              <w:bottom w:val="single" w:color="D8DEE4" w:sz="1"/>
              <w:right w:val="single" w:color="D8DEE4" w:sz="1"/>
            </w:tcBorders>
            <w:shd w:fill="F5F7FA" w:val="clear"/>
            <w:tcMar>
              <w:top w:type="dxa" w:w="160"/>
              <w:left w:type="dxa" w:w="300"/>
              <w:bottom w:type="dxa" w:w="160"/>
              <w:right w:type="dxa" w:w="300"/>
            </w:tcMar>
          </w:tcPr>
          <w:p>
            <w:pPr>
              <w:spacing w:after="60" w:before="0"/>
              <w:jc w:val="center"/>
            </w:pPr>
            <w:r>
              <w:rPr>
                <w:rFonts w:ascii="Arial" w:cs="Arial" w:eastAsia="Arial" w:hAnsi="Arial"/>
                <w:b/>
                <w:bCs/>
                <w:color w:val="1B3A5C"/>
                <w:sz w:val="24"/>
                <w:szCs w:val="24"/>
              </w:rPr>
              <w:t xml:space="preserve">Opportunity Score  =  </w:t>
            </w:r>
            <w:r>
              <w:rPr>
                <w:rFonts w:ascii="Arial" w:cs="Arial" w:eastAsia="Arial" w:hAnsi="Arial"/>
                <w:b/>
                <w:bCs/>
                <w:color w:val="E76F51"/>
                <w:sz w:val="24"/>
                <w:szCs w:val="24"/>
              </w:rPr>
              <w:t xml:space="preserve">0.20</w:t>
            </w:r>
            <w:r>
              <w:rPr>
                <w:rFonts w:ascii="Arial" w:cs="Arial" w:eastAsia="Arial" w:hAnsi="Arial"/>
                <w:sz w:val="24"/>
                <w:szCs w:val="24"/>
              </w:rPr>
              <w:t xml:space="preserve"> × Disease Burden  +  </w:t>
            </w:r>
            <w:r>
              <w:rPr>
                <w:rFonts w:ascii="Arial" w:cs="Arial" w:eastAsia="Arial" w:hAnsi="Arial"/>
                <w:b/>
                <w:bCs/>
                <w:color w:val="E63946"/>
                <w:sz w:val="24"/>
                <w:szCs w:val="24"/>
              </w:rPr>
              <w:t xml:space="preserve">0.25</w:t>
            </w:r>
            <w:r>
              <w:rPr>
                <w:rFonts w:ascii="Arial" w:cs="Arial" w:eastAsia="Arial" w:hAnsi="Arial"/>
                <w:sz w:val="24"/>
                <w:szCs w:val="24"/>
              </w:rPr>
              <w:t xml:space="preserve"> × Diagnosis Gap  +  </w:t>
            </w:r>
            <w:r>
              <w:rPr>
                <w:rFonts w:ascii="Arial" w:cs="Arial" w:eastAsia="Arial" w:hAnsi="Arial"/>
                <w:b/>
                <w:bCs/>
                <w:color w:val="2A9D8F"/>
                <w:sz w:val="24"/>
                <w:szCs w:val="24"/>
              </w:rPr>
              <w:t xml:space="preserve">0.15</w:t>
            </w:r>
            <w:r>
              <w:rPr>
                <w:rFonts w:ascii="Arial" w:cs="Arial" w:eastAsia="Arial" w:hAnsi="Arial"/>
                <w:sz w:val="24"/>
                <w:szCs w:val="24"/>
              </w:rPr>
              <w:t xml:space="preserve"> × Access to Care</w:t>
            </w:r>
          </w:p>
        </w:tc>
      </w:tr>
    </w:tbl>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D8DEE4" w:sz="1"/>
              <w:bottom w:val="single" w:color="D8DEE4" w:sz="1"/>
              <w:right w:val="single" w:color="D8DEE4" w:sz="1"/>
            </w:tcBorders>
            <w:shd w:fill="F5F7FA" w:val="clear"/>
            <w:tcMar>
              <w:top w:type="dxa" w:w="0"/>
              <w:left w:type="dxa" w:w="300"/>
              <w:bottom w:type="dxa" w:w="160"/>
              <w:right w:type="dxa" w:w="300"/>
            </w:tcMar>
          </w:tcPr>
          <w:p>
            <w:pPr>
              <w:spacing w:after="0" w:before="0"/>
              <w:jc w:val="center"/>
            </w:pPr>
            <w:r>
              <w:rPr>
                <w:rFonts w:ascii="Arial" w:cs="Arial" w:eastAsia="Arial" w:hAnsi="Arial"/>
                <w:sz w:val="24"/>
                <w:szCs w:val="24"/>
              </w:rPr>
              <w:t xml:space="preserve">  +  </w:t>
            </w:r>
            <w:r>
              <w:rPr>
                <w:rFonts w:ascii="Arial" w:cs="Arial" w:eastAsia="Arial" w:hAnsi="Arial"/>
                <w:b/>
                <w:bCs/>
                <w:color w:val="F4A261"/>
                <w:sz w:val="24"/>
                <w:szCs w:val="24"/>
              </w:rPr>
              <w:t xml:space="preserve">0.15</w:t>
            </w:r>
            <w:r>
              <w:rPr>
                <w:rFonts w:ascii="Arial" w:cs="Arial" w:eastAsia="Arial" w:hAnsi="Arial"/>
                <w:sz w:val="24"/>
                <w:szCs w:val="24"/>
              </w:rPr>
              <w:t xml:space="preserve"> × Social Determinants  +  </w:t>
            </w:r>
            <w:r>
              <w:rPr>
                <w:rFonts w:ascii="Arial" w:cs="Arial" w:eastAsia="Arial" w:hAnsi="Arial"/>
                <w:b/>
                <w:bCs/>
                <w:color w:val="457B9D"/>
                <w:sz w:val="24"/>
                <w:szCs w:val="24"/>
              </w:rPr>
              <w:t xml:space="preserve">0.10</w:t>
            </w:r>
            <w:r>
              <w:rPr>
                <w:rFonts w:ascii="Arial" w:cs="Arial" w:eastAsia="Arial" w:hAnsi="Arial"/>
                <w:sz w:val="24"/>
                <w:szCs w:val="24"/>
              </w:rPr>
              <w:t xml:space="preserve"> × Payer Landscape  +  </w:t>
            </w:r>
            <w:r>
              <w:rPr>
                <w:rFonts w:ascii="Arial" w:cs="Arial" w:eastAsia="Arial" w:hAnsi="Arial"/>
                <w:b/>
                <w:bCs/>
                <w:color w:val="8338EC"/>
                <w:sz w:val="24"/>
                <w:szCs w:val="24"/>
              </w:rPr>
              <w:t xml:space="preserve">0.10</w:t>
            </w:r>
            <w:r>
              <w:rPr>
                <w:rFonts w:ascii="Arial" w:cs="Arial" w:eastAsia="Arial" w:hAnsi="Arial"/>
                <w:sz w:val="24"/>
                <w:szCs w:val="24"/>
              </w:rPr>
              <w:t xml:space="preserve"> × Commercial Readiness  +  </w:t>
            </w:r>
            <w:r>
              <w:rPr>
                <w:rFonts w:ascii="Arial" w:cs="Arial" w:eastAsia="Arial" w:hAnsi="Arial"/>
                <w:b/>
                <w:bCs/>
                <w:color w:val="06A67A"/>
                <w:sz w:val="24"/>
                <w:szCs w:val="24"/>
              </w:rPr>
              <w:t xml:space="preserve">0.05</w:t>
            </w:r>
            <w:r>
              <w:rPr>
                <w:rFonts w:ascii="Arial" w:cs="Arial" w:eastAsia="Arial" w:hAnsi="Arial"/>
                <w:sz w:val="24"/>
                <w:szCs w:val="24"/>
              </w:rPr>
              <w:t xml:space="preserve"> × Trajectory</w:t>
            </w:r>
          </w:p>
        </w:tc>
      </w:tr>
    </w:tbl>
    <w:p>
      <w:pPr>
        <w:spacing w:after="140" w:before="0"/>
      </w:pPr>
      <w:r>
        <w:rPr>
          <w:rFonts w:ascii="Arial" w:cs="Arial" w:eastAsia="Arial" w:hAnsi="Arial"/>
          <w:sz w:val="22"/>
          <w:szCs w:val="22"/>
        </w:rPr>
        <w:t xml:space="preserve"/>
      </w:r>
    </w:p>
    <w:p>
      <w:pPr>
        <w:pBdr>
          <w:bottom w:val="single" w:color="1B3A5C" w:sz="2" w:space="4"/>
        </w:pBdr>
        <w:spacing w:after="100" w:before="260"/>
      </w:pPr>
      <w:r>
        <w:rPr>
          <w:rFonts w:ascii="Arial" w:cs="Arial" w:eastAsia="Arial" w:hAnsi="Arial"/>
          <w:b/>
          <w:bCs/>
          <w:color w:val="1B3A5C"/>
          <w:sz w:val="26"/>
          <w:szCs w:val="26"/>
        </w:rPr>
        <w:t xml:space="preserve">Tier Assignment</w:t>
      </w:r>
    </w:p>
    <w:p>
      <w:pPr>
        <w:spacing w:after="140" w:before="0"/>
      </w:pPr>
      <w:r>
        <w:rPr>
          <w:rFonts w:ascii="Arial" w:cs="Arial" w:eastAsia="Arial" w:hAnsi="Arial"/>
          <w:color w:val="1A1A2E"/>
          <w:sz w:val="22"/>
          <w:szCs w:val="22"/>
        </w:rPr>
        <w:t xml:space="preserve">The composite score is mapped to three priority tiers calibrated against the national distribution of scored counties: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400"/>
        <w:gridCol w:w="4520"/>
      </w:tblGrid>
      <w:tr>
        <w:trPr>
          <w:tblHeader/>
        </w:trPr>
        <w:tc>
          <w:tcPr>
            <w:tcW w:type="dxa" w:w="14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Tier</w:t>
            </w:r>
          </w:p>
        </w:tc>
        <w:tc>
          <w:tcPr>
            <w:tcW w:type="dxa" w:w="14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Score Range</w:t>
            </w:r>
          </w:p>
        </w:tc>
        <w:tc>
          <w:tcPr>
            <w:tcW w:type="dxa" w:w="24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Approximate Percentile</w:t>
            </w:r>
          </w:p>
        </w:tc>
        <w:tc>
          <w:tcPr>
            <w:tcW w:type="dxa" w:w="452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Interpretation</w:t>
            </w:r>
          </w:p>
        </w:tc>
      </w:tr>
      <w:tr>
        <w:tc>
          <w:tcPr>
            <w:tcW w:type="dxa" w:w="14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 Priority</w:t>
            </w:r>
          </w:p>
        </w:tc>
        <w:tc>
          <w:tcPr>
            <w:tcW w:type="dxa" w:w="14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 55</w:t>
            </w:r>
          </w:p>
        </w:tc>
        <w:tc>
          <w:tcPr>
            <w:tcW w:type="dxa" w:w="24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Top ~0.3% of counties</w:t>
            </w:r>
          </w:p>
        </w:tc>
        <w:tc>
          <w:tcPr>
            <w:tcW w:type="dxa" w:w="45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Highest multi-dimensional need confirmed by multiple real data sources. First deployment focus.</w:t>
            </w:r>
          </w:p>
        </w:tc>
      </w:tr>
      <w:tr>
        <w:tc>
          <w:tcPr>
            <w:tcW w:type="dxa" w:w="14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 Emerging</w:t>
            </w:r>
          </w:p>
        </w:tc>
        <w:tc>
          <w:tcPr>
            <w:tcW w:type="dxa" w:w="14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40 – 54</w:t>
            </w:r>
          </w:p>
        </w:tc>
        <w:tc>
          <w:tcPr>
            <w:tcW w:type="dxa" w:w="24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Top 10–30% of counties</w:t>
            </w:r>
          </w:p>
        </w:tc>
        <w:tc>
          <w:tcPr>
            <w:tcW w:type="dxa" w:w="452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Meaningful opportunity; monitor for program expansion or new data updates.</w:t>
            </w:r>
          </w:p>
        </w:tc>
      </w:tr>
      <w:tr>
        <w:tc>
          <w:tcPr>
            <w:tcW w:type="dxa" w:w="14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 Developing</w:t>
            </w:r>
          </w:p>
        </w:tc>
        <w:tc>
          <w:tcPr>
            <w:tcW w:type="dxa" w:w="14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&lt; 40</w:t>
            </w:r>
          </w:p>
        </w:tc>
        <w:tc>
          <w:tcPr>
            <w:tcW w:type="dxa" w:w="24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Below national median</w:t>
            </w:r>
          </w:p>
        </w:tc>
        <w:tc>
          <w:tcPr>
            <w:tcW w:type="dxa" w:w="45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Lower near-term priority; still scored and rankable for completeness.</w:t>
            </w:r>
          </w:p>
        </w:tc>
      </w:tr>
    </w:tbl>
    <w:p>
      <w:pPr>
        <w:spacing w:after="140" w:before="0"/>
      </w:pPr>
      <w:r>
        <w:rPr>
          <w:rFonts w:ascii="Arial" w:cs="Arial" w:eastAsia="Arial" w:hAnsi="Arial"/>
          <w:sz w:val="22"/>
          <w:szCs w:val="22"/>
        </w:rPr>
        <w:t xml:space="preserve"/>
      </w:r>
    </w:p>
    <w:p>
      <w:pPr>
        <w:pBdr>
          <w:bottom w:val="single" w:color="1B3A5C" w:sz="2" w:space="4"/>
        </w:pBdr>
        <w:spacing w:after="100" w:before="260"/>
      </w:pPr>
      <w:r>
        <w:rPr>
          <w:rFonts w:ascii="Arial" w:cs="Arial" w:eastAsia="Arial" w:hAnsi="Arial"/>
          <w:b/>
          <w:bCs/>
          <w:color w:val="1B3A5C"/>
          <w:sz w:val="26"/>
          <w:szCs w:val="26"/>
        </w:rPr>
        <w:t xml:space="preserve">Score Calibration</w:t>
      </w:r>
    </w:p>
    <w:p>
      <w:pPr>
        <w:spacing w:after="140" w:before="0"/>
      </w:pPr>
      <w:r>
        <w:rPr>
          <w:rFonts w:ascii="Arial" w:cs="Arial" w:eastAsia="Arial" w:hAnsi="Arial"/>
          <w:color w:val="1A1A2E"/>
          <w:sz w:val="22"/>
          <w:szCs w:val="22"/>
        </w:rPr>
        <w:t xml:space="preserve">Scores are calibrated against the national county distribution. The maximum observed composite score is approximately 61–62 (no county achieves a perfect 100 because no geography is simultaneously at the 100th percentile on all seven dimensions). The Priority threshold of 55 was set to identify the top 0.3% of counties — approximately 9–10 counties — where every major dimension signal converges.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1B3A5C" w:sz="10"/>
              <w:bottom w:val="none" w:color="FFFFFF" w:sz="0"/>
              <w:right w:val="none" w:color="FFFFFF" w:sz="0"/>
            </w:tcBorders>
            <w:shd w:fill="F5F7FA" w:val="clear"/>
            <w:tcMar>
              <w:top w:type="dxa" w:w="120"/>
              <w:left w:type="dxa" w:w="220"/>
              <w:bottom w:type="dxa" w:w="120"/>
              <w:right w:type="dxa" w:w="220"/>
            </w:tcMar>
          </w:tcPr>
          <w:p>
            <w:pPr>
              <w:spacing w:after="0" w:before="0"/>
            </w:pPr>
            <w:r>
              <w:rPr>
                <w:rFonts w:ascii="Arial" w:cs="Arial" w:eastAsia="Arial" w:hAnsi="Arial"/>
                <w:i/>
                <w:iCs/>
                <w:color w:val="1A1A2E"/>
                <w:sz w:val="22"/>
                <w:szCs w:val="22"/>
              </w:rPr>
              <w:t xml:space="preserve">Score interpretation is relative, not absolute. A score of 45 does not mean the county has 45% of the theoretical maximum opportunity — it means the county is at approximately the 45th percentile nationally on the composite framework.</w:t>
            </w:r>
          </w:p>
        </w:tc>
      </w:tr>
    </w:tbl>
    <w:p>
      <w:pPr>
        <w:spacing w:after="100" w:before="0"/>
      </w:pPr>
      <w:r>
        <w:rPr>
          <w:rFonts w:ascii="Arial" w:cs="Arial" w:eastAsia="Arial" w:hAnsi="Arial"/>
          <w:sz w:val="22"/>
          <w:szCs w:val="22"/>
        </w:rPr>
        <w:t xml:space="preserve"/>
      </w:r>
    </w:p>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1B3A5C" w:val="clear"/>
            <w:tcMar>
              <w:top w:type="dxa" w:w="180"/>
              <w:left w:type="dxa" w:w="240"/>
              <w:bottom w:type="dxa" w:w="180"/>
              <w:right w:type="dxa" w:w="240"/>
            </w:tcMar>
          </w:tcPr>
          <w:p>
            <w:pPr>
              <w:spacing w:after="0" w:before="0"/>
            </w:pPr>
            <w:r>
              <w:rPr>
                <w:rFonts w:ascii="Arial" w:cs="Arial" w:eastAsia="Arial" w:hAnsi="Arial"/>
                <w:b/>
                <w:bCs/>
                <w:color w:val="FFFFFF"/>
                <w:sz w:val="30"/>
                <w:szCs w:val="30"/>
              </w:rPr>
              <w:t xml:space="preserve">7.   POOL SIZE ESTIMATION</w:t>
            </w:r>
          </w:p>
        </w:tc>
      </w:tr>
    </w:tbl>
    <w:p>
      <w:pPr>
        <w:spacing w:after="140" w:before="0"/>
      </w:pPr>
      <w:r>
        <w:rPr>
          <w:rFonts w:ascii="Arial" w:cs="Arial" w:eastAsia="Arial" w:hAnsi="Arial"/>
          <w:sz w:val="22"/>
          <w:szCs w:val="22"/>
        </w:rPr>
        <w:t xml:space="preserve"/>
      </w:r>
    </w:p>
    <w:p>
      <w:pPr>
        <w:spacing w:after="140" w:before="0"/>
      </w:pPr>
      <w:r>
        <w:rPr>
          <w:rFonts w:ascii="Arial" w:cs="Arial" w:eastAsia="Arial" w:hAnsi="Arial"/>
          <w:color w:val="1A1A2E"/>
          <w:sz w:val="22"/>
          <w:szCs w:val="22"/>
        </w:rPr>
        <w:t xml:space="preserve">For each county and ZIP, SPPF estimates the absolute size of the undiagnosed patient pool based on published national undiagnosed rates applied to county adult population figures from the Census ACS.</w:t>
      </w:r>
    </w:p>
    <w:p>
      <w:pPr>
        <w:spacing w:after="80" w:before="0"/>
      </w:pPr>
      <w:r>
        <w:rPr>
          <w:rFonts w:ascii="Arial" w:cs="Arial" w:eastAsia="Arial" w:hAnsi="Arial"/>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720"/>
      </w:tblGrid>
      <w:tr>
        <w:trPr>
          <w:tblHeader/>
        </w:trPr>
        <w:tc>
          <w:tcPr>
            <w:tcW w:type="dxa" w:w="22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Condition</w:t>
            </w:r>
          </w:p>
        </w:tc>
        <w:tc>
          <w:tcPr>
            <w:tcW w:type="dxa" w:w="24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Undiagnosed Rate Applied</w:t>
            </w:r>
          </w:p>
        </w:tc>
        <w:tc>
          <w:tcPr>
            <w:tcW w:type="dxa" w:w="24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Population Base</w:t>
            </w:r>
          </w:p>
        </w:tc>
        <w:tc>
          <w:tcPr>
            <w:tcW w:type="dxa" w:w="272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Source</w:t>
            </w:r>
          </w:p>
        </w:tc>
      </w:tr>
      <w:tr>
        <w:tc>
          <w:tcPr>
            <w:tcW w:type="dxa" w:w="22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Type 2 Diabetes</w:t>
            </w:r>
          </w:p>
        </w:tc>
        <w:tc>
          <w:tcPr>
            <w:tcW w:type="dxa" w:w="24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23.1% of adult population</w:t>
            </w:r>
          </w:p>
        </w:tc>
        <w:tc>
          <w:tcPr>
            <w:tcW w:type="dxa" w:w="24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18+ Census ACS population estimate</w:t>
            </w:r>
          </w:p>
        </w:tc>
        <w:tc>
          <w:tcPr>
            <w:tcW w:type="dxa" w:w="27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ADA National Diabetes Statistics Report 2022</w:t>
            </w:r>
          </w:p>
        </w:tc>
      </w:tr>
      <w:tr>
        <w:tc>
          <w:tcPr>
            <w:tcW w:type="dxa" w:w="22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Hypertension</w:t>
            </w:r>
          </w:p>
        </w:tc>
        <w:tc>
          <w:tcPr>
            <w:tcW w:type="dxa" w:w="24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27.0% of adult population</w:t>
            </w:r>
          </w:p>
        </w:tc>
        <w:tc>
          <w:tcPr>
            <w:tcW w:type="dxa" w:w="24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18+ Census ACS population estimate</w:t>
            </w:r>
          </w:p>
        </w:tc>
        <w:tc>
          <w:tcPr>
            <w:tcW w:type="dxa" w:w="272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AHA Heart Disease and Stroke Statistics 2023</w:t>
            </w:r>
          </w:p>
        </w:tc>
      </w:tr>
      <w:tr>
        <w:tc>
          <w:tcPr>
            <w:tcW w:type="dxa" w:w="22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Hypothyroidism</w:t>
            </w:r>
          </w:p>
        </w:tc>
        <w:tc>
          <w:tcPr>
            <w:tcW w:type="dxa" w:w="24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50.0% of adult population</w:t>
            </w:r>
          </w:p>
        </w:tc>
        <w:tc>
          <w:tcPr>
            <w:tcW w:type="dxa" w:w="24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18+ Census ACS population estimate</w:t>
            </w:r>
          </w:p>
        </w:tc>
        <w:tc>
          <w:tcPr>
            <w:tcW w:type="dxa" w:w="27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American Thyroid Association / clinical literature</w:t>
            </w:r>
          </w:p>
        </w:tc>
      </w:tr>
    </w:tbl>
    <w:p>
      <w:pPr>
        <w:spacing w:after="140" w:before="0"/>
      </w:pPr>
      <w:r>
        <w:rPr>
          <w:rFonts w:ascii="Arial" w:cs="Arial" w:eastAsia="Arial" w:hAnsi="Arial"/>
          <w:sz w:val="22"/>
          <w:szCs w:val="22"/>
        </w:rPr>
        <w:t xml:space="preserve"/>
      </w:r>
    </w:p>
    <w:p>
      <w:pPr>
        <w:spacing w:after="140" w:before="0"/>
      </w:pPr>
      <w:r>
        <w:rPr>
          <w:rFonts w:ascii="Arial" w:cs="Arial" w:eastAsia="Arial" w:hAnsi="Arial"/>
          <w:color w:val="1A1A2E"/>
          <w:sz w:val="22"/>
          <w:szCs w:val="22"/>
        </w:rPr>
        <w:t xml:space="preserve">Pool estimates are intended for relative market sizing and program planning — not for clinical or regulatory filings. Actual undiagnosed rates vary by county based on demographic composition, care access, and screening history. The published national rates are applied uniformly as a conservative baseline.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1B3A5C" w:sz="10"/>
              <w:bottom w:val="none" w:color="FFFFFF" w:sz="0"/>
              <w:right w:val="none" w:color="FFFFFF" w:sz="0"/>
            </w:tcBorders>
            <w:shd w:fill="F5F7FA" w:val="clear"/>
            <w:tcMar>
              <w:top w:type="dxa" w:w="120"/>
              <w:left w:type="dxa" w:w="220"/>
              <w:bottom w:type="dxa" w:w="120"/>
              <w:right w:type="dxa" w:w="220"/>
            </w:tcMar>
          </w:tcPr>
          <w:p>
            <w:pPr>
              <w:spacing w:after="0" w:before="0"/>
            </w:pPr>
            <w:r>
              <w:rPr>
                <w:rFonts w:ascii="Arial" w:cs="Arial" w:eastAsia="Arial" w:hAnsi="Arial"/>
                <w:i/>
                <w:iCs/>
                <w:color w:val="1A1A2E"/>
                <w:sz w:val="22"/>
                <w:szCs w:val="22"/>
              </w:rPr>
              <w:t xml:space="preserve">Pool size should be interpreted alongside the Opportunity Score: a county with 50,000 estimated undiagnosed T2D patients and a score of 35 is a different market than one with 12,000 estimated patients and a score of 58. The score measures reachability and gap depth; pool size measures absolute addressable volume.</w:t>
            </w:r>
          </w:p>
        </w:tc>
      </w:tr>
    </w:tbl>
    <w:p>
      <w:pPr>
        <w:spacing w:after="100" w:before="0"/>
      </w:pPr>
      <w:r>
        <w:rPr>
          <w:rFonts w:ascii="Arial" w:cs="Arial" w:eastAsia="Arial" w:hAnsi="Arial"/>
          <w:sz w:val="22"/>
          <w:szCs w:val="22"/>
        </w:rPr>
        <w:t xml:space="preserve"/>
      </w:r>
    </w:p>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1B3A5C" w:val="clear"/>
            <w:tcMar>
              <w:top w:type="dxa" w:w="180"/>
              <w:left w:type="dxa" w:w="240"/>
              <w:bottom w:type="dxa" w:w="180"/>
              <w:right w:type="dxa" w:w="240"/>
            </w:tcMar>
          </w:tcPr>
          <w:p>
            <w:pPr>
              <w:spacing w:after="0" w:before="0"/>
            </w:pPr>
            <w:r>
              <w:rPr>
                <w:rFonts w:ascii="Arial" w:cs="Arial" w:eastAsia="Arial" w:hAnsi="Arial"/>
                <w:b/>
                <w:bCs/>
                <w:color w:val="FFFFFF"/>
                <w:sz w:val="30"/>
                <w:szCs w:val="30"/>
              </w:rPr>
              <w:t xml:space="preserve">8.   ZIP &amp; TERRITORY ANALYSIS</w:t>
            </w:r>
          </w:p>
        </w:tc>
      </w:tr>
    </w:tbl>
    <w:p>
      <w:pPr>
        <w:spacing w:after="140" w:before="0"/>
      </w:pPr>
      <w:r>
        <w:rPr>
          <w:rFonts w:ascii="Arial" w:cs="Arial" w:eastAsia="Arial" w:hAnsi="Arial"/>
          <w:sz w:val="22"/>
          <w:szCs w:val="22"/>
        </w:rPr>
        <w:t xml:space="preserve"/>
      </w:r>
    </w:p>
    <w:p>
      <w:pPr>
        <w:spacing w:after="140" w:before="0"/>
      </w:pPr>
      <w:r>
        <w:rPr>
          <w:rFonts w:ascii="Arial" w:cs="Arial" w:eastAsia="Arial" w:hAnsi="Arial"/>
          <w:color w:val="1A1A2E"/>
          <w:sz w:val="22"/>
          <w:szCs w:val="22"/>
        </w:rPr>
        <w:t xml:space="preserve">The ZIP &amp; Territory view extends county-level intelligence to the sub-county geography used by field teams, payer network maps, and provider organizations. SPPF scores all 33,774 US ZIP Code Tabulation Areas (ZCTAs) across the same seven dimensions as counties, enabling field teams to define custom territories and receive instant scorecard outputs.</w:t>
      </w:r>
    </w:p>
    <w:p>
      <w:pPr>
        <w:spacing w:after="80" w:before="0"/>
      </w:pPr>
      <w:r>
        <w:rPr>
          <w:rFonts w:ascii="Arial" w:cs="Arial" w:eastAsia="Arial" w:hAnsi="Arial"/>
          <w:sz w:val="22"/>
          <w:szCs w:val="22"/>
        </w:rPr>
        <w:t xml:space="preserve"/>
      </w:r>
    </w:p>
    <w:p>
      <w:pPr>
        <w:pBdr>
          <w:bottom w:val="single" w:color="1B3A5C" w:sz="2" w:space="4"/>
        </w:pBdr>
        <w:spacing w:after="100" w:before="260"/>
      </w:pPr>
      <w:r>
        <w:rPr>
          <w:rFonts w:ascii="Arial" w:cs="Arial" w:eastAsia="Arial" w:hAnsi="Arial"/>
          <w:b/>
          <w:bCs/>
          <w:color w:val="1B3A5C"/>
          <w:sz w:val="26"/>
          <w:szCs w:val="26"/>
        </w:rPr>
        <w:t xml:space="preserve">ZIP Scoring Methodology</w:t>
      </w:r>
    </w:p>
    <w:p>
      <w:pPr>
        <w:pStyle w:val="ListParagraph"/>
        <w:numPr>
          <w:ilvl w:val="0"/>
          <w:numId w:val="2"/>
        </w:numPr>
        <w:spacing w:after="70" w:before="0"/>
      </w:pPr>
      <w:r>
        <w:rPr>
          <w:rFonts w:ascii="Arial" w:cs="Arial" w:eastAsia="Arial" w:hAnsi="Arial"/>
          <w:b/>
          <w:bCs/>
          <w:color w:val="1A1A2E"/>
          <w:sz w:val="22"/>
          <w:szCs w:val="22"/>
        </w:rPr>
        <w:t xml:space="preserve">Disease Burden and Social Determinants use real CDC PLACES and Census ACS ZCTA-level data, where available. CDC PLACES publishes chronic disease prevalence at the ZCTA level for all 33,774 ZCTAs as part of the PLACES 2024 release.</w:t>
      </w:r>
    </w:p>
    <w:p>
      <w:pPr>
        <w:pStyle w:val="ListParagraph"/>
        <w:numPr>
          <w:ilvl w:val="0"/>
          <w:numId w:val="2"/>
        </w:numPr>
        <w:spacing w:after="70" w:before="0"/>
      </w:pPr>
      <w:r>
        <w:rPr>
          <w:rFonts w:ascii="Arial" w:cs="Arial" w:eastAsia="Arial" w:hAnsi="Arial"/>
          <w:b/>
          <w:bCs/>
          <w:color w:val="1A1A2E"/>
          <w:sz w:val="22"/>
          <w:szCs w:val="22"/>
        </w:rPr>
        <w:t xml:space="preserve">For dimensions where ZCTA-level source data is not available (Payer Landscape, Commercial Readiness, Trajectory, and where county-level Access to Care data is more reliable), county-level dimension scores are downscaled to ZCTA level using a population-weighted Census 2020 ZCTA-to-county crosswalk. ZCTAs spanning multiple counties receive a population-weighted blend of their constituent county scores.</w:t>
      </w:r>
    </w:p>
    <w:p>
      <w:pPr>
        <w:pStyle w:val="ListParagraph"/>
        <w:numPr>
          <w:ilvl w:val="0"/>
          <w:numId w:val="2"/>
        </w:numPr>
        <w:spacing w:after="70" w:before="0"/>
      </w:pPr>
      <w:r>
        <w:rPr>
          <w:rFonts w:ascii="Arial" w:cs="Arial" w:eastAsia="Arial" w:hAnsi="Arial"/>
          <w:b/>
          <w:bCs/>
          <w:color w:val="1A1A2E"/>
          <w:sz w:val="22"/>
          <w:szCs w:val="22"/>
        </w:rPr>
        <w:t xml:space="preserve">ZIP centroids (latitude/longitude) are sourced from the Census Bureau Gazetteer ZCTA file, enabling geographic mapping of all 33,774 ZCTAs on a Plotly scatter_geo map using the Albers USA projection.</w:t>
      </w:r>
    </w:p>
    <w:p>
      <w:pPr>
        <w:spacing w:after="80" w:before="0"/>
      </w:pPr>
      <w:r>
        <w:rPr>
          <w:rFonts w:ascii="Arial" w:cs="Arial" w:eastAsia="Arial" w:hAnsi="Arial"/>
          <w:sz w:val="22"/>
          <w:szCs w:val="22"/>
        </w:rPr>
        <w:t xml:space="preserve"/>
      </w:r>
    </w:p>
    <w:p>
      <w:pPr>
        <w:pBdr>
          <w:bottom w:val="single" w:color="1B3A5C" w:sz="2" w:space="4"/>
        </w:pBdr>
        <w:spacing w:after="100" w:before="260"/>
      </w:pPr>
      <w:r>
        <w:rPr>
          <w:rFonts w:ascii="Arial" w:cs="Arial" w:eastAsia="Arial" w:hAnsi="Arial"/>
          <w:b/>
          <w:bCs/>
          <w:color w:val="1B3A5C"/>
          <w:sz w:val="26"/>
          <w:szCs w:val="26"/>
        </w:rPr>
        <w:t xml:space="preserve">Territory Builder</w:t>
      </w:r>
    </w:p>
    <w:p>
      <w:pPr>
        <w:spacing w:after="140" w:before="0"/>
      </w:pPr>
      <w:r>
        <w:rPr>
          <w:rFonts w:ascii="Arial" w:cs="Arial" w:eastAsia="Arial" w:hAnsi="Arial"/>
          <w:color w:val="1A1A2E"/>
          <w:sz w:val="22"/>
          <w:szCs w:val="22"/>
        </w:rPr>
        <w:t xml:space="preserve">The Territory Builder allows field teams to define a custom geography by pasting a list of ZIP codes. The tool immediately aggregates the individual ZIP scores into a territory-level scorecard:</w:t>
      </w:r>
    </w:p>
    <w:p>
      <w:pPr>
        <w:pStyle w:val="ListParagraph"/>
        <w:numPr>
          <w:ilvl w:val="0"/>
          <w:numId w:val="2"/>
        </w:numPr>
        <w:spacing w:after="70" w:before="0"/>
      </w:pPr>
      <w:r>
        <w:rPr>
          <w:rFonts w:ascii="Arial" w:cs="Arial" w:eastAsia="Arial" w:hAnsi="Arial"/>
          <w:b w:val="false"/>
          <w:bCs w:val="false"/>
          <w:color w:val="1A1A2E"/>
          <w:sz w:val="22"/>
          <w:szCs w:val="22"/>
        </w:rPr>
        <w:t xml:space="preserve">Median Opportunity Score across all ZIPs in the territory</w:t>
      </w:r>
    </w:p>
    <w:p>
      <w:pPr>
        <w:pStyle w:val="ListParagraph"/>
        <w:numPr>
          <w:ilvl w:val="0"/>
          <w:numId w:val="2"/>
        </w:numPr>
        <w:spacing w:after="70" w:before="0"/>
      </w:pPr>
      <w:r>
        <w:rPr>
          <w:rFonts w:ascii="Arial" w:cs="Arial" w:eastAsia="Arial" w:hAnsi="Arial"/>
          <w:b w:val="false"/>
          <w:bCs w:val="false"/>
          <w:color w:val="1A1A2E"/>
          <w:sz w:val="22"/>
          <w:szCs w:val="22"/>
        </w:rPr>
        <w:t xml:space="preserve">Estimated total undiagnosed patient pool (sum across all ZIPs)</w:t>
      </w:r>
    </w:p>
    <w:p>
      <w:pPr>
        <w:pStyle w:val="ListParagraph"/>
        <w:numPr>
          <w:ilvl w:val="0"/>
          <w:numId w:val="2"/>
        </w:numPr>
        <w:spacing w:after="70" w:before="0"/>
      </w:pPr>
      <w:r>
        <w:rPr>
          <w:rFonts w:ascii="Arial" w:cs="Arial" w:eastAsia="Arial" w:hAnsi="Arial"/>
          <w:b w:val="false"/>
          <w:bCs w:val="false"/>
          <w:color w:val="1A1A2E"/>
          <w:sz w:val="22"/>
          <w:szCs w:val="22"/>
        </w:rPr>
        <w:t xml:space="preserve">Dimension radar chart showing how the territory performs vs. the national ZCTA average on each of the seven dimensions</w:t>
      </w:r>
    </w:p>
    <w:p>
      <w:pPr>
        <w:pStyle w:val="ListParagraph"/>
        <w:numPr>
          <w:ilvl w:val="0"/>
          <w:numId w:val="2"/>
        </w:numPr>
        <w:spacing w:after="70" w:before="0"/>
      </w:pPr>
      <w:r>
        <w:rPr>
          <w:rFonts w:ascii="Arial" w:cs="Arial" w:eastAsia="Arial" w:hAnsi="Arial"/>
          <w:b w:val="false"/>
          <w:bCs w:val="false"/>
          <w:color w:val="1A1A2E"/>
          <w:sz w:val="22"/>
          <w:szCs w:val="22"/>
        </w:rPr>
        <w:t xml:space="preserve">Intervention breakdown — proportion of ZIPs in the territory recommended for each of the five program types</w:t>
      </w:r>
    </w:p>
    <w:p>
      <w:pPr>
        <w:pStyle w:val="ListParagraph"/>
        <w:numPr>
          <w:ilvl w:val="0"/>
          <w:numId w:val="2"/>
        </w:numPr>
        <w:spacing w:after="70" w:before="0"/>
      </w:pPr>
      <w:r>
        <w:rPr>
          <w:rFonts w:ascii="Arial" w:cs="Arial" w:eastAsia="Arial" w:hAnsi="Arial"/>
          <w:b w:val="false"/>
          <w:bCs w:val="false"/>
          <w:color w:val="1A1A2E"/>
          <w:sz w:val="22"/>
          <w:szCs w:val="22"/>
        </w:rPr>
        <w:t xml:space="preserve">Per-ZIP ranked table exportable as CSV for rep briefing or payer conversation</w:t>
      </w:r>
    </w:p>
    <w:p>
      <w:pPr>
        <w:spacing w:after="80" w:before="0"/>
      </w:pPr>
      <w:r>
        <w:rPr>
          <w:rFonts w:ascii="Arial" w:cs="Arial" w:eastAsia="Arial" w:hAnsi="Arial"/>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457B9D" w:sz="10"/>
              <w:bottom w:val="none" w:color="FFFFFF" w:sz="0"/>
              <w:right w:val="none" w:color="FFFFFF" w:sz="0"/>
            </w:tcBorders>
            <w:shd w:fill="F5F7FA" w:val="clear"/>
            <w:tcMar>
              <w:top w:type="dxa" w:w="120"/>
              <w:left w:type="dxa" w:w="220"/>
              <w:bottom w:type="dxa" w:w="120"/>
              <w:right w:type="dxa" w:w="220"/>
            </w:tcMar>
          </w:tcPr>
          <w:p>
            <w:pPr>
              <w:spacing w:after="0" w:before="0"/>
            </w:pPr>
            <w:r>
              <w:rPr>
                <w:rFonts w:ascii="Arial" w:cs="Arial" w:eastAsia="Arial" w:hAnsi="Arial"/>
                <w:i/>
                <w:iCs/>
                <w:color w:val="1A1A2E"/>
                <w:sz w:val="22"/>
                <w:szCs w:val="22"/>
              </w:rPr>
              <w:t xml:space="preserve">The Territory Builder is the primary field-facing tool. It converts the platform's analytical output into a format a medical science liaison or account manager can use in a payer conversation: here is our territory, here is the aggregate patient pool, here is why a Payer Partnership program is the right intervention, and here is the ZIP-level data that supports it.</w:t>
            </w:r>
          </w:p>
        </w:tc>
      </w:tr>
    </w:tbl>
    <w:p>
      <w:pPr>
        <w:spacing w:after="100" w:before="0"/>
      </w:pPr>
      <w:r>
        <w:rPr>
          <w:rFonts w:ascii="Arial" w:cs="Arial" w:eastAsia="Arial" w:hAnsi="Arial"/>
          <w:sz w:val="22"/>
          <w:szCs w:val="22"/>
        </w:rPr>
        <w:t xml:space="preserve"/>
      </w:r>
    </w:p>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1B3A5C" w:val="clear"/>
            <w:tcMar>
              <w:top w:type="dxa" w:w="180"/>
              <w:left w:type="dxa" w:w="240"/>
              <w:bottom w:type="dxa" w:w="180"/>
              <w:right w:type="dxa" w:w="240"/>
            </w:tcMar>
          </w:tcPr>
          <w:p>
            <w:pPr>
              <w:spacing w:after="0" w:before="0"/>
            </w:pPr>
            <w:r>
              <w:rPr>
                <w:rFonts w:ascii="Arial" w:cs="Arial" w:eastAsia="Arial" w:hAnsi="Arial"/>
                <w:b/>
                <w:bCs/>
                <w:color w:val="FFFFFF"/>
                <w:sz w:val="30"/>
                <w:szCs w:val="30"/>
              </w:rPr>
              <w:t xml:space="preserve">9.   INTERVENTION RECOMMENDATION ENGINE</w:t>
            </w:r>
          </w:p>
        </w:tc>
      </w:tr>
    </w:tbl>
    <w:p>
      <w:pPr>
        <w:spacing w:after="140" w:before="0"/>
      </w:pPr>
      <w:r>
        <w:rPr>
          <w:rFonts w:ascii="Arial" w:cs="Arial" w:eastAsia="Arial" w:hAnsi="Arial"/>
          <w:sz w:val="22"/>
          <w:szCs w:val="22"/>
        </w:rPr>
        <w:t xml:space="preserve"/>
      </w:r>
    </w:p>
    <w:p>
      <w:pPr>
        <w:spacing w:after="140" w:before="0"/>
      </w:pPr>
      <w:r>
        <w:rPr>
          <w:rFonts w:ascii="Arial" w:cs="Arial" w:eastAsia="Arial" w:hAnsi="Arial"/>
          <w:color w:val="1A1A2E"/>
          <w:sz w:val="22"/>
          <w:szCs w:val="22"/>
        </w:rPr>
        <w:t xml:space="preserve">For every county and ZIP, SPPF recommends one of five intervention program types based on the dimensional profile. The recommendation is rule-based and fully transparent — it applies a priority-ordered decision tree to the county's dimension scores and payer/demographic attributes.</w:t>
      </w:r>
    </w:p>
    <w:p>
      <w:pPr>
        <w:spacing w:after="80" w:before="0"/>
      </w:pPr>
      <w:r>
        <w:rPr>
          <w:rFonts w:ascii="Arial" w:cs="Arial" w:eastAsia="Arial" w:hAnsi="Arial"/>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720"/>
      </w:tblGrid>
      <w:tr>
        <w:trPr>
          <w:tblHeader/>
        </w:trPr>
        <w:tc>
          <w:tcPr>
            <w:tcW w:type="dxa" w:w="22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Program Type</w:t>
            </w:r>
          </w:p>
        </w:tc>
        <w:tc>
          <w:tcPr>
            <w:tcW w:type="dxa" w:w="28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Trigger Criteria</w:t>
            </w:r>
          </w:p>
        </w:tc>
        <w:tc>
          <w:tcPr>
            <w:tcW w:type="dxa" w:w="472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Rationale</w:t>
            </w:r>
          </w:p>
        </w:tc>
      </w:tr>
      <w:tr>
        <w:tc>
          <w:tcPr>
            <w:tcW w:type="dxa" w:w="22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Payer Partnership Program</w:t>
            </w:r>
          </w:p>
        </w:tc>
        <w:tc>
          <w:tcPr>
            <w:tcW w:type="dxa" w:w="28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Payer score ≥65 AND MA penetration ≥35%</w:t>
            </w:r>
          </w:p>
        </w:tc>
        <w:tc>
          <w:tcPr>
            <w:tcW w:type="dxa" w:w="47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MA plan has Stars incentives to fund patient identification; pitch closes at a plan level, not a provider level.</w:t>
            </w:r>
          </w:p>
        </w:tc>
      </w:tr>
      <w:tr>
        <w:tc>
          <w:tcPr>
            <w:tcW w:type="dxa" w:w="22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Community Health Center Partnership</w:t>
            </w:r>
          </w:p>
        </w:tc>
        <w:tc>
          <w:tcPr>
            <w:tcW w:type="dxa" w:w="28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Social Determinants score ≥65 AND Access score ≤45</w:t>
            </w:r>
          </w:p>
        </w:tc>
        <w:tc>
          <w:tcPr>
            <w:tcW w:type="dxa" w:w="472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High-SDoH, low-access counties need FQHC or community health org as the delivery vehicle. Payer or retail channels will not reach these patients.</w:t>
            </w:r>
          </w:p>
        </w:tc>
      </w:tr>
      <w:tr>
        <w:tc>
          <w:tcPr>
            <w:tcW w:type="dxa" w:w="22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Employer Wellness Program</w:t>
            </w:r>
          </w:p>
        </w:tc>
        <w:tc>
          <w:tcPr>
            <w:tcW w:type="dxa" w:w="28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Commercial rate ≥45% AND non-rural</w:t>
            </w:r>
          </w:p>
        </w:tc>
        <w:tc>
          <w:tcPr>
            <w:tcW w:type="dxa" w:w="47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Commercially insured suburban counties have large self-insured employers who pay directly for outcomes. ROI calculation is straightforward.</w:t>
            </w:r>
          </w:p>
        </w:tc>
      </w:tr>
      <w:tr>
        <w:tc>
          <w:tcPr>
            <w:tcW w:type="dxa" w:w="22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Digital Health Program</w:t>
            </w:r>
          </w:p>
        </w:tc>
        <w:tc>
          <w:tcPr>
            <w:tcW w:type="dxa" w:w="28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Broadband ≥75% AND commercial rate ≥40%</w:t>
            </w:r>
          </w:p>
        </w:tc>
        <w:tc>
          <w:tcPr>
            <w:tcW w:type="dxa" w:w="472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Digitally connected, commercially insured markets. Telehealth, CGM-connected screening, and app-based navigation are operationally feasible.</w:t>
            </w:r>
          </w:p>
        </w:tc>
      </w:tr>
      <w:tr>
        <w:tc>
          <w:tcPr>
            <w:tcW w:type="dxa" w:w="22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Pharmacy-Based Screening</w:t>
            </w:r>
          </w:p>
        </w:tc>
        <w:tc>
          <w:tcPr>
            <w:tcW w:type="dxa" w:w="28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Default (all other counties)</w:t>
            </w:r>
          </w:p>
        </w:tc>
        <w:tc>
          <w:tcPr>
            <w:tcW w:type="dxa" w:w="47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Retail pharmacy is the highest-density access point in the remaining market. CVS/Walgreens/Walmart partnerships for in-store A1C or blood pressure screening.</w:t>
            </w:r>
          </w:p>
        </w:tc>
      </w:tr>
    </w:tbl>
    <w:p>
      <w:pPr>
        <w:spacing w:after="140" w:before="0"/>
      </w:pPr>
      <w:r>
        <w:rPr>
          <w:rFonts w:ascii="Arial" w:cs="Arial" w:eastAsia="Arial" w:hAnsi="Arial"/>
          <w:sz w:val="22"/>
          <w:szCs w:val="22"/>
        </w:rPr>
        <w:t xml:space="preserve"/>
      </w:r>
    </w:p>
    <w:p>
      <w:pPr>
        <w:spacing w:after="140" w:before="0"/>
      </w:pPr>
      <w:r>
        <w:rPr>
          <w:rFonts w:ascii="Arial" w:cs="Arial" w:eastAsia="Arial" w:hAnsi="Arial"/>
          <w:color w:val="1A1A2E"/>
          <w:sz w:val="22"/>
          <w:szCs w:val="22"/>
        </w:rPr>
        <w:t xml:space="preserve">Recommendations are applied in priority order: a county meeting Payer Partnership criteria receives that recommendation regardless of whether it also qualifies for Digital Health. The decision tree prioritizes the highest-leverage intervention — payer funding produces the most scalable and sustainable programs.</w:t>
      </w:r>
    </w:p>
    <w:p>
      <w:pPr>
        <w:spacing w:after="100" w:before="0"/>
      </w:pPr>
      <w:r>
        <w:rPr>
          <w:rFonts w:ascii="Arial" w:cs="Arial" w:eastAsia="Arial" w:hAnsi="Arial"/>
          <w:sz w:val="22"/>
          <w:szCs w:val="22"/>
        </w:rPr>
        <w:t xml:space="preserve"/>
      </w:r>
    </w:p>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1B3A5C" w:val="clear"/>
            <w:tcMar>
              <w:top w:type="dxa" w:w="180"/>
              <w:left w:type="dxa" w:w="240"/>
              <w:bottom w:type="dxa" w:w="180"/>
              <w:right w:type="dxa" w:w="240"/>
            </w:tcMar>
          </w:tcPr>
          <w:p>
            <w:pPr>
              <w:spacing w:after="0" w:before="0"/>
            </w:pPr>
            <w:r>
              <w:rPr>
                <w:rFonts w:ascii="Arial" w:cs="Arial" w:eastAsia="Arial" w:hAnsi="Arial"/>
                <w:b/>
                <w:bCs/>
                <w:color w:val="FFFFFF"/>
                <w:sz w:val="30"/>
                <w:szCs w:val="30"/>
              </w:rPr>
              <w:t xml:space="preserve">10.   LIMITATIONS &amp; DATA NOTES</w:t>
            </w:r>
          </w:p>
        </w:tc>
      </w:tr>
    </w:tbl>
    <w:p>
      <w:pPr>
        <w:spacing w:after="140" w:before="0"/>
      </w:pPr>
      <w:r>
        <w:rPr>
          <w:rFonts w:ascii="Arial" w:cs="Arial" w:eastAsia="Arial" w:hAnsi="Arial"/>
          <w:sz w:val="22"/>
          <w:szCs w:val="22"/>
        </w:rPr>
        <w:t xml:space="preserve"/>
      </w:r>
    </w:p>
    <w:p>
      <w:pPr>
        <w:spacing w:after="140" w:before="0"/>
      </w:pPr>
      <w:r>
        <w:rPr>
          <w:rFonts w:ascii="Arial" w:cs="Arial" w:eastAsia="Arial" w:hAnsi="Arial"/>
          <w:color w:val="1A1A2E"/>
          <w:sz w:val="22"/>
          <w:szCs w:val="22"/>
        </w:rPr>
        <w:t xml:space="preserve">SPPF is designed for strategic market planning and program prioritization. Users should be aware of the following limitations:</w:t>
      </w:r>
    </w:p>
    <w:p>
      <w:pPr>
        <w:spacing w:after="80" w:before="0"/>
      </w:pPr>
      <w:r>
        <w:rPr>
          <w:rFonts w:ascii="Arial" w:cs="Arial" w:eastAsia="Arial" w:hAnsi="Arial"/>
          <w:sz w:val="22"/>
          <w:szCs w:val="22"/>
        </w:rPr>
        <w:t xml:space="preserve"/>
      </w:r>
    </w:p>
    <w:p>
      <w:pPr>
        <w:pBdr>
          <w:bottom w:val="single" w:color="1B3A5C" w:sz="2" w:space="4"/>
        </w:pBdr>
        <w:spacing w:after="100" w:before="260"/>
      </w:pPr>
      <w:r>
        <w:rPr>
          <w:rFonts w:ascii="Arial" w:cs="Arial" w:eastAsia="Arial" w:hAnsi="Arial"/>
          <w:b/>
          <w:bCs/>
          <w:color w:val="1B3A5C"/>
          <w:sz w:val="26"/>
          <w:szCs w:val="26"/>
        </w:rPr>
        <w:t xml:space="preserve">Data Currency</w:t>
      </w:r>
    </w:p>
    <w:p>
      <w:pPr>
        <w:pStyle w:val="ListParagraph"/>
        <w:numPr>
          <w:ilvl w:val="0"/>
          <w:numId w:val="2"/>
        </w:numPr>
        <w:spacing w:after="70" w:before="0"/>
      </w:pPr>
      <w:r>
        <w:rPr>
          <w:rFonts w:ascii="Arial" w:cs="Arial" w:eastAsia="Arial" w:hAnsi="Arial"/>
          <w:b w:val="false"/>
          <w:bCs w:val="false"/>
          <w:color w:val="1A1A2E"/>
          <w:sz w:val="22"/>
          <w:szCs w:val="22"/>
        </w:rPr>
        <w:t xml:space="preserve">CDC PLACES 2024 uses 2022 BRFSS survey data. There is approximately a 2-year lag between the survey period and public release. Rapidly changing county conditions (e.g., post-pandemic healthcare disruption) may not be fully reflected.</w:t>
      </w:r>
    </w:p>
    <w:p>
      <w:pPr>
        <w:pStyle w:val="ListParagraph"/>
        <w:numPr>
          <w:ilvl w:val="0"/>
          <w:numId w:val="2"/>
        </w:numPr>
        <w:spacing w:after="70" w:before="0"/>
      </w:pPr>
      <w:r>
        <w:rPr>
          <w:rFonts w:ascii="Arial" w:cs="Arial" w:eastAsia="Arial" w:hAnsi="Arial"/>
          <w:b w:val="false"/>
          <w:bCs w:val="false"/>
          <w:color w:val="1A1A2E"/>
          <w:sz w:val="22"/>
          <w:szCs w:val="22"/>
        </w:rPr>
        <w:t xml:space="preserve">CMS GV PUF data covers Medicare beneficiaries only (primarily 65+). It is used as a proxy for the broader adult population but does not directly measure undiagnosed rates in working-age adults or Medicaid populations.</w:t>
      </w:r>
    </w:p>
    <w:p>
      <w:pPr>
        <w:pStyle w:val="ListParagraph"/>
        <w:numPr>
          <w:ilvl w:val="0"/>
          <w:numId w:val="2"/>
        </w:numPr>
        <w:spacing w:after="70" w:before="0"/>
      </w:pPr>
      <w:r>
        <w:rPr>
          <w:rFonts w:ascii="Arial" w:cs="Arial" w:eastAsia="Arial" w:hAnsi="Arial"/>
          <w:b w:val="false"/>
          <w:bCs w:val="false"/>
          <w:color w:val="1A1A2E"/>
          <w:sz w:val="22"/>
          <w:szCs w:val="22"/>
        </w:rPr>
        <w:t xml:space="preserve">USDA Food Environment Atlas updates approximately every 3 years. The most recent full release may lag current food retail conditions in counties with recent store openings or closures.</w:t>
      </w:r>
    </w:p>
    <w:p>
      <w:pPr>
        <w:spacing w:after="80" w:before="0"/>
      </w:pPr>
      <w:r>
        <w:rPr>
          <w:rFonts w:ascii="Arial" w:cs="Arial" w:eastAsia="Arial" w:hAnsi="Arial"/>
          <w:sz w:val="22"/>
          <w:szCs w:val="22"/>
        </w:rPr>
        <w:t xml:space="preserve"/>
      </w:r>
    </w:p>
    <w:p>
      <w:pPr>
        <w:pBdr>
          <w:bottom w:val="single" w:color="1B3A5C" w:sz="2" w:space="4"/>
        </w:pBdr>
        <w:spacing w:after="100" w:before="260"/>
      </w:pPr>
      <w:r>
        <w:rPr>
          <w:rFonts w:ascii="Arial" w:cs="Arial" w:eastAsia="Arial" w:hAnsi="Arial"/>
          <w:b/>
          <w:bCs/>
          <w:color w:val="1B3A5C"/>
          <w:sz w:val="26"/>
          <w:szCs w:val="26"/>
        </w:rPr>
        <w:t xml:space="preserve">Scoring Methodology Notes</w:t>
      </w:r>
    </w:p>
    <w:p>
      <w:pPr>
        <w:pStyle w:val="ListParagraph"/>
        <w:numPr>
          <w:ilvl w:val="0"/>
          <w:numId w:val="2"/>
        </w:numPr>
        <w:spacing w:after="70" w:before="0"/>
      </w:pPr>
      <w:r>
        <w:rPr>
          <w:rFonts w:ascii="Arial" w:cs="Arial" w:eastAsia="Arial" w:hAnsi="Arial"/>
          <w:b w:val="false"/>
          <w:bCs w:val="false"/>
          <w:color w:val="1A1A2E"/>
          <w:sz w:val="22"/>
          <w:szCs w:val="22"/>
        </w:rPr>
        <w:t xml:space="preserve">All dimension scores are relative (min-max normalized within the national sample). Adding new counties or refreshing data will shift all scores simultaneously — do not compare absolute scores across pipeline runs with different data vintages.</w:t>
      </w:r>
    </w:p>
    <w:p>
      <w:pPr>
        <w:pStyle w:val="ListParagraph"/>
        <w:numPr>
          <w:ilvl w:val="0"/>
          <w:numId w:val="2"/>
        </w:numPr>
        <w:spacing w:after="70" w:before="0"/>
      </w:pPr>
      <w:r>
        <w:rPr>
          <w:rFonts w:ascii="Arial" w:cs="Arial" w:eastAsia="Arial" w:hAnsi="Arial"/>
          <w:b w:val="false"/>
          <w:bCs w:val="false"/>
          <w:color w:val="1A1A2E"/>
          <w:sz w:val="22"/>
          <w:szCs w:val="22"/>
        </w:rPr>
        <w:t xml:space="preserve">The Diagnosis Gap dimension uses CMS Medicare diagnosis rates as a proxy for population-wide diagnosis gaps. Medicare (65+) populations may behave differently from working-age adults with employer coverage.</w:t>
      </w:r>
    </w:p>
    <w:p>
      <w:pPr>
        <w:pStyle w:val="ListParagraph"/>
        <w:numPr>
          <w:ilvl w:val="0"/>
          <w:numId w:val="2"/>
        </w:numPr>
        <w:spacing w:after="70" w:before="0"/>
      </w:pPr>
      <w:r>
        <w:rPr>
          <w:rFonts w:ascii="Arial" w:cs="Arial" w:eastAsia="Arial" w:hAnsi="Arial"/>
          <w:b w:val="false"/>
          <w:bCs w:val="false"/>
          <w:color w:val="1A1A2E"/>
          <w:sz w:val="22"/>
          <w:szCs w:val="22"/>
        </w:rPr>
        <w:t xml:space="preserve">ZIP/ZCTA scores for Payer Landscape, Commercial Readiness, and Trajectory are downscaled from county-level data. ZCTAs that span county boundaries receive a blended score that may not reflect sub-county variation in these dimensions.</w:t>
      </w:r>
    </w:p>
    <w:p>
      <w:pPr>
        <w:spacing w:after="80" w:before="0"/>
      </w:pPr>
      <w:r>
        <w:rPr>
          <w:rFonts w:ascii="Arial" w:cs="Arial" w:eastAsia="Arial" w:hAnsi="Arial"/>
          <w:sz w:val="22"/>
          <w:szCs w:val="22"/>
        </w:rPr>
        <w:t xml:space="preserve"/>
      </w:r>
    </w:p>
    <w:p>
      <w:pPr>
        <w:pBdr>
          <w:bottom w:val="single" w:color="1B3A5C" w:sz="2" w:space="4"/>
        </w:pBdr>
        <w:spacing w:after="100" w:before="260"/>
      </w:pPr>
      <w:r>
        <w:rPr>
          <w:rFonts w:ascii="Arial" w:cs="Arial" w:eastAsia="Arial" w:hAnsi="Arial"/>
          <w:b/>
          <w:bCs/>
          <w:color w:val="1B3A5C"/>
          <w:sz w:val="26"/>
          <w:szCs w:val="26"/>
        </w:rPr>
        <w:t xml:space="preserve">Use Case Boundaries</w:t>
      </w:r>
    </w:p>
    <w:p>
      <w:pPr>
        <w:pStyle w:val="ListParagraph"/>
        <w:numPr>
          <w:ilvl w:val="0"/>
          <w:numId w:val="2"/>
        </w:numPr>
        <w:spacing w:after="70" w:before="0"/>
      </w:pPr>
      <w:r>
        <w:rPr>
          <w:rFonts w:ascii="Arial" w:cs="Arial" w:eastAsia="Arial" w:hAnsi="Arial"/>
          <w:b w:val="false"/>
          <w:bCs w:val="false"/>
          <w:color w:val="1A1A2E"/>
          <w:sz w:val="22"/>
          <w:szCs w:val="22"/>
        </w:rPr>
        <w:t xml:space="preserve">SPPF outputs are intended for strategic market access planning, territory design, and payer partnership development. They are not intended for individual patient identification, clinical decision support, or regulatory submissions.</w:t>
      </w:r>
    </w:p>
    <w:p>
      <w:pPr>
        <w:pStyle w:val="ListParagraph"/>
        <w:numPr>
          <w:ilvl w:val="0"/>
          <w:numId w:val="2"/>
        </w:numPr>
        <w:spacing w:after="70" w:before="0"/>
      </w:pPr>
      <w:r>
        <w:rPr>
          <w:rFonts w:ascii="Arial" w:cs="Arial" w:eastAsia="Arial" w:hAnsi="Arial"/>
          <w:b w:val="false"/>
          <w:bCs w:val="false"/>
          <w:color w:val="1A1A2E"/>
          <w:sz w:val="22"/>
          <w:szCs w:val="22"/>
        </w:rPr>
        <w:t xml:space="preserve">Pool size estimates use published national undiagnosed rates applied uniformly. Actual county-level rates will vary based on factors not captured in publicly available data.</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1B3A5C" w:sz="10"/>
              <w:bottom w:val="none" w:color="FFFFFF" w:sz="0"/>
              <w:right w:val="none" w:color="FFFFFF" w:sz="0"/>
            </w:tcBorders>
            <w:shd w:fill="F5F7FA" w:val="clear"/>
            <w:tcMar>
              <w:top w:type="dxa" w:w="120"/>
              <w:left w:type="dxa" w:w="220"/>
              <w:bottom w:type="dxa" w:w="120"/>
              <w:right w:type="dxa" w:w="220"/>
            </w:tcMar>
          </w:tcPr>
          <w:p>
            <w:pPr>
              <w:spacing w:after="0" w:before="0"/>
            </w:pPr>
            <w:r>
              <w:rPr>
                <w:rFonts w:ascii="Arial" w:cs="Arial" w:eastAsia="Arial" w:hAnsi="Arial"/>
                <w:i/>
                <w:iCs/>
                <w:color w:val="1A1A2E"/>
                <w:sz w:val="22"/>
                <w:szCs w:val="22"/>
              </w:rPr>
              <w:t xml:space="preserve">Questions about the methodology, data sources, or scoring design should be directed to the Market Access Analytics team. The scoring pipeline is open-source within the organization and the full code is available for independent verification.</w:t>
            </w:r>
          </w:p>
        </w:tc>
      </w:tr>
    </w:tbl>
    <w:p>
      <w:pPr>
        <w:spacing w:after="100" w:before="0"/>
      </w:pPr>
      <w:r>
        <w:rPr>
          <w:rFonts w:ascii="Arial" w:cs="Arial" w:eastAsia="Arial" w:hAnsi="Arial"/>
          <w:sz w:val="22"/>
          <w:szCs w:val="22"/>
        </w:rPr>
        <w:t xml:space="preserve"/>
      </w:r>
    </w:p>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1B3A5C" w:val="clear"/>
            <w:tcMar>
              <w:top w:type="dxa" w:w="180"/>
              <w:left w:type="dxa" w:w="240"/>
              <w:bottom w:type="dxa" w:w="180"/>
              <w:right w:type="dxa" w:w="240"/>
            </w:tcMar>
          </w:tcPr>
          <w:p>
            <w:pPr>
              <w:spacing w:after="0" w:before="0"/>
            </w:pPr>
            <w:r>
              <w:rPr>
                <w:rFonts w:ascii="Arial" w:cs="Arial" w:eastAsia="Arial" w:hAnsi="Arial"/>
                <w:b/>
                <w:bCs/>
                <w:color w:val="FFFFFF"/>
                <w:sz w:val="30"/>
                <w:szCs w:val="30"/>
              </w:rPr>
              <w:t xml:space="preserve">APPENDIX:   DIMENSION WEIGHT REFERENCE</w:t>
            </w:r>
          </w:p>
        </w:tc>
      </w:tr>
    </w:tbl>
    <w:p>
      <w:pPr>
        <w:spacing w:after="140" w:before="0"/>
      </w:pPr>
      <w:r>
        <w:rPr>
          <w:rFonts w:ascii="Arial" w:cs="Arial" w:eastAsia="Arial" w:hAnsi="Arial"/>
          <w:sz w:val="22"/>
          <w:szCs w:val="22"/>
        </w:rPr>
        <w:t xml:space="preserve"/>
      </w:r>
    </w:p>
    <w:p>
      <w:pPr>
        <w:spacing w:after="140" w:before="0"/>
      </w:pPr>
      <w:r>
        <w:rPr>
          <w:rFonts w:ascii="Arial" w:cs="Arial" w:eastAsia="Arial" w:hAnsi="Arial"/>
          <w:color w:val="1A1A2E"/>
          <w:sz w:val="22"/>
          <w:szCs w:val="22"/>
        </w:rPr>
        <w:t xml:space="preserve">The following table summarizes the complete dimension framework including weights, data sources, and the strategic question each dimension is designed to answer.</w:t>
      </w:r>
    </w:p>
    <w:p>
      <w:pPr>
        <w:spacing w:after="80" w:before="0"/>
      </w:pPr>
      <w:r>
        <w:rPr>
          <w:rFonts w:ascii="Arial" w:cs="Arial" w:eastAsia="Arial" w:hAnsi="Arial"/>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900"/>
        <w:gridCol w:w="2680"/>
        <w:gridCol w:w="3540"/>
      </w:tblGrid>
      <w:tr>
        <w:trPr>
          <w:tblHeader/>
        </w:trPr>
        <w:tc>
          <w:tcPr>
            <w:tcW w:type="dxa" w:w="4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t>
            </w:r>
          </w:p>
        </w:tc>
        <w:tc>
          <w:tcPr>
            <w:tcW w:type="dxa" w:w="22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Dimension</w:t>
            </w:r>
          </w:p>
        </w:tc>
        <w:tc>
          <w:tcPr>
            <w:tcW w:type="dxa" w:w="9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Weight</w:t>
            </w:r>
          </w:p>
        </w:tc>
        <w:tc>
          <w:tcPr>
            <w:tcW w:type="dxa" w:w="268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Primary Sources</w:t>
            </w:r>
          </w:p>
        </w:tc>
        <w:tc>
          <w:tcPr>
            <w:tcW w:type="dxa" w:w="354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Strategic Question</w:t>
            </w:r>
          </w:p>
        </w:tc>
      </w:tr>
      <w:tr>
        <w:tc>
          <w:tcPr>
            <w:tcW w:type="dxa" w:w="4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1</w:t>
            </w:r>
          </w:p>
        </w:tc>
        <w:tc>
          <w:tcPr>
            <w:tcW w:type="dxa" w:w="22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Disease Burden</w:t>
            </w:r>
          </w:p>
        </w:tc>
        <w:tc>
          <w:tcPr>
            <w:tcW w:type="dxa" w:w="9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20%</w:t>
            </w:r>
          </w:p>
        </w:tc>
        <w:tc>
          <w:tcPr>
            <w:tcW w:type="dxa" w:w="268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CDC PLACES 2024, Census ACS</w:t>
            </w:r>
          </w:p>
        </w:tc>
        <w:tc>
          <w:tcPr>
            <w:tcW w:type="dxa" w:w="354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How big is the undiagnosed opportunity here?</w:t>
            </w:r>
          </w:p>
        </w:tc>
      </w:tr>
      <w:tr>
        <w:tc>
          <w:tcPr>
            <w:tcW w:type="dxa" w:w="4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2</w:t>
            </w:r>
          </w:p>
        </w:tc>
        <w:tc>
          <w:tcPr>
            <w:tcW w:type="dxa" w:w="22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Diagnosis Gap</w:t>
            </w:r>
          </w:p>
        </w:tc>
        <w:tc>
          <w:tcPr>
            <w:tcW w:type="dxa" w:w="9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25%</w:t>
            </w:r>
          </w:p>
        </w:tc>
        <w:tc>
          <w:tcPr>
            <w:tcW w:type="dxa" w:w="268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CDC PLACES 2024, CMS GV PUF, Census ACS</w:t>
            </w:r>
          </w:p>
        </w:tc>
        <w:tc>
          <w:tcPr>
            <w:tcW w:type="dxa" w:w="354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How many silent patients are here?</w:t>
            </w:r>
          </w:p>
        </w:tc>
      </w:tr>
      <w:tr>
        <w:tc>
          <w:tcPr>
            <w:tcW w:type="dxa" w:w="4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3</w:t>
            </w:r>
          </w:p>
        </w:tc>
        <w:tc>
          <w:tcPr>
            <w:tcW w:type="dxa" w:w="22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Access to Care</w:t>
            </w:r>
          </w:p>
        </w:tc>
        <w:tc>
          <w:tcPr>
            <w:tcW w:type="dxa" w:w="9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15%</w:t>
            </w:r>
          </w:p>
        </w:tc>
        <w:tc>
          <w:tcPr>
            <w:tcW w:type="dxa" w:w="268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HRSA HPSA, CDC PLACES 2024, Census RUCC</w:t>
            </w:r>
          </w:p>
        </w:tc>
        <w:tc>
          <w:tcPr>
            <w:tcW w:type="dxa" w:w="354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Does the infrastructure exist to act on what we find?</w:t>
            </w:r>
          </w:p>
        </w:tc>
      </w:tr>
      <w:tr>
        <w:tc>
          <w:tcPr>
            <w:tcW w:type="dxa" w:w="4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4</w:t>
            </w:r>
          </w:p>
        </w:tc>
        <w:tc>
          <w:tcPr>
            <w:tcW w:type="dxa" w:w="22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Social Determinants</w:t>
            </w:r>
          </w:p>
        </w:tc>
        <w:tc>
          <w:tcPr>
            <w:tcW w:type="dxa" w:w="9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15%</w:t>
            </w:r>
          </w:p>
        </w:tc>
        <w:tc>
          <w:tcPr>
            <w:tcW w:type="dxa" w:w="268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Census ACS, USDA Food Atlas, County Health Rankings</w:t>
            </w:r>
          </w:p>
        </w:tc>
        <w:tc>
          <w:tcPr>
            <w:tcW w:type="dxa" w:w="354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What is causing the gap — and what program will work?</w:t>
            </w:r>
          </w:p>
        </w:tc>
      </w:tr>
      <w:tr>
        <w:tc>
          <w:tcPr>
            <w:tcW w:type="dxa" w:w="4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5</w:t>
            </w:r>
          </w:p>
        </w:tc>
        <w:tc>
          <w:tcPr>
            <w:tcW w:type="dxa" w:w="22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Payer Landscape</w:t>
            </w:r>
          </w:p>
        </w:tc>
        <w:tc>
          <w:tcPr>
            <w:tcW w:type="dxa" w:w="9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10%</w:t>
            </w:r>
          </w:p>
        </w:tc>
        <w:tc>
          <w:tcPr>
            <w:tcW w:type="dxa" w:w="268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CMS GV PUF, Census ACS</w:t>
            </w:r>
          </w:p>
        </w:tc>
        <w:tc>
          <w:tcPr>
            <w:tcW w:type="dxa" w:w="354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Who pays for the solution — and why would they say yes?</w:t>
            </w:r>
          </w:p>
        </w:tc>
      </w:tr>
      <w:tr>
        <w:tc>
          <w:tcPr>
            <w:tcW w:type="dxa" w:w="4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6</w:t>
            </w:r>
          </w:p>
        </w:tc>
        <w:tc>
          <w:tcPr>
            <w:tcW w:type="dxa" w:w="22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Commercial Readiness</w:t>
            </w:r>
          </w:p>
        </w:tc>
        <w:tc>
          <w:tcPr>
            <w:tcW w:type="dxa" w:w="9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10%</w:t>
            </w:r>
          </w:p>
        </w:tc>
        <w:tc>
          <w:tcPr>
            <w:tcW w:type="dxa" w:w="268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Census ACS, HRSA HPSA, Census RUCC</w:t>
            </w:r>
          </w:p>
        </w:tc>
        <w:tc>
          <w:tcPr>
            <w:tcW w:type="dxa" w:w="354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How hard is it to run a program here?</w:t>
            </w:r>
          </w:p>
        </w:tc>
      </w:tr>
      <w:tr>
        <w:tc>
          <w:tcPr>
            <w:tcW w:type="dxa" w:w="4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7</w:t>
            </w:r>
          </w:p>
        </w:tc>
        <w:tc>
          <w:tcPr>
            <w:tcW w:type="dxa" w:w="22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Trajectory</w:t>
            </w:r>
          </w:p>
        </w:tc>
        <w:tc>
          <w:tcPr>
            <w:tcW w:type="dxa" w:w="9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5%</w:t>
            </w:r>
          </w:p>
        </w:tc>
        <w:tc>
          <w:tcPr>
            <w:tcW w:type="dxa" w:w="268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CDC PLACES 2024 vs. 2022, Census ACS</w:t>
            </w:r>
          </w:p>
        </w:tc>
        <w:tc>
          <w:tcPr>
            <w:tcW w:type="dxa" w:w="354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Is this market getting better or worse?</w:t>
            </w:r>
          </w:p>
        </w:tc>
      </w:tr>
      <w:tr>
        <w:tc>
          <w:tcPr>
            <w:tcW w:type="dxa" w:w="4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w:t>
            </w:r>
          </w:p>
        </w:tc>
        <w:tc>
          <w:tcPr>
            <w:tcW w:type="dxa" w:w="22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COMPOSITE</w:t>
            </w:r>
          </w:p>
        </w:tc>
        <w:tc>
          <w:tcPr>
            <w:tcW w:type="dxa" w:w="9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100%</w:t>
            </w:r>
          </w:p>
        </w:tc>
        <w:tc>
          <w:tcPr>
            <w:tcW w:type="dxa" w:w="268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All seven sources</w:t>
            </w:r>
          </w:p>
        </w:tc>
        <w:tc>
          <w:tcPr>
            <w:tcW w:type="dxa" w:w="354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Where should we go first — and with what program?</w:t>
            </w:r>
          </w:p>
        </w:tc>
      </w:tr>
    </w:tbl>
    <w:p>
      <w:pPr>
        <w:spacing w:after="140" w:before="0"/>
      </w:pPr>
      <w:r>
        <w:rPr>
          <w:rFonts w:ascii="Arial" w:cs="Arial" w:eastAsia="Arial" w:hAnsi="Arial"/>
          <w:sz w:val="22"/>
          <w:szCs w:val="22"/>
        </w:rPr>
        <w:t xml:space="preserve"/>
      </w:r>
    </w:p>
    <w:p>
      <w:pPr>
        <w:pBdr>
          <w:bottom w:val="single" w:color="D8DEE4" w:sz="2" w:space="1"/>
        </w:pBdr>
        <w:spacing w:after="120" w:before="0"/>
      </w:pPr>
      <w:r>
        <w:rPr>
          <w:rFonts w:ascii="Arial" w:cs="Arial" w:eastAsia="Arial" w:hAnsi="Arial"/>
          <w:sz w:val="22"/>
          <w:szCs w:val="22"/>
        </w:rPr>
        <w:t xml:space="preserve"/>
      </w:r>
    </w:p>
    <w:p>
      <w:pPr>
        <w:spacing w:after="0" w:before="0"/>
        <w:jc w:val="center"/>
      </w:pPr>
      <w:r>
        <w:rPr>
          <w:rFonts w:ascii="Arial" w:cs="Arial" w:eastAsia="Arial" w:hAnsi="Arial"/>
          <w:i/>
          <w:iCs/>
          <w:color w:val="7A8494"/>
          <w:sz w:val="18"/>
          <w:szCs w:val="18"/>
        </w:rPr>
        <w:t xml:space="preserve">This document was generated by the SPPF Market Access Analytics platform. All data is sourced from public government and foundation datasets. For questions, contact the Market Access Analytics team.</w:t>
      </w:r>
    </w:p>
    <w:p>
      <w:pPr>
        <w:spacing w:after="100" w:before="0"/>
      </w:pPr>
      <w:r>
        <w:rPr>
          <w:rFonts w:ascii="Arial" w:cs="Arial" w:eastAsia="Arial" w:hAnsi="Arial"/>
          <w:sz w:val="22"/>
          <w:szCs w:val="22"/>
        </w:rPr>
        <w:t xml:space="preserve"/>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EE4" w:sz="2" w:space="4"/>
      </w:pBdr>
      <w:tabs>
        <w:tab w:val="right" w:pos="9026"/>
      </w:tabs>
      <w:spacing w:after="0" w:before="80"/>
    </w:pPr>
    <w:r>
      <w:rPr>
        <w:rFonts w:ascii="Arial" w:cs="Arial" w:eastAsia="Arial" w:hAnsi="Arial"/>
        <w:color w:val="7A8494"/>
        <w:sz w:val="17"/>
        <w:szCs w:val="17"/>
      </w:rPr>
      <w:t xml:space="preserve">Silent Patient Pool Finder  |  Market Access Intelligence Platform  |  © 2026</w:t>
    </w:r>
    <w:r>
      <w:rPr>
        <w:rFonts w:ascii="Arial" w:cs="Arial" w:eastAsia="Arial" w:hAnsi="Arial"/>
        <w:color w:val="7A8494"/>
        <w:sz w:val="17"/>
        <w:szCs w:val="17"/>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EE4" w:sz="2" w:space="4"/>
      </w:pBdr>
      <w:spacing w:after="80" w:before="0"/>
    </w:pPr>
    <w:r>
      <w:rPr>
        <w:rFonts w:ascii="Arial" w:cs="Arial" w:eastAsia="Arial" w:hAnsi="Arial"/>
        <w:color w:val="7A8494"/>
        <w:sz w:val="17"/>
        <w:szCs w:val="17"/>
      </w:rPr>
      <w:t xml:space="preserve">SILENT PATIENT POOL FINDER  |  Methodology &amp; Technical Reference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9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outlineLvl w:val="0"/>
    </w:pPr>
    <w:rPr>
      <w:rFonts w:ascii="Arial" w:cs="Arial" w:eastAsia="Arial" w:hAnsi="Arial"/>
      <w:b/>
      <w:bCs/>
      <w:color w:val="FFFFFF"/>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1B3A5C"/>
      <w:sz w:val="26"/>
      <w:szCs w:val="26"/>
    </w:rPr>
  </w:style>
  <w:style w:type="paragraph" w:styleId="Heading3">
    <w:name w:val="Heading 3"/>
    <w:basedOn w:val="Normal"/>
    <w:next w:val="Normal"/>
    <w:qFormat/>
    <w:pPr>
      <w:spacing w:after="70" w:before="200"/>
      <w:outlineLvl w:val="2"/>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2026-07-05T10:17:49.973Z</dcterms:created>
  <dcterms:modified xsi:type="dcterms:W3CDTF">2026-07-05T10:17:49.980Z</dcterms:modified>
</cp:coreProperties>
</file>

<file path=docProps/custom.xml><?xml version="1.0" encoding="utf-8"?>
<Properties xmlns="http://schemas.openxmlformats.org/officeDocument/2006/custom-properties" xmlns:vt="http://schemas.openxmlformats.org/officeDocument/2006/docPropsVTypes"/>
</file>