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rPr>
          <w:rFonts w:ascii="Arial" w:cs="Arial" w:eastAsia="Arial" w:hAnsi="Arial"/>
          <w:sz w:val="22"/>
          <w:szCs w:val="22"/>
        </w:rPr>
        <w:t xml:space="preserve"/>
      </w:r>
    </w:p>
    <w:p>
      <w:pPr>
        <w:spacing w:after="120" w:before="0"/>
        <w:jc w:val="center"/>
      </w:pPr>
      <w:r>
        <w:rPr>
          <w:rFonts w:ascii="Arial" w:cs="Arial" w:eastAsia="Arial" w:hAnsi="Arial"/>
          <w:b/>
          <w:bCs/>
          <w:color w:val="1B3A5C"/>
          <w:sz w:val="52"/>
          <w:szCs w:val="52"/>
        </w:rPr>
        <w:t xml:space="preserve">SILENT PATIENT POOL FINDER</w:t>
      </w:r>
    </w:p>
    <w:p>
      <w:pPr>
        <w:spacing w:after="80" w:before="0"/>
        <w:jc w:val="center"/>
      </w:pPr>
      <w:r>
        <w:rPr>
          <w:rFonts w:ascii="Arial" w:cs="Arial" w:eastAsia="Arial" w:hAnsi="Arial"/>
          <w:color w:val="7A8494"/>
          <w:sz w:val="30"/>
          <w:szCs w:val="30"/>
        </w:rPr>
        <w:t xml:space="preserve">Methodology &amp; Technical Reference</w:t>
      </w:r>
    </w:p>
    <w:p>
      <w:pPr>
        <w:pBdr>
          <w:bottom w:val="single" w:color="E63946" w:sz="6" w:space="1"/>
        </w:pBdr>
        <w:spacing w:after="200" w:before="0"/>
      </w:pPr>
      <w:r>
        <w:rPr>
          <w:rFonts w:ascii="Arial" w:cs="Arial" w:eastAsia="Arial" w:hAnsi="Arial"/>
          <w:sz w:val="22"/>
          <w:szCs w:val="22"/>
        </w:rPr>
        <w:t xml:space="preserve"/>
      </w:r>
    </w:p>
    <w:p>
      <w:pPr>
        <w:spacing w:after="0" w:before="0"/>
        <w:jc w:val="center"/>
      </w:pPr>
      <w:r>
        <w:rPr>
          <w:rFonts w:ascii="Arial" w:cs="Arial" w:eastAsia="Arial" w:hAnsi="Arial"/>
          <w:i/>
          <w:iCs/>
          <w:color w:val="555566"/>
          <w:sz w:val="22"/>
          <w:szCs w:val="22"/>
        </w:rPr>
        <w:t xml:space="preserve">Market Access Intelligence Platform for Chronic Disease Patient Identification</w:t>
      </w:r>
    </w:p>
    <w:p>
      <w:pPr>
        <w:spacing w:after="120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EE4" w:sz="1"/>
              <w:left w:val="single" w:color="D8DEE4" w:sz="1"/>
              <w:bottom w:val="single" w:color="D8DEE4" w:sz="1"/>
              <w:right w:val="single" w:color="D8DEE4" w:sz="1"/>
            </w:tcBorders>
            <w:shd w:fill="F5F7FA" w:val="clear"/>
            <w:tcMar>
              <w:top w:type="dxa" w:w="200"/>
              <w:left w:type="dxa" w:w="400"/>
              <w:bottom w:type="dxa" w:w="200"/>
              <w:right w:type="dxa" w:w="400"/>
            </w:tcMar>
          </w:tcPr>
          <w:p>
            <w:pPr>
              <w:spacing w:after="80" w:before="0"/>
            </w:pPr>
            <w:r>
              <w:rPr>
                <w:rFonts w:ascii="Arial" w:cs="Arial" w:eastAsia="Arial" w:hAnsi="Arial"/>
                <w:b/>
                <w:bCs/>
                <w:color w:val="555566"/>
                <w:sz w:val="22"/>
                <w:szCs w:val="22"/>
              </w:rPr>
              <w:t xml:space="preserve">Version:  </w:t>
            </w:r>
            <w:r>
              <w:rPr>
                <w:rFonts w:ascii="Arial" w:cs="Arial" w:eastAsia="Arial" w:hAnsi="Arial"/>
                <w:color w:val="1A1A2E"/>
                <w:sz w:val="22"/>
                <w:szCs w:val="22"/>
              </w:rPr>
              <w:t xml:space="preserve">2.0   |   July 2026</w:t>
            </w:r>
          </w:p>
          <w:p>
            <w:pPr>
              <w:spacing w:after="80" w:before="0"/>
            </w:pPr>
            <w:r>
              <w:rPr>
                <w:rFonts w:ascii="Arial" w:cs="Arial" w:eastAsia="Arial" w:hAnsi="Arial"/>
                <w:b/>
                <w:bCs/>
                <w:color w:val="555566"/>
                <w:sz w:val="22"/>
                <w:szCs w:val="22"/>
              </w:rPr>
              <w:t xml:space="preserve">Classification:  </w:t>
            </w:r>
            <w:r>
              <w:rPr>
                <w:rFonts w:ascii="Arial" w:cs="Arial" w:eastAsia="Arial" w:hAnsi="Arial"/>
                <w:b/>
                <w:bCs/>
                <w:color w:val="E63946"/>
                <w:sz w:val="22"/>
                <w:szCs w:val="22"/>
              </w:rPr>
              <w:t xml:space="preserve">Confidential — Internal Use Only</w:t>
            </w:r>
          </w:p>
          <w:p>
            <w:pPr>
              <w:spacing w:after="0" w:before="0"/>
            </w:pPr>
            <w:r>
              <w:rPr>
                <w:rFonts w:ascii="Arial" w:cs="Arial" w:eastAsia="Arial" w:hAnsi="Arial"/>
                <w:b/>
                <w:bCs/>
                <w:color w:val="555566"/>
                <w:sz w:val="22"/>
                <w:szCs w:val="22"/>
              </w:rPr>
              <w:t xml:space="preserve">Prepared by:  </w:t>
            </w:r>
            <w:r>
              <w:rPr>
                <w:rFonts w:ascii="Arial" w:cs="Arial" w:eastAsia="Arial" w:hAnsi="Arial"/>
                <w:color w:val="1A1A2E"/>
                <w:sz w:val="22"/>
                <w:szCs w:val="22"/>
              </w:rPr>
              <w:t xml:space="preserve">Market Access Analytics</w:t>
            </w:r>
          </w:p>
        </w:tc>
      </w:tr>
    </w:tbl>
    <w:p>
      <w:pPr>
        <w:spacing w:after="240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1.   EXECUTIVE SUMMARY</w:t>
            </w:r>
          </w:p>
        </w:tc>
      </w:tr>
    </w:tbl>
    <w:p>
      <w:pPr>
        <w:spacing w:after="16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The Silent Patient Pool Finder (SPPF) is a market access intelligence platform that scores every US county and ZIP Code Tabulation Area (ZCTA) across seven clinically grounded dimensions to identify where undiagnosed chronic disease burden is highest, where the healthcare system is least likely to catch it, and which type of program is most likely to convert that gap into diagnosed, treated patients.</w:t>
      </w:r>
    </w:p>
    <w:p>
      <w:pPr>
        <w:spacing w:after="140" w:before="0"/>
      </w:pPr>
      <w:r>
        <w:rPr>
          <w:rFonts w:ascii="Arial" w:cs="Arial" w:eastAsia="Arial" w:hAnsi="Arial"/>
          <w:color w:val="1A1A2E"/>
          <w:sz w:val="22"/>
          <w:szCs w:val="22"/>
        </w:rPr>
        <w:t xml:space="preserve">SPPF was built to answer the question that pharma market access teams face at every launch: where do we go first, and how do we make the case to a payer or health system? The platform provides an evidence-based, reproducible answer using exclusively publicly available government data — no proprietary data purchases required.</w:t>
      </w:r>
    </w:p>
    <w:p>
      <w:pPr>
        <w:spacing w:after="10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none" w:color="FFFFFF" w:sz="0"/>
              <w:left w:val="none" w:color="FFFFFF" w:sz="0"/>
              <w:bottom w:val="none" w:color="FFFFFF" w:sz="0"/>
              <w:right w:val="single" w:color="FFFFFF" w:sz="3"/>
            </w:tcBorders>
            <w:shd w:fill="1B3A5C" w:val="clear"/>
            <w:tcMar>
              <w:top w:type="dxa" w:w="160"/>
              <w:left w:type="dxa" w:w="80"/>
              <w:bottom w:type="dxa" w:w="160"/>
              <w:right w:type="dxa" w:w="80"/>
            </w:tcMar>
            <w:vAlign w:val="center"/>
          </w:tcPr>
          <w:p>
            <w:pPr>
              <w:spacing w:after="40" w:before="0"/>
              <w:jc w:val="center"/>
            </w:pPr>
            <w:r>
              <w:rPr>
                <w:rFonts w:ascii="Arial" w:cs="Arial" w:eastAsia="Arial" w:hAnsi="Arial"/>
                <w:b/>
                <w:bCs/>
                <w:color w:val="FFFFFF"/>
                <w:sz w:val="56"/>
                <w:szCs w:val="56"/>
              </w:rPr>
              <w:t xml:space="preserve">3,143</w:t>
            </w:r>
          </w:p>
          <w:p>
            <w:pPr>
              <w:spacing w:after="0" w:before="0"/>
              <w:jc w:val="center"/>
            </w:pPr>
            <w:r>
              <w:rPr>
                <w:rFonts w:ascii="Arial" w:cs="Arial" w:eastAsia="Arial" w:hAnsi="Arial"/>
                <w:color w:val="D0DCE8"/>
                <w:sz w:val="18"/>
                <w:szCs w:val="18"/>
              </w:rPr>
              <w:t xml:space="preserve">Counties Scored</w:t>
            </w:r>
          </w:p>
        </w:tc>
        <w:tc>
          <w:tcPr>
            <w:tcW w:type="dxa" w:w="1944"/>
            <w:tcBorders>
              <w:top w:val="none" w:color="FFFFFF" w:sz="0"/>
              <w:left w:val="none" w:color="FFFFFF" w:sz="0"/>
              <w:bottom w:val="none" w:color="FFFFFF" w:sz="0"/>
              <w:right w:val="single" w:color="FFFFFF" w:sz="3"/>
            </w:tcBorders>
            <w:shd w:fill="E63946" w:val="clear"/>
            <w:tcMar>
              <w:top w:type="dxa" w:w="160"/>
              <w:left w:type="dxa" w:w="80"/>
              <w:bottom w:type="dxa" w:w="160"/>
              <w:right w:type="dxa" w:w="80"/>
            </w:tcMar>
            <w:vAlign w:val="center"/>
          </w:tcPr>
          <w:p>
            <w:pPr>
              <w:spacing w:after="40" w:before="0"/>
              <w:jc w:val="center"/>
            </w:pPr>
            <w:r>
              <w:rPr>
                <w:rFonts w:ascii="Arial" w:cs="Arial" w:eastAsia="Arial" w:hAnsi="Arial"/>
                <w:b/>
                <w:bCs/>
                <w:color w:val="FFFFFF"/>
                <w:sz w:val="56"/>
                <w:szCs w:val="56"/>
              </w:rPr>
              <w:t xml:space="preserve">33,774</w:t>
            </w:r>
          </w:p>
          <w:p>
            <w:pPr>
              <w:spacing w:after="0" w:before="0"/>
              <w:jc w:val="center"/>
            </w:pPr>
            <w:r>
              <w:rPr>
                <w:rFonts w:ascii="Arial" w:cs="Arial" w:eastAsia="Arial" w:hAnsi="Arial"/>
                <w:color w:val="D0DCE8"/>
                <w:sz w:val="18"/>
                <w:szCs w:val="18"/>
              </w:rPr>
              <w:t xml:space="preserve">ZIPs Scored</w:t>
            </w:r>
          </w:p>
        </w:tc>
        <w:tc>
          <w:tcPr>
            <w:tcW w:type="dxa" w:w="1944"/>
            <w:tcBorders>
              <w:top w:val="none" w:color="FFFFFF" w:sz="0"/>
              <w:left w:val="none" w:color="FFFFFF" w:sz="0"/>
              <w:bottom w:val="none" w:color="FFFFFF" w:sz="0"/>
              <w:right w:val="single" w:color="FFFFFF" w:sz="3"/>
            </w:tcBorders>
            <w:shd w:fill="2A9D8F" w:val="clear"/>
            <w:tcMar>
              <w:top w:type="dxa" w:w="160"/>
              <w:left w:type="dxa" w:w="80"/>
              <w:bottom w:type="dxa" w:w="160"/>
              <w:right w:type="dxa" w:w="80"/>
            </w:tcMar>
            <w:vAlign w:val="center"/>
          </w:tcPr>
          <w:p>
            <w:pPr>
              <w:spacing w:after="40" w:before="0"/>
              <w:jc w:val="center"/>
            </w:pPr>
            <w:r>
              <w:rPr>
                <w:rFonts w:ascii="Arial" w:cs="Arial" w:eastAsia="Arial" w:hAnsi="Arial"/>
                <w:b/>
                <w:bCs/>
                <w:color w:val="FFFFFF"/>
                <w:sz w:val="56"/>
                <w:szCs w:val="56"/>
              </w:rPr>
              <w:t xml:space="preserve">7</w:t>
            </w:r>
          </w:p>
          <w:p>
            <w:pPr>
              <w:spacing w:after="0" w:before="0"/>
              <w:jc w:val="center"/>
            </w:pPr>
            <w:r>
              <w:rPr>
                <w:rFonts w:ascii="Arial" w:cs="Arial" w:eastAsia="Arial" w:hAnsi="Arial"/>
                <w:color w:val="D0DCE8"/>
                <w:sz w:val="18"/>
                <w:szCs w:val="18"/>
              </w:rPr>
              <w:t xml:space="preserve">Dimensions</w:t>
            </w:r>
          </w:p>
        </w:tc>
        <w:tc>
          <w:tcPr>
            <w:tcW w:type="dxa" w:w="1944"/>
            <w:tcBorders>
              <w:top w:val="none" w:color="FFFFFF" w:sz="0"/>
              <w:left w:val="none" w:color="FFFFFF" w:sz="0"/>
              <w:bottom w:val="none" w:color="FFFFFF" w:sz="0"/>
              <w:right w:val="single" w:color="FFFFFF" w:sz="3"/>
            </w:tcBorders>
            <w:shd w:fill="457B9D" w:val="clear"/>
            <w:tcMar>
              <w:top w:type="dxa" w:w="160"/>
              <w:left w:type="dxa" w:w="80"/>
              <w:bottom w:type="dxa" w:w="160"/>
              <w:right w:type="dxa" w:w="80"/>
            </w:tcMar>
            <w:vAlign w:val="center"/>
          </w:tcPr>
          <w:p>
            <w:pPr>
              <w:spacing w:after="40" w:before="0"/>
              <w:jc w:val="center"/>
            </w:pPr>
            <w:r>
              <w:rPr>
                <w:rFonts w:ascii="Arial" w:cs="Arial" w:eastAsia="Arial" w:hAnsi="Arial"/>
                <w:b/>
                <w:bCs/>
                <w:color w:val="FFFFFF"/>
                <w:sz w:val="56"/>
                <w:szCs w:val="56"/>
              </w:rPr>
              <w:t xml:space="preserve">7</w:t>
            </w:r>
          </w:p>
          <w:p>
            <w:pPr>
              <w:spacing w:after="0" w:before="0"/>
              <w:jc w:val="center"/>
            </w:pPr>
            <w:r>
              <w:rPr>
                <w:rFonts w:ascii="Arial" w:cs="Arial" w:eastAsia="Arial" w:hAnsi="Arial"/>
                <w:color w:val="D0DCE8"/>
                <w:sz w:val="18"/>
                <w:szCs w:val="18"/>
              </w:rPr>
              <w:t xml:space="preserve">Real Data Sources</w:t>
            </w:r>
          </w:p>
        </w:tc>
        <w:tc>
          <w:tcPr>
            <w:tcW w:type="dxa" w:w="1944"/>
            <w:tcBorders>
              <w:top w:val="none" w:color="FFFFFF" w:sz="0"/>
              <w:left w:val="none" w:color="FFFFFF" w:sz="0"/>
              <w:bottom w:val="none" w:color="FFFFFF" w:sz="0"/>
              <w:right w:val="single" w:color="FFFFFF" w:sz="3"/>
            </w:tcBorders>
            <w:shd w:fill="8338EC" w:val="clear"/>
            <w:tcMar>
              <w:top w:type="dxa" w:w="160"/>
              <w:left w:type="dxa" w:w="80"/>
              <w:bottom w:type="dxa" w:w="160"/>
              <w:right w:type="dxa" w:w="80"/>
            </w:tcMar>
            <w:vAlign w:val="center"/>
          </w:tcPr>
          <w:p>
            <w:pPr>
              <w:spacing w:after="40" w:before="0"/>
              <w:jc w:val="center"/>
            </w:pPr>
            <w:r>
              <w:rPr>
                <w:rFonts w:ascii="Arial" w:cs="Arial" w:eastAsia="Arial" w:hAnsi="Arial"/>
                <w:b/>
                <w:bCs/>
                <w:color w:val="FFFFFF"/>
                <w:sz w:val="56"/>
                <w:szCs w:val="56"/>
              </w:rPr>
              <w:t xml:space="preserve">3</w:t>
            </w:r>
          </w:p>
          <w:p>
            <w:pPr>
              <w:spacing w:after="0" w:before="0"/>
              <w:jc w:val="center"/>
            </w:pPr>
            <w:r>
              <w:rPr>
                <w:rFonts w:ascii="Arial" w:cs="Arial" w:eastAsia="Arial" w:hAnsi="Arial"/>
                <w:color w:val="D0DCE8"/>
                <w:sz w:val="18"/>
                <w:szCs w:val="18"/>
              </w:rPr>
              <w:t xml:space="preserve">Conditions</w:t>
            </w:r>
          </w:p>
        </w:tc>
      </w:tr>
    </w:tbl>
    <w:p>
      <w:pPr>
        <w:spacing w:after="16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The scoring framework evaluates each geography on disease burden, diagnosis gap, access to care, social determinants, payer landscape, commercial readiness, and opportunity trajectory. Each dimension is scored 0–100 using real public data and combined into a composite Opportunity Score via a weighted sum. Counties scoring ≥55 are designated Priority markets; 40–54 are Emerging; below 40 are Developing.</w:t>
      </w:r>
    </w:p>
    <w:p>
      <w:pPr>
        <w:spacing w:after="140" w:before="0"/>
      </w:pPr>
      <w:r>
        <w:rPr>
          <w:rFonts w:ascii="Arial" w:cs="Arial" w:eastAsia="Arial" w:hAnsi="Arial"/>
          <w:color w:val="1A1A2E"/>
          <w:sz w:val="22"/>
          <w:szCs w:val="22"/>
        </w:rPr>
        <w:t xml:space="preserve">For every geography, the platform recommends the intervention type most likely to succeed given the specific dimensional profile — Payer Partnership, Community Health Center Partnership, Employer Wellness, Digital Health, or Pharmacy-Based Screening. This recommendation is rule-based and transparent, derived directly from the scoring outputs.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B3A5C"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SPPF uses no proprietary or syndicated data. Every score is reproducible from publicly available government sources: CDC, Census Bureau, CMS, HRSA, USDA, and the Robert Wood Johnson Foundation. This makes the output defensible in any payer or health system conversation.</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2.   THE UNDIAGNOSED CHRONIC DISEASE PROBLEM</w:t>
            </w:r>
          </w:p>
        </w:tc>
      </w:tr>
    </w:tbl>
    <w:p>
      <w:pPr>
        <w:spacing w:after="16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Chronic conditions — type 2 diabetes (T2D), hypertension (HTN), and hypothyroidism — represent among the highest-burden, highest-cost conditions in the US healthcare system. Yet a substantial fraction of affected individuals remain undiagnosed and untreated, creating both a significant public health problem and a commercially addressable market.</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Scale of the Undiagnosed Population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3120"/>
      </w:tblGrid>
      <w:tr>
        <w:trPr>
          <w:tblHeader/>
        </w:trPr>
        <w:tc>
          <w:tcPr>
            <w:tcW w:type="dxa" w:w="2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Condition</w:t>
            </w:r>
          </w:p>
        </w:tc>
        <w:tc>
          <w:tcPr>
            <w:tcW w:type="dxa" w:w="1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Total Prevalence</w:t>
            </w:r>
          </w:p>
        </w:tc>
        <w:tc>
          <w:tcPr>
            <w:tcW w:type="dxa" w:w="1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Estimated Undiagnosed</w:t>
            </w:r>
          </w:p>
        </w:tc>
        <w:tc>
          <w:tcPr>
            <w:tcW w:type="dxa" w:w="1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Undiagnosed Rate</w:t>
            </w:r>
          </w:p>
        </w:tc>
        <w:tc>
          <w:tcPr>
            <w:tcW w:type="dxa" w:w="3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Primary Source</w:t>
            </w:r>
          </w:p>
        </w:tc>
      </w:tr>
      <w:tr>
        <w:tc>
          <w:tcPr>
            <w:tcW w:type="dxa" w:w="2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Type 2 Diabetes</w:t>
            </w:r>
          </w:p>
        </w:tc>
        <w:tc>
          <w:tcPr>
            <w:tcW w:type="dxa" w:w="1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37.3 million</w:t>
            </w:r>
          </w:p>
        </w:tc>
        <w:tc>
          <w:tcPr>
            <w:tcW w:type="dxa" w:w="1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8.5 million</w:t>
            </w:r>
          </w:p>
        </w:tc>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23.1%</w:t>
            </w:r>
          </w:p>
        </w:tc>
        <w:tc>
          <w:tcPr>
            <w:tcW w:type="dxa" w:w="3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ADA / CDC National Diabetes Statistics Report 2022</w:t>
            </w:r>
          </w:p>
        </w:tc>
      </w:tr>
      <w:tr>
        <w:tc>
          <w:tcPr>
            <w:tcW w:type="dxa" w:w="2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Hypertension</w:t>
            </w:r>
          </w:p>
        </w:tc>
        <w:tc>
          <w:tcPr>
            <w:tcW w:type="dxa" w:w="1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122.4 million</w:t>
            </w:r>
          </w:p>
        </w:tc>
        <w:tc>
          <w:tcPr>
            <w:tcW w:type="dxa" w:w="1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33 million</w:t>
            </w:r>
          </w:p>
        </w:tc>
        <w:tc>
          <w:tcPr>
            <w:tcW w:type="dxa" w:w="1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27.0%</w:t>
            </w:r>
          </w:p>
        </w:tc>
        <w:tc>
          <w:tcPr>
            <w:tcW w:type="dxa" w:w="3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American Heart Association Heart Disease Statistics 2023</w:t>
            </w:r>
          </w:p>
        </w:tc>
      </w:tr>
      <w:tr>
        <w:tc>
          <w:tcPr>
            <w:tcW w:type="dxa" w:w="2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Hypothyroidism</w:t>
            </w:r>
          </w:p>
        </w:tc>
        <w:tc>
          <w:tcPr>
            <w:tcW w:type="dxa" w:w="1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~20 million</w:t>
            </w:r>
          </w:p>
        </w:tc>
        <w:tc>
          <w:tcPr>
            <w:tcW w:type="dxa" w:w="1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~10 million</w:t>
            </w:r>
          </w:p>
        </w:tc>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~50%</w:t>
            </w:r>
          </w:p>
        </w:tc>
        <w:tc>
          <w:tcPr>
            <w:tcW w:type="dxa" w:w="3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American Thyroid Association / Vanderbilt clinical data</w:t>
            </w:r>
          </w:p>
        </w:tc>
      </w:tr>
    </w:tbl>
    <w:p>
      <w:pPr>
        <w:spacing w:after="16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Why Traditional Approaches Fall Short</w:t>
      </w:r>
    </w:p>
    <w:p>
      <w:pPr>
        <w:spacing w:after="140" w:before="0"/>
      </w:pPr>
      <w:r>
        <w:rPr>
          <w:rFonts w:ascii="Arial" w:cs="Arial" w:eastAsia="Arial" w:hAnsi="Arial"/>
          <w:color w:val="1A1A2E"/>
          <w:sz w:val="22"/>
          <w:szCs w:val="22"/>
        </w:rPr>
        <w:t xml:space="preserve">Standard market segmentation approaches — physician target lists, prescription data, claims analysis — are inherently backward-looking: they identify markets where diagnosis and treatment are already happening. They systematically miss the geographies where the problem is largest but healthcare engagement is lowest.</w:t>
      </w:r>
    </w:p>
    <w:p>
      <w:pPr>
        <w:pStyle w:val="ListParagraph"/>
        <w:numPr>
          <w:ilvl w:val="0"/>
          <w:numId w:val="2"/>
        </w:numPr>
        <w:spacing w:after="70" w:before="0"/>
      </w:pPr>
      <w:r>
        <w:rPr>
          <w:rFonts w:ascii="Arial" w:cs="Arial" w:eastAsia="Arial" w:hAnsi="Arial"/>
          <w:b w:val="false"/>
          <w:bCs w:val="false"/>
          <w:color w:val="1A1A2E"/>
          <w:sz w:val="22"/>
          <w:szCs w:val="22"/>
        </w:rPr>
        <w:t xml:space="preserve">Claims-based analysis cannot see undiagnosed patients by definition — they have no claims.</w:t>
      </w:r>
    </w:p>
    <w:p>
      <w:pPr>
        <w:pStyle w:val="ListParagraph"/>
        <w:numPr>
          <w:ilvl w:val="0"/>
          <w:numId w:val="2"/>
        </w:numPr>
        <w:spacing w:after="70" w:before="0"/>
      </w:pPr>
      <w:r>
        <w:rPr>
          <w:rFonts w:ascii="Arial" w:cs="Arial" w:eastAsia="Arial" w:hAnsi="Arial"/>
          <w:b w:val="false"/>
          <w:bCs w:val="false"/>
          <w:color w:val="1A1A2E"/>
          <w:sz w:val="22"/>
          <w:szCs w:val="22"/>
        </w:rPr>
        <w:t xml:space="preserve">Physician targeting overlooks the structural barriers (poverty, food insecurity, rural isolation) that determine whether an identified patient will follow through on a referral.</w:t>
      </w:r>
    </w:p>
    <w:p>
      <w:pPr>
        <w:pStyle w:val="ListParagraph"/>
        <w:numPr>
          <w:ilvl w:val="0"/>
          <w:numId w:val="2"/>
        </w:numPr>
        <w:spacing w:after="70" w:before="0"/>
      </w:pPr>
      <w:r>
        <w:rPr>
          <w:rFonts w:ascii="Arial" w:cs="Arial" w:eastAsia="Arial" w:hAnsi="Arial"/>
          <w:b w:val="false"/>
          <w:bCs w:val="false"/>
          <w:color w:val="1A1A2E"/>
          <w:sz w:val="22"/>
          <w:szCs w:val="22"/>
        </w:rPr>
        <w:t xml:space="preserve">National averages mask enormous county-level variation: diabetes prevalence ranges from 5.2% to 22.4% across US counties, a more than 4× spread.</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The SPPF Approach</w:t>
      </w:r>
    </w:p>
    <w:p>
      <w:pPr>
        <w:spacing w:after="140" w:before="0"/>
      </w:pPr>
      <w:r>
        <w:rPr>
          <w:rFonts w:ascii="Arial" w:cs="Arial" w:eastAsia="Arial" w:hAnsi="Arial"/>
          <w:color w:val="1A1A2E"/>
          <w:sz w:val="22"/>
          <w:szCs w:val="22"/>
        </w:rPr>
        <w:t xml:space="preserve">SPPF inverts the traditional approach. Instead of starting with diagnosed patient claims, it starts with population-level disease burden estimates from the CDC and Census, then identifies where the gap between burden and treatment is widest, and then overlays access infrastructure, social determinants, and payer incentives to produce an actionable market prioritization.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E63946"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The core insight: the largest market opportunity is not where the most patients are already diagnosed — it is where the most patients exist but have never been found.</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3.   PLATFORM OVERVIEW</w:t>
            </w:r>
          </w:p>
        </w:tc>
      </w:tr>
    </w:tbl>
    <w:p>
      <w:pPr>
        <w:spacing w:after="16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Architecture</w:t>
      </w:r>
    </w:p>
    <w:p>
      <w:pPr>
        <w:spacing w:after="140" w:before="0"/>
      </w:pPr>
      <w:r>
        <w:rPr>
          <w:rFonts w:ascii="Arial" w:cs="Arial" w:eastAsia="Arial" w:hAnsi="Arial"/>
          <w:color w:val="1A1A2E"/>
          <w:sz w:val="22"/>
          <w:szCs w:val="22"/>
        </w:rPr>
        <w:t xml:space="preserve">SPPF operates as a three-layer pipeline:</w:t>
      </w:r>
    </w:p>
    <w:p>
      <w:pPr>
        <w:pStyle w:val="ListParagraph"/>
        <w:numPr>
          <w:ilvl w:val="0"/>
          <w:numId w:val="2"/>
        </w:numPr>
        <w:spacing w:after="70" w:before="0"/>
      </w:pPr>
      <w:r>
        <w:rPr>
          <w:rFonts w:ascii="Arial" w:cs="Arial" w:eastAsia="Arial" w:hAnsi="Arial"/>
          <w:b/>
          <w:bCs/>
          <w:color w:val="1A1A2E"/>
          <w:sz w:val="22"/>
          <w:szCs w:val="22"/>
        </w:rPr>
        <w:t xml:space="preserve">Ingestion Layer: Downloads and caches raw data from seven government sources. All data is normalized to county FIPS or ZCTA identifier, enabling cross-source joins without commercial geocoding.</w:t>
      </w:r>
    </w:p>
    <w:p>
      <w:pPr>
        <w:pStyle w:val="ListParagraph"/>
        <w:numPr>
          <w:ilvl w:val="0"/>
          <w:numId w:val="2"/>
        </w:numPr>
        <w:spacing w:after="70" w:before="0"/>
      </w:pPr>
      <w:r>
        <w:rPr>
          <w:rFonts w:ascii="Arial" w:cs="Arial" w:eastAsia="Arial" w:hAnsi="Arial"/>
          <w:b/>
          <w:bCs/>
          <w:color w:val="1A1A2E"/>
          <w:sz w:val="22"/>
          <w:szCs w:val="22"/>
        </w:rPr>
        <w:t xml:space="preserve">Scoring Engine: Computes all seven dimension scores (0–100) for each geography using min-max normalization within the national sample, then produces a weighted composite Opportunity Score and assigns each county or ZIP to a priority tier.</w:t>
      </w:r>
    </w:p>
    <w:p>
      <w:pPr>
        <w:pStyle w:val="ListParagraph"/>
        <w:numPr>
          <w:ilvl w:val="0"/>
          <w:numId w:val="2"/>
        </w:numPr>
        <w:spacing w:after="70" w:before="0"/>
      </w:pPr>
      <w:r>
        <w:rPr>
          <w:rFonts w:ascii="Arial" w:cs="Arial" w:eastAsia="Arial" w:hAnsi="Arial"/>
          <w:b/>
          <w:bCs/>
          <w:color w:val="1A1A2E"/>
          <w:sz w:val="22"/>
          <w:szCs w:val="22"/>
        </w:rPr>
        <w:t xml:space="preserve">Dashboard Layer: A Streamlit application with seven analytical views — market overview, dimension analysis, investment planning, geographic maps, payer landscape, state drill-down, and ZIP territory analysis — plus a Territory Builder for field teams.</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Two-Level Geographic Coverage</w:t>
      </w:r>
    </w:p>
    <w:p>
      <w:pPr>
        <w:spacing w:after="140" w:before="0"/>
      </w:pPr>
      <w:r>
        <w:rPr>
          <w:rFonts w:ascii="Arial" w:cs="Arial" w:eastAsia="Arial" w:hAnsi="Arial"/>
          <w:color w:val="1A1A2E"/>
          <w:sz w:val="22"/>
          <w:szCs w:val="22"/>
        </w:rPr>
        <w:t xml:space="preserve">SPPF scores geographies at two resolutions: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000"/>
        <w:gridCol w:w="4320"/>
      </w:tblGrid>
      <w:tr>
        <w:trPr>
          <w:tblHeader/>
        </w:trPr>
        <w:tc>
          <w:tcPr>
            <w:tcW w:type="dxa" w:w="1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Level</w:t>
            </w:r>
          </w:p>
        </w:tc>
        <w:tc>
          <w:tcPr>
            <w:tcW w:type="dxa" w:w="3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Unit</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Count</w:t>
            </w:r>
          </w:p>
        </w:tc>
        <w:tc>
          <w:tcPr>
            <w:tcW w:type="dxa" w:w="43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Primary Use</w:t>
            </w:r>
          </w:p>
        </w:tc>
      </w:tr>
      <w:tr>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w:t>
            </w:r>
          </w:p>
        </w:tc>
        <w:tc>
          <w:tcPr>
            <w:tcW w:type="dxa" w:w="3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US Counties and County Equivalents</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3,143</w:t>
            </w:r>
          </w:p>
        </w:tc>
        <w:tc>
          <w:tcPr>
            <w:tcW w:type="dxa" w:w="43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Strategic market planning, payer partnership targeting, investment allocation</w:t>
            </w:r>
          </w:p>
        </w:tc>
      </w:tr>
      <w:tr>
        <w:tc>
          <w:tcPr>
            <w:tcW w:type="dxa" w:w="1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ZIP/ZCTA</w:t>
            </w:r>
          </w:p>
        </w:tc>
        <w:tc>
          <w:tcPr>
            <w:tcW w:type="dxa" w:w="3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ZIP Code Tabulation Areas (Census)</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33,774</w:t>
            </w:r>
          </w:p>
        </w:tc>
        <w:tc>
          <w:tcPr>
            <w:tcW w:type="dxa" w:w="43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Field territory design, rep targeting, ZIP-level scorecard generation</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ZIP-level scores are computed using real CDC PLACES and Census ACS data at the ZCTA level where available. For dimensions where ZCTA-level data is not published by the source (payer landscape, commercial readiness, trajectory), county-level dimension scores are downscaled to ZIP level using a population-weighted Census ZCTA-to-county crosswalk.</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Conditions Covered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400"/>
        <w:gridCol w:w="4920"/>
      </w:tblGrid>
      <w:tr>
        <w:trPr>
          <w:tblHeader/>
        </w:trPr>
        <w:tc>
          <w:tcPr>
            <w:tcW w:type="dxa" w:w="2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Condition</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ICD-10</w:t>
            </w:r>
          </w:p>
        </w:tc>
        <w:tc>
          <w:tcPr>
            <w:tcW w:type="dxa" w:w="1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Undiagnosed Rate</w:t>
            </w:r>
          </w:p>
        </w:tc>
        <w:tc>
          <w:tcPr>
            <w:tcW w:type="dxa" w:w="49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 Weighting</w:t>
            </w:r>
          </w:p>
        </w:tc>
      </w:tr>
      <w:tr>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Type 2 Diabetes (T2D)</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E11.x</w:t>
            </w:r>
          </w:p>
        </w:tc>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23.1%</w:t>
            </w:r>
          </w:p>
        </w:tc>
        <w:tc>
          <w:tcPr>
            <w:tcW w:type="dxa" w:w="49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Default framework weights — T2D is the primary scoring condition</w:t>
            </w:r>
          </w:p>
        </w:tc>
      </w:tr>
      <w:tr>
        <w:tc>
          <w:tcPr>
            <w:tcW w:type="dxa" w:w="2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Hypertension (HTN)</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I10</w:t>
            </w:r>
          </w:p>
        </w:tc>
        <w:tc>
          <w:tcPr>
            <w:tcW w:type="dxa" w:w="1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27.0%</w:t>
            </w:r>
          </w:p>
        </w:tc>
        <w:tc>
          <w:tcPr>
            <w:tcW w:type="dxa" w:w="49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Identical dimension weights; HTN-specific CMS GV PUF signals used in Diagnosis Gap</w:t>
            </w:r>
          </w:p>
        </w:tc>
      </w:tr>
      <w:tr>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Hypothyroidism</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E03.9</w:t>
            </w:r>
          </w:p>
        </w:tc>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~50%</w:t>
            </w:r>
          </w:p>
        </w:tc>
        <w:tc>
          <w:tcPr>
            <w:tcW w:type="dxa" w:w="49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Identical dimension weights; thyroid-specific prevalence signals applied where available</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4.   THE 7-DIMENSION SCORING FRAMEWORK</w:t>
            </w:r>
          </w:p>
        </w:tc>
      </w:tr>
    </w:tbl>
    <w:p>
      <w:pPr>
        <w:spacing w:after="16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The SPPF framework evaluates each geography on seven independent dimensions, each answering a distinct strategic question. No single dimension is sufficient — a county may have high disease burden but strong diagnosis rates, or poor payer incentives but exceptional community health infrastructure. The composite score integrates all seven to produce a holistic opportunity ranking.</w:t>
      </w:r>
    </w:p>
    <w:p>
      <w:pPr>
        <w:spacing w:after="8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800"/>
        <w:gridCol w:w="5920"/>
      </w:tblGrid>
      <w:tr>
        <w:trPr>
          <w:tblHeader/>
        </w:trPr>
        <w:tc>
          <w:tcPr>
            <w:tcW w:type="dxa" w:w="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2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w:t>
            </w:r>
          </w:p>
        </w:tc>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Weight</w:t>
            </w:r>
          </w:p>
        </w:tc>
        <w:tc>
          <w:tcPr>
            <w:tcW w:type="dxa" w:w="59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Strategic Question</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w:t>
            </w:r>
          </w:p>
        </w:tc>
        <w:tc>
          <w:tcPr>
            <w:tcW w:type="dxa" w:w="2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Disease Burden</w:t>
            </w:r>
          </w:p>
        </w:tc>
        <w:tc>
          <w:tcPr>
            <w:tcW w:type="dxa" w:w="8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20%</w:t>
            </w:r>
          </w:p>
        </w:tc>
        <w:tc>
          <w:tcPr>
            <w:tcW w:type="dxa" w:w="59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How big is the undiagnosed opportunity here?</w:t>
            </w:r>
          </w:p>
        </w:tc>
      </w:tr>
      <w:tr>
        <w:tc>
          <w:tcPr>
            <w:tcW w:type="dxa" w:w="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w:t>
            </w:r>
          </w:p>
        </w:tc>
        <w:tc>
          <w:tcPr>
            <w:tcW w:type="dxa" w:w="2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Diagnosis Gap</w:t>
            </w:r>
          </w:p>
        </w:tc>
        <w:tc>
          <w:tcPr>
            <w:tcW w:type="dxa" w:w="8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25%</w:t>
            </w:r>
          </w:p>
        </w:tc>
        <w:tc>
          <w:tcPr>
            <w:tcW w:type="dxa" w:w="59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How many silent patients are here?</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3</w:t>
            </w:r>
          </w:p>
        </w:tc>
        <w:tc>
          <w:tcPr>
            <w:tcW w:type="dxa" w:w="2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Access to Care</w:t>
            </w:r>
          </w:p>
        </w:tc>
        <w:tc>
          <w:tcPr>
            <w:tcW w:type="dxa" w:w="8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15%</w:t>
            </w:r>
          </w:p>
        </w:tc>
        <w:tc>
          <w:tcPr>
            <w:tcW w:type="dxa" w:w="59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Does the infrastructure exist to act on what we find?</w:t>
            </w:r>
          </w:p>
        </w:tc>
      </w:tr>
      <w:tr>
        <w:tc>
          <w:tcPr>
            <w:tcW w:type="dxa" w:w="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4</w:t>
            </w:r>
          </w:p>
        </w:tc>
        <w:tc>
          <w:tcPr>
            <w:tcW w:type="dxa" w:w="2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Social Determinants</w:t>
            </w:r>
          </w:p>
        </w:tc>
        <w:tc>
          <w:tcPr>
            <w:tcW w:type="dxa" w:w="8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15%</w:t>
            </w:r>
          </w:p>
        </w:tc>
        <w:tc>
          <w:tcPr>
            <w:tcW w:type="dxa" w:w="59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What is causing the gap — and what program will work?</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5</w:t>
            </w:r>
          </w:p>
        </w:tc>
        <w:tc>
          <w:tcPr>
            <w:tcW w:type="dxa" w:w="2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Payer Landscape</w:t>
            </w:r>
          </w:p>
        </w:tc>
        <w:tc>
          <w:tcPr>
            <w:tcW w:type="dxa" w:w="8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10%</w:t>
            </w:r>
          </w:p>
        </w:tc>
        <w:tc>
          <w:tcPr>
            <w:tcW w:type="dxa" w:w="59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Who pays for the solution — and why would they say yes?</w:t>
            </w:r>
          </w:p>
        </w:tc>
      </w:tr>
      <w:tr>
        <w:tc>
          <w:tcPr>
            <w:tcW w:type="dxa" w:w="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6</w:t>
            </w:r>
          </w:p>
        </w:tc>
        <w:tc>
          <w:tcPr>
            <w:tcW w:type="dxa" w:w="2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Commercial Readiness</w:t>
            </w:r>
          </w:p>
        </w:tc>
        <w:tc>
          <w:tcPr>
            <w:tcW w:type="dxa" w:w="8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10%</w:t>
            </w:r>
          </w:p>
        </w:tc>
        <w:tc>
          <w:tcPr>
            <w:tcW w:type="dxa" w:w="59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How hard is it to run a program here?</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7</w:t>
            </w:r>
          </w:p>
        </w:tc>
        <w:tc>
          <w:tcPr>
            <w:tcW w:type="dxa" w:w="2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Trajectory</w:t>
            </w:r>
          </w:p>
        </w:tc>
        <w:tc>
          <w:tcPr>
            <w:tcW w:type="dxa" w:w="8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5%</w:t>
            </w:r>
          </w:p>
        </w:tc>
        <w:tc>
          <w:tcPr>
            <w:tcW w:type="dxa" w:w="59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Is this market getting better or worse — and when should we move?</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All dimension scores are min-max normalized within the national county sample before weighting. This means a score of 70 indicates a county at approximately the 70th percentile nationally on that dimension, not an absolute value. The composite Opportunity Score is the weighted sum of all seven dimension scores.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B3A5C"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Dimension weights reflect clinical and commercial judgment about which factors most reliably predict successful patient identification program outcomes. The diagnosis gap carries the highest weight because it directly quantifies the addressable market — patients who exist but have not been found.</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E76F51"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DIMENSION 1:   DISEASE BURDEN   (Weight: 20%)</w:t>
            </w:r>
          </w:p>
        </w:tc>
      </w:tr>
    </w:tbl>
    <w:p>
      <w:pPr>
        <w:spacing w:after="14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00"/>
              <w:left w:type="dxa" w:w="200"/>
              <w:bottom w:type="dxa" w:w="100"/>
              <w:right w:type="dxa" w:w="200"/>
            </w:tcMar>
          </w:tcPr>
          <w:p>
            <w:pPr>
              <w:spacing w:after="40" w:before="0"/>
            </w:pPr>
            <w:r>
              <w:rPr>
                <w:rFonts w:ascii="Arial" w:cs="Arial" w:eastAsia="Arial" w:hAnsi="Arial"/>
                <w:b/>
                <w:bCs/>
                <w:color w:val="A8C4DC"/>
                <w:sz w:val="17"/>
                <w:szCs w:val="17"/>
              </w:rPr>
              <w:t xml:space="preserve">STRATEGIC QUESTION</w:t>
            </w:r>
          </w:p>
          <w:p>
            <w:pPr>
              <w:spacing w:after="0" w:before="0"/>
            </w:pPr>
            <w:r>
              <w:rPr>
                <w:rFonts w:ascii="Arial" w:cs="Arial" w:eastAsia="Arial" w:hAnsi="Arial"/>
                <w:b/>
                <w:bCs/>
                <w:i/>
                <w:iCs/>
                <w:color w:val="FFFFFF"/>
                <w:sz w:val="23"/>
                <w:szCs w:val="23"/>
              </w:rPr>
              <w:t xml:space="preserve">How big is the undiagnosed opportunity here?</w:t>
            </w:r>
          </w:p>
        </w:tc>
      </w:tr>
    </w:tbl>
    <w:p>
      <w:pPr>
        <w:spacing w:after="12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Disease Burden measures the total prevalence and severity of chronic disease in a geography. It combines the direct disease prevalence signal (CDC PLACES diagnosed diabetes rate) with risk-amplifying comorbidities — obesity, hypertension co-occurrence, and poor physical health — that predict undiagnosed disease in the population not yet captured by primary care. A high SES Disadvantage Index further amplifies burden, reflecting that structurally disadvantaged populations carry disproportionate disease load.</w:t>
      </w:r>
    </w:p>
    <w:p>
      <w:pPr>
        <w:spacing w:after="6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E76F51"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Disease Burden alone is not sufficient to identify the best markets. A high-burden county with a fully-functioning care system (low diagnosis gap) has fewer undiagnosed patients than a lower-burden county that is systematically missing cases. Always interpret Disease Burden in conjunction with Dimension 2 (Diagnosis Gap).</w:t>
            </w:r>
          </w:p>
        </w:tc>
      </w:tr>
    </w:tbl>
    <w:p>
      <w:pPr>
        <w:spacing w:after="80" w:before="0"/>
      </w:pPr>
      <w:r>
        <w:rPr>
          <w:rFonts w:ascii="Arial" w:cs="Arial" w:eastAsia="Arial" w:hAnsi="Arial"/>
          <w:sz w:val="22"/>
          <w:szCs w:val="22"/>
        </w:rPr>
        <w:t xml:space="preserve"/>
      </w:r>
    </w:p>
    <w:p>
      <w:pPr>
        <w:spacing w:after="70" w:before="200"/>
      </w:pPr>
      <w:r>
        <w:rPr>
          <w:rFonts w:ascii="Arial" w:cs="Arial" w:eastAsia="Arial" w:hAnsi="Arial"/>
          <w:b/>
          <w:bCs/>
          <w:color w:val="E76F51"/>
          <w:sz w:val="22"/>
          <w:szCs w:val="22"/>
        </w:rPr>
        <w:t xml:space="preserve">Scoring Signals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120"/>
      </w:tblGrid>
      <w:tr>
        <w:trPr>
          <w:tblHeader/>
        </w:trPr>
        <w:tc>
          <w:tcPr>
            <w:tcW w:type="dxa" w:w="3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Signal</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Weight</w:t>
            </w:r>
          </w:p>
        </w:tc>
        <w:tc>
          <w:tcPr>
            <w:tcW w:type="dxa" w:w="5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Primary Data Source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T2D Prevalence Rate (% adults with diabetes)</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40%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(2022 BRFSS)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Obesity Rate (% adults with obesity)</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(2022 BRFSS)</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Hypertension Co-occurrence (% adults with HTN)</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(2022 BRFSS)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Poor Physical Health Rate (% reporting ≥14 poor days)</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(2022 BRFSS)</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SES Disadvantage Index (composite deprivation)</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Estimates</w:t>
            </w:r>
          </w:p>
        </w:tc>
      </w:tr>
    </w:tbl>
    <w:p>
      <w:pPr>
        <w:spacing w:after="120" w:before="0"/>
      </w:pPr>
      <w:r>
        <w:rPr>
          <w:rFonts w:ascii="Arial" w:cs="Arial" w:eastAsia="Arial" w:hAnsi="Arial"/>
          <w:sz w:val="22"/>
          <w:szCs w:val="22"/>
        </w:rPr>
        <w:t xml:space="preserve"/>
      </w:r>
    </w:p>
    <w:p>
      <w:pPr>
        <w:spacing w:after="70" w:before="200"/>
      </w:pPr>
      <w:r>
        <w:rPr>
          <w:rFonts w:ascii="Arial" w:cs="Arial" w:eastAsia="Arial" w:hAnsi="Arial"/>
          <w:b/>
          <w:bCs/>
          <w:color w:val="E76F51"/>
          <w:sz w:val="22"/>
          <w:szCs w:val="22"/>
        </w:rPr>
        <w:t xml:space="preserve">How to Interpret This Score</w:t>
      </w:r>
    </w:p>
    <w:p>
      <w:pPr>
        <w:spacing w:after="140" w:before="0"/>
      </w:pPr>
      <w:r>
        <w:rPr>
          <w:rFonts w:ascii="Arial" w:cs="Arial" w:eastAsia="Arial" w:hAnsi="Arial"/>
          <w:color w:val="1A1A2E"/>
          <w:sz w:val="22"/>
          <w:szCs w:val="22"/>
        </w:rPr>
        <w:t xml:space="preserve">A Disease Burden score of ≥70 indicates a county in approximately the top 30% nationally for multi-condition disease burden — typically Deep South, Appalachian, or rural Midwest counties where T2D prevalence exceeds 14–15% and obesity rates exceed 40%. These counties have the largest absolute pool of undiagnosed patients. Scores in the 40–70 range represent the national mid-tier; scores below 40 reflect lighter-burden geographies (e.g., Mountain West, suburban Northeast) where opportunity exists but is smaller in absolute terms.</w:t>
      </w:r>
    </w:p>
    <w:p>
      <w:pPr>
        <w:spacing w:after="6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E63946"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DIMENSION 2:   DIAGNOSIS GAP   (Weight: 25%)</w:t>
            </w:r>
          </w:p>
        </w:tc>
      </w:tr>
    </w:tbl>
    <w:p>
      <w:pPr>
        <w:spacing w:after="14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00"/>
              <w:left w:type="dxa" w:w="200"/>
              <w:bottom w:type="dxa" w:w="100"/>
              <w:right w:type="dxa" w:w="200"/>
            </w:tcMar>
          </w:tcPr>
          <w:p>
            <w:pPr>
              <w:spacing w:after="40" w:before="0"/>
            </w:pPr>
            <w:r>
              <w:rPr>
                <w:rFonts w:ascii="Arial" w:cs="Arial" w:eastAsia="Arial" w:hAnsi="Arial"/>
                <w:b/>
                <w:bCs/>
                <w:color w:val="A8C4DC"/>
                <w:sz w:val="17"/>
                <w:szCs w:val="17"/>
              </w:rPr>
              <w:t xml:space="preserve">STRATEGIC QUESTION</w:t>
            </w:r>
          </w:p>
          <w:p>
            <w:pPr>
              <w:spacing w:after="0" w:before="0"/>
            </w:pPr>
            <w:r>
              <w:rPr>
                <w:rFonts w:ascii="Arial" w:cs="Arial" w:eastAsia="Arial" w:hAnsi="Arial"/>
                <w:b/>
                <w:bCs/>
                <w:i/>
                <w:iCs/>
                <w:color w:val="FFFFFF"/>
                <w:sz w:val="23"/>
                <w:szCs w:val="23"/>
              </w:rPr>
              <w:t xml:space="preserve">How many silent patients are here?</w:t>
            </w:r>
          </w:p>
        </w:tc>
      </w:tr>
    </w:tbl>
    <w:p>
      <w:pPr>
        <w:spacing w:after="12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Diagnosis Gap is the most heavily weighted dimension because it directly quantifies the addressable market: patients who have the disease but have never been identified by the healthcare system. The signal is constructed by comparing observed county-level disease burden (CDC PLACES population prevalence) to actual Medicare diagnosis rates (CMS Geographic Variation Public Use File). Counties where the Medicare system is diagnosing fewer T2D or HTN cases than the national peer median have a structural detection deficit — more silent patients per capita than average.</w:t>
      </w:r>
    </w:p>
    <w:p>
      <w:pPr>
        <w:spacing w:after="6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E63946"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The Diagnosis Gap weight of 25% reflects the clinical reality that the American Diabetes Association estimates 23.1% of US adults with diabetes are undiagnosed, and the American Heart Association estimates 27% of hypertensives are unaware of their diagnosis. These are not edge cases — they represent tens of millions of Americans that primary care is missing.</w:t>
            </w:r>
          </w:p>
        </w:tc>
      </w:tr>
    </w:tbl>
    <w:p>
      <w:pPr>
        <w:spacing w:after="80" w:before="0"/>
      </w:pPr>
      <w:r>
        <w:rPr>
          <w:rFonts w:ascii="Arial" w:cs="Arial" w:eastAsia="Arial" w:hAnsi="Arial"/>
          <w:sz w:val="22"/>
          <w:szCs w:val="22"/>
        </w:rPr>
        <w:t xml:space="preserve"/>
      </w:r>
    </w:p>
    <w:p>
      <w:pPr>
        <w:spacing w:after="70" w:before="200"/>
      </w:pPr>
      <w:r>
        <w:rPr>
          <w:rFonts w:ascii="Arial" w:cs="Arial" w:eastAsia="Arial" w:hAnsi="Arial"/>
          <w:b/>
          <w:bCs/>
          <w:color w:val="E63946"/>
          <w:sz w:val="22"/>
          <w:szCs w:val="22"/>
        </w:rPr>
        <w:t xml:space="preserve">Scoring Signals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120"/>
      </w:tblGrid>
      <w:tr>
        <w:trPr>
          <w:tblHeader/>
        </w:trPr>
        <w:tc>
          <w:tcPr>
            <w:tcW w:type="dxa" w:w="3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Signal</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Weight</w:t>
            </w:r>
          </w:p>
        </w:tc>
        <w:tc>
          <w:tcPr>
            <w:tcW w:type="dxa" w:w="5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Primary Data Source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T2D Treatment Penetration Gap (CDC PLACES × CMS GV PUF deficit)</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35%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 CMS Geographic Variation PUF</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HTN Medicare Diagnosis Deficit (below-median CMS HTN rate)</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CMS Geographic Variation PUF (Medicare claims)</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Diagnostic Orphan Proxy (SES disadvantage × low checkup rate)</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 Census ACS 5-Year</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Annual Checkup Rate (inverted — low checkup = higher gap)</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(2022 BRFSS)</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Uninsured Rate (cost barrier preventing diagnosis)</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Estimates</w:t>
            </w:r>
          </w:p>
        </w:tc>
      </w:tr>
    </w:tbl>
    <w:p>
      <w:pPr>
        <w:spacing w:after="120" w:before="0"/>
      </w:pPr>
      <w:r>
        <w:rPr>
          <w:rFonts w:ascii="Arial" w:cs="Arial" w:eastAsia="Arial" w:hAnsi="Arial"/>
          <w:sz w:val="22"/>
          <w:szCs w:val="22"/>
        </w:rPr>
        <w:t xml:space="preserve"/>
      </w:r>
    </w:p>
    <w:p>
      <w:pPr>
        <w:spacing w:after="70" w:before="200"/>
      </w:pPr>
      <w:r>
        <w:rPr>
          <w:rFonts w:ascii="Arial" w:cs="Arial" w:eastAsia="Arial" w:hAnsi="Arial"/>
          <w:b/>
          <w:bCs/>
          <w:color w:val="E63946"/>
          <w:sz w:val="22"/>
          <w:szCs w:val="22"/>
        </w:rPr>
        <w:t xml:space="preserve">How to Interpret This Score</w:t>
      </w:r>
    </w:p>
    <w:p>
      <w:pPr>
        <w:spacing w:after="140" w:before="0"/>
      </w:pPr>
      <w:r>
        <w:rPr>
          <w:rFonts w:ascii="Arial" w:cs="Arial" w:eastAsia="Arial" w:hAnsi="Arial"/>
          <w:color w:val="1A1A2E"/>
          <w:sz w:val="22"/>
          <w:szCs w:val="22"/>
        </w:rPr>
        <w:t xml:space="preserve">The T2D Treatment Penetration Gap is the primary signal: it multiplies CDC PLACES diabetes prevalence by the county's CMS Medicare detection deficit (how far below the national county median that county's Medicare T2D diagnosis rate falls). Counties with both high prevalence and below-median Medicare detection represent the widest population-level gap. The HTN deficit uses the same construction — the national Medicare HTN diagnosed rate is approximately 57–60%; counties well below this median are systematically failing to identify hypertension in their Medicare population.</w:t>
      </w:r>
    </w:p>
    <w:p>
      <w:pPr>
        <w:spacing w:after="6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2A9D8F"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DIMENSION 3:   ACCESS TO CARE   (Weight: 15%)</w:t>
            </w:r>
          </w:p>
        </w:tc>
      </w:tr>
    </w:tbl>
    <w:p>
      <w:pPr>
        <w:spacing w:after="14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00"/>
              <w:left w:type="dxa" w:w="200"/>
              <w:bottom w:type="dxa" w:w="100"/>
              <w:right w:type="dxa" w:w="200"/>
            </w:tcMar>
          </w:tcPr>
          <w:p>
            <w:pPr>
              <w:spacing w:after="40" w:before="0"/>
            </w:pPr>
            <w:r>
              <w:rPr>
                <w:rFonts w:ascii="Arial" w:cs="Arial" w:eastAsia="Arial" w:hAnsi="Arial"/>
                <w:b/>
                <w:bCs/>
                <w:color w:val="A8C4DC"/>
                <w:sz w:val="17"/>
                <w:szCs w:val="17"/>
              </w:rPr>
              <w:t xml:space="preserve">STRATEGIC QUESTION</w:t>
            </w:r>
          </w:p>
          <w:p>
            <w:pPr>
              <w:spacing w:after="0" w:before="0"/>
            </w:pPr>
            <w:r>
              <w:rPr>
                <w:rFonts w:ascii="Arial" w:cs="Arial" w:eastAsia="Arial" w:hAnsi="Arial"/>
                <w:b/>
                <w:bCs/>
                <w:i/>
                <w:iCs/>
                <w:color w:val="FFFFFF"/>
                <w:sz w:val="23"/>
                <w:szCs w:val="23"/>
              </w:rPr>
              <w:t xml:space="preserve">Does the infrastructure exist to act on what we find?</w:t>
            </w:r>
          </w:p>
        </w:tc>
      </w:tr>
    </w:tbl>
    <w:p>
      <w:pPr>
        <w:spacing w:after="12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Access to Care assesses whether a screened, identified patient can realistically get diagnosed and treated in that geography. A county may have a large diagnosis gap but if the healthcare infrastructure does not exist to follow through on a referral, identification programs will fail to convert patients into treated individuals. Access is measured through federal shortage area designations, federally qualified health center presence, rural classification, and actual care-seeking behavior.</w:t>
      </w:r>
    </w:p>
    <w:p>
      <w:pPr>
        <w:spacing w:after="6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2A9D8F"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HPSA designation is a federal Health Professional Shortage Area flag published by HRSA. Counties with primary care HPSA designations have fewer physicians per capita than federal thresholds require. FQHCs (Federally Qualified Health Centers) are federally funded community health centers required to serve all patients regardless of ability to pay — their presence signals that basic primary care infrastructure exists even in high-shortage areas.</w:t>
            </w:r>
          </w:p>
        </w:tc>
      </w:tr>
    </w:tbl>
    <w:p>
      <w:pPr>
        <w:spacing w:after="80" w:before="0"/>
      </w:pPr>
      <w:r>
        <w:rPr>
          <w:rFonts w:ascii="Arial" w:cs="Arial" w:eastAsia="Arial" w:hAnsi="Arial"/>
          <w:sz w:val="22"/>
          <w:szCs w:val="22"/>
        </w:rPr>
        <w:t xml:space="preserve"/>
      </w:r>
    </w:p>
    <w:p>
      <w:pPr>
        <w:spacing w:after="70" w:before="200"/>
      </w:pPr>
      <w:r>
        <w:rPr>
          <w:rFonts w:ascii="Arial" w:cs="Arial" w:eastAsia="Arial" w:hAnsi="Arial"/>
          <w:b/>
          <w:bCs/>
          <w:color w:val="2A9D8F"/>
          <w:sz w:val="22"/>
          <w:szCs w:val="22"/>
        </w:rPr>
        <w:t xml:space="preserve">Scoring Signals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120"/>
      </w:tblGrid>
      <w:tr>
        <w:trPr>
          <w:tblHeader/>
        </w:trPr>
        <w:tc>
          <w:tcPr>
            <w:tcW w:type="dxa" w:w="3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Signal</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Weight</w:t>
            </w:r>
          </w:p>
        </w:tc>
        <w:tc>
          <w:tcPr>
            <w:tcW w:type="dxa" w:w="5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Primary Data Source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Absence of HPSA Designation (inverted — no shortage = better access)</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35%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HRSA Health Professional Shortage Area (HPSA) Database</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FQHC Presence (safety net infrastructure available)</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HRSA HPSA Database / Bureau of Primary Health Care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Non-Rural Classification (urban/suburban = better provider density)</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US Census / USDA Rural-Urban Continuum Codes (RUCC)</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Annual Checkup Rate (proxy for active primary care utilization)</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(2022 BRFSS)</w:t>
            </w:r>
          </w:p>
        </w:tc>
      </w:tr>
    </w:tbl>
    <w:p>
      <w:pPr>
        <w:spacing w:after="120" w:before="0"/>
      </w:pPr>
      <w:r>
        <w:rPr>
          <w:rFonts w:ascii="Arial" w:cs="Arial" w:eastAsia="Arial" w:hAnsi="Arial"/>
          <w:sz w:val="22"/>
          <w:szCs w:val="22"/>
        </w:rPr>
        <w:t xml:space="preserve"/>
      </w:r>
    </w:p>
    <w:p>
      <w:pPr>
        <w:spacing w:after="70" w:before="200"/>
      </w:pPr>
      <w:r>
        <w:rPr>
          <w:rFonts w:ascii="Arial" w:cs="Arial" w:eastAsia="Arial" w:hAnsi="Arial"/>
          <w:b/>
          <w:bCs/>
          <w:color w:val="2A9D8F"/>
          <w:sz w:val="22"/>
          <w:szCs w:val="22"/>
        </w:rPr>
        <w:t xml:space="preserve">How to Interpret This Score</w:t>
      </w:r>
    </w:p>
    <w:p>
      <w:pPr>
        <w:spacing w:after="140" w:before="0"/>
      </w:pPr>
      <w:r>
        <w:rPr>
          <w:rFonts w:ascii="Arial" w:cs="Arial" w:eastAsia="Arial" w:hAnsi="Arial"/>
          <w:color w:val="1A1A2E"/>
          <w:sz w:val="22"/>
          <w:szCs w:val="22"/>
        </w:rPr>
        <w:t xml:space="preserve">Access to Care functions as a program design modifier, not a disqualifier. Low-access counties (score &lt;40) with high Diagnosis Gap scores are prioritized for Community Health Center Partnership programs — the intervention design adapts to the available infrastructure. High-access counties (score ≥65) with strong payer landscapes are candidates for payer partnership or pharmacy-based programs that depend on an activated referral network.</w:t>
      </w:r>
    </w:p>
    <w:p>
      <w:pPr>
        <w:spacing w:after="6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F4A261"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DIMENSION 4:   SOCIAL DETERMINANTS   (Weight: 15%)</w:t>
            </w:r>
          </w:p>
        </w:tc>
      </w:tr>
    </w:tbl>
    <w:p>
      <w:pPr>
        <w:spacing w:after="14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00"/>
              <w:left w:type="dxa" w:w="200"/>
              <w:bottom w:type="dxa" w:w="100"/>
              <w:right w:type="dxa" w:w="200"/>
            </w:tcMar>
          </w:tcPr>
          <w:p>
            <w:pPr>
              <w:spacing w:after="40" w:before="0"/>
            </w:pPr>
            <w:r>
              <w:rPr>
                <w:rFonts w:ascii="Arial" w:cs="Arial" w:eastAsia="Arial" w:hAnsi="Arial"/>
                <w:b/>
                <w:bCs/>
                <w:color w:val="A8C4DC"/>
                <w:sz w:val="17"/>
                <w:szCs w:val="17"/>
              </w:rPr>
              <w:t xml:space="preserve">STRATEGIC QUESTION</w:t>
            </w:r>
          </w:p>
          <w:p>
            <w:pPr>
              <w:spacing w:after="0" w:before="0"/>
            </w:pPr>
            <w:r>
              <w:rPr>
                <w:rFonts w:ascii="Arial" w:cs="Arial" w:eastAsia="Arial" w:hAnsi="Arial"/>
                <w:b/>
                <w:bCs/>
                <w:i/>
                <w:iCs/>
                <w:color w:val="FFFFFF"/>
                <w:sz w:val="23"/>
                <w:szCs w:val="23"/>
              </w:rPr>
              <w:t xml:space="preserve">What is causing the gap — and what type of program will work?</w:t>
            </w:r>
          </w:p>
        </w:tc>
      </w:tr>
    </w:tbl>
    <w:p>
      <w:pPr>
        <w:spacing w:after="12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Social Determinants identifies the structural root causes driving the diagnosis gap. These factors — poverty, food insecurity, educational attainment, racial demographic composition, and insurance coverage — determine both why patients are undiagnosed and which type of intervention will be most effective at reaching them. High social determinants burden signals a complex market requiring community partnerships and culturally competent outreach; it does not disqualify a market but it does shape the program design.</w:t>
      </w:r>
    </w:p>
    <w:p>
      <w:pPr>
        <w:spacing w:after="6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F4A261"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The USDA Food Environment Atlas (ERS PCT_LACCESS_POP15) measures the percentage of the county population with low access to a grocery store — defined as residing more than 1 mile (urban) or 10 miles (rural) from the nearest supermarket. Food desert populations have significantly elevated T2D and HTN risk due to diet-quality constraints, making this a strong structural predictor of undiagnosed disease burden.</w:t>
            </w:r>
          </w:p>
        </w:tc>
      </w:tr>
    </w:tbl>
    <w:p>
      <w:pPr>
        <w:spacing w:after="80" w:before="0"/>
      </w:pPr>
      <w:r>
        <w:rPr>
          <w:rFonts w:ascii="Arial" w:cs="Arial" w:eastAsia="Arial" w:hAnsi="Arial"/>
          <w:sz w:val="22"/>
          <w:szCs w:val="22"/>
        </w:rPr>
        <w:t xml:space="preserve"/>
      </w:r>
    </w:p>
    <w:p>
      <w:pPr>
        <w:spacing w:after="70" w:before="200"/>
      </w:pPr>
      <w:r>
        <w:rPr>
          <w:rFonts w:ascii="Arial" w:cs="Arial" w:eastAsia="Arial" w:hAnsi="Arial"/>
          <w:b/>
          <w:bCs/>
          <w:color w:val="F4A261"/>
          <w:sz w:val="22"/>
          <w:szCs w:val="22"/>
        </w:rPr>
        <w:t xml:space="preserve">Scoring Signals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120"/>
      </w:tblGrid>
      <w:tr>
        <w:trPr>
          <w:tblHeader/>
        </w:trPr>
        <w:tc>
          <w:tcPr>
            <w:tcW w:type="dxa" w:w="3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Signal</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Weight</w:t>
            </w:r>
          </w:p>
        </w:tc>
        <w:tc>
          <w:tcPr>
            <w:tcW w:type="dxa" w:w="5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Primary Data Source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Poverty Rate (% population below federal poverty line)</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US Census / USDA SAIPE (Small Area Income &amp; Poverty Estimates)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SES Disadvantage Index (composite ACS deprivation score)</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(income, education, employment, housing)</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Racial Risk Index (population-weighted T2D/HTN disease risk)</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(race/ethnicity × published CDC risk rates)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Uninsured Rate (% population without health coverage)</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15%</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Estimates</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Food Desert Population % (low grocery access — USDA ERS)</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USDA Food Environment Atlas (PCT_LACCESS_POP15)</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HS Graduation Rate (inverted — low education = health literacy barrier)</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5%</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County Health Rankings (Robert Wood Johnson Foundation)</w:t>
            </w:r>
          </w:p>
        </w:tc>
      </w:tr>
    </w:tbl>
    <w:p>
      <w:pPr>
        <w:spacing w:after="120" w:before="0"/>
      </w:pPr>
      <w:r>
        <w:rPr>
          <w:rFonts w:ascii="Arial" w:cs="Arial" w:eastAsia="Arial" w:hAnsi="Arial"/>
          <w:sz w:val="22"/>
          <w:szCs w:val="22"/>
        </w:rPr>
        <w:t xml:space="preserve"/>
      </w:r>
    </w:p>
    <w:p>
      <w:pPr>
        <w:spacing w:after="70" w:before="200"/>
      </w:pPr>
      <w:r>
        <w:rPr>
          <w:rFonts w:ascii="Arial" w:cs="Arial" w:eastAsia="Arial" w:hAnsi="Arial"/>
          <w:b/>
          <w:bCs/>
          <w:color w:val="F4A261"/>
          <w:sz w:val="22"/>
          <w:szCs w:val="22"/>
        </w:rPr>
        <w:t xml:space="preserve">How to Interpret This Score</w:t>
      </w:r>
    </w:p>
    <w:p>
      <w:pPr>
        <w:spacing w:after="140" w:before="0"/>
      </w:pPr>
      <w:r>
        <w:rPr>
          <w:rFonts w:ascii="Arial" w:cs="Arial" w:eastAsia="Arial" w:hAnsi="Arial"/>
          <w:color w:val="1A1A2E"/>
          <w:sz w:val="22"/>
          <w:szCs w:val="22"/>
        </w:rPr>
        <w:t xml:space="preserve">The Racial Risk Index weights county demographic composition by published CDC disease risk differentials: Black adults (T2D risk 2.0×), Hispanic/Latino adults (1.7×), American Indian/Alaska Native adults (2.3×), Asian adults (1.6×), and non-Hispanic White adults (1.0×). This reflects the documented disparity in chronic disease risk — counties with higher concentrations of high-risk demographic groups have structurally elevated undiagnosed disease burden independent of measured prevalence rates.</w:t>
      </w:r>
    </w:p>
    <w:p>
      <w:pPr>
        <w:spacing w:after="6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457B9D"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DIMENSION 5:   PAYER LANDSCAPE   (Weight: 10%)</w:t>
            </w:r>
          </w:p>
        </w:tc>
      </w:tr>
    </w:tbl>
    <w:p>
      <w:pPr>
        <w:spacing w:after="14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00"/>
              <w:left w:type="dxa" w:w="200"/>
              <w:bottom w:type="dxa" w:w="100"/>
              <w:right w:type="dxa" w:w="200"/>
            </w:tcMar>
          </w:tcPr>
          <w:p>
            <w:pPr>
              <w:spacing w:after="40" w:before="0"/>
            </w:pPr>
            <w:r>
              <w:rPr>
                <w:rFonts w:ascii="Arial" w:cs="Arial" w:eastAsia="Arial" w:hAnsi="Arial"/>
                <w:b/>
                <w:bCs/>
                <w:color w:val="A8C4DC"/>
                <w:sz w:val="17"/>
                <w:szCs w:val="17"/>
              </w:rPr>
              <w:t xml:space="preserve">STRATEGIC QUESTION</w:t>
            </w:r>
          </w:p>
          <w:p>
            <w:pPr>
              <w:spacing w:after="0" w:before="0"/>
            </w:pPr>
            <w:r>
              <w:rPr>
                <w:rFonts w:ascii="Arial" w:cs="Arial" w:eastAsia="Arial" w:hAnsi="Arial"/>
                <w:b/>
                <w:bCs/>
                <w:i/>
                <w:iCs/>
                <w:color w:val="FFFFFF"/>
                <w:sz w:val="23"/>
                <w:szCs w:val="23"/>
              </w:rPr>
              <w:t xml:space="preserve">Who pays for the solution — and why would they say yes?</w:t>
            </w:r>
          </w:p>
        </w:tc>
      </w:tr>
    </w:tbl>
    <w:p>
      <w:pPr>
        <w:spacing w:after="12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Payer Landscape determines who insures the undiagnosed population and what financial incentives exist to fund a patient identification program. Medicare Advantage (MA) plans have the strongest incentives: their Stars quality ratings include diabetes and hypertension care measures, and every percentage-point improvement in Stars ratings translates to significant per-member-per-year bonus payments from CMS. Counties with high MA penetration are the highest-readiness markets for payer partnership pitches.</w:t>
      </w:r>
    </w:p>
    <w:p>
      <w:pPr>
        <w:spacing w:after="80" w:before="0"/>
      </w:pPr>
      <w:r>
        <w:rPr>
          <w:rFonts w:ascii="Arial" w:cs="Arial" w:eastAsia="Arial" w:hAnsi="Arial"/>
          <w:sz w:val="22"/>
          <w:szCs w:val="22"/>
        </w:rPr>
        <w:t xml:space="preserve"/>
      </w:r>
    </w:p>
    <w:p>
      <w:pPr>
        <w:spacing w:after="70" w:before="200"/>
      </w:pPr>
      <w:r>
        <w:rPr>
          <w:rFonts w:ascii="Arial" w:cs="Arial" w:eastAsia="Arial" w:hAnsi="Arial"/>
          <w:b/>
          <w:bCs/>
          <w:color w:val="457B9D"/>
          <w:sz w:val="22"/>
          <w:szCs w:val="22"/>
        </w:rPr>
        <w:t xml:space="preserve">Scoring Signals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120"/>
      </w:tblGrid>
      <w:tr>
        <w:trPr>
          <w:tblHeader/>
        </w:trPr>
        <w:tc>
          <w:tcPr>
            <w:tcW w:type="dxa" w:w="3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Signal</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Weight</w:t>
            </w:r>
          </w:p>
        </w:tc>
        <w:tc>
          <w:tcPr>
            <w:tcW w:type="dxa" w:w="5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Primary Data Source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Medicare Advantage Penetration Rate (% Medicare beneficiaries in MA)</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40%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CMS Geographic Variation Public Use File (GV PUF)</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Medicaid Penetration (% population enrolled in Medicaid/CHIP)</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30%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 CMS State Medicaid data</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Commercial Coverage Rate (% population with employer/private coverage)</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Estimates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Dual Eligible Rate (Medicare + Medicaid co-enrollment proxy)</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CMS GV PUF / Census ACS composite</w:t>
            </w:r>
          </w:p>
        </w:tc>
      </w:tr>
    </w:tbl>
    <w:p>
      <w:pPr>
        <w:spacing w:after="120" w:before="0"/>
      </w:pPr>
      <w:r>
        <w:rPr>
          <w:rFonts w:ascii="Arial" w:cs="Arial" w:eastAsia="Arial" w:hAnsi="Arial"/>
          <w:sz w:val="22"/>
          <w:szCs w:val="22"/>
        </w:rPr>
        <w:t xml:space="preserve"/>
      </w:r>
    </w:p>
    <w:p>
      <w:pPr>
        <w:spacing w:after="70" w:before="200"/>
      </w:pPr>
      <w:r>
        <w:rPr>
          <w:rFonts w:ascii="Arial" w:cs="Arial" w:eastAsia="Arial" w:hAnsi="Arial"/>
          <w:b/>
          <w:bCs/>
          <w:color w:val="457B9D"/>
          <w:sz w:val="22"/>
          <w:szCs w:val="22"/>
        </w:rPr>
        <w:t xml:space="preserve">How to Interpret This Score</w:t>
      </w:r>
    </w:p>
    <w:p>
      <w:pPr>
        <w:spacing w:after="140" w:before="0"/>
      </w:pPr>
      <w:r>
        <w:rPr>
          <w:rFonts w:ascii="Arial" w:cs="Arial" w:eastAsia="Arial" w:hAnsi="Arial"/>
          <w:color w:val="1A1A2E"/>
          <w:sz w:val="22"/>
          <w:szCs w:val="22"/>
        </w:rPr>
        <w:t xml:space="preserve">Counties with MA penetration above 40% have a critical mass of Medicare beneficiaries in plans with quality-driven financial incentives. The CMS Stars Ratings system rewards MA plans for diabetes eye exam rates, HbA1c testing, blood pressure control, and medication adherence — all of which improve when previously undiagnosed patients enter the care system. Counties with Medicaid penetration above 30% are candidates for MCO-funded programs with HEDIS measure improvement as the ROI driver.</w:t>
      </w:r>
    </w:p>
    <w:p>
      <w:pPr>
        <w:spacing w:after="6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8338E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DIMENSION 6:   COMMERCIAL READINESS   (Weight: 10%)</w:t>
            </w:r>
          </w:p>
        </w:tc>
      </w:tr>
    </w:tbl>
    <w:p>
      <w:pPr>
        <w:spacing w:after="14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00"/>
              <w:left w:type="dxa" w:w="200"/>
              <w:bottom w:type="dxa" w:w="100"/>
              <w:right w:type="dxa" w:w="200"/>
            </w:tcMar>
          </w:tcPr>
          <w:p>
            <w:pPr>
              <w:spacing w:after="40" w:before="0"/>
            </w:pPr>
            <w:r>
              <w:rPr>
                <w:rFonts w:ascii="Arial" w:cs="Arial" w:eastAsia="Arial" w:hAnsi="Arial"/>
                <w:b/>
                <w:bCs/>
                <w:color w:val="A8C4DC"/>
                <w:sz w:val="17"/>
                <w:szCs w:val="17"/>
              </w:rPr>
              <w:t xml:space="preserve">STRATEGIC QUESTION</w:t>
            </w:r>
          </w:p>
          <w:p>
            <w:pPr>
              <w:spacing w:after="0" w:before="0"/>
            </w:pPr>
            <w:r>
              <w:rPr>
                <w:rFonts w:ascii="Arial" w:cs="Arial" w:eastAsia="Arial" w:hAnsi="Arial"/>
                <w:b/>
                <w:bCs/>
                <w:i/>
                <w:iCs/>
                <w:color w:val="FFFFFF"/>
                <w:sz w:val="23"/>
                <w:szCs w:val="23"/>
              </w:rPr>
              <w:t xml:space="preserve">How hard is it to run a program here?</w:t>
            </w:r>
          </w:p>
        </w:tc>
      </w:tr>
    </w:tbl>
    <w:p>
      <w:pPr>
        <w:spacing w:after="12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Commercial Readiness assesses the operational feasibility of launching and scaling a patient identification program in a given geography. Even the highest-opportunity market is commercially useless if the field infrastructure required to execute a program does not exist. Readiness is measured through digital connectivity (broadband), urbanicity (proxy for pharmacy density and health system infrastructure), income (proxy for OTC product engagement), and existing care-seeking behavior.</w:t>
      </w:r>
    </w:p>
    <w:p>
      <w:pPr>
        <w:spacing w:after="80" w:before="0"/>
      </w:pPr>
      <w:r>
        <w:rPr>
          <w:rFonts w:ascii="Arial" w:cs="Arial" w:eastAsia="Arial" w:hAnsi="Arial"/>
          <w:sz w:val="22"/>
          <w:szCs w:val="22"/>
        </w:rPr>
        <w:t xml:space="preserve"/>
      </w:r>
    </w:p>
    <w:p>
      <w:pPr>
        <w:spacing w:after="70" w:before="200"/>
      </w:pPr>
      <w:r>
        <w:rPr>
          <w:rFonts w:ascii="Arial" w:cs="Arial" w:eastAsia="Arial" w:hAnsi="Arial"/>
          <w:b/>
          <w:bCs/>
          <w:color w:val="8338EC"/>
          <w:sz w:val="22"/>
          <w:szCs w:val="22"/>
        </w:rPr>
        <w:t xml:space="preserve">Scoring Signals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120"/>
      </w:tblGrid>
      <w:tr>
        <w:trPr>
          <w:tblHeader/>
        </w:trPr>
        <w:tc>
          <w:tcPr>
            <w:tcW w:type="dxa" w:w="3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Signal</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Weight</w:t>
            </w:r>
          </w:p>
        </w:tc>
        <w:tc>
          <w:tcPr>
            <w:tcW w:type="dxa" w:w="5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Primary Data Source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Broadband Access Rate (% households with broadband internet)</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30%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Estimates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Non-Rural Classification (urban/suburban infrastructure proxy)</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 USDA Rural-Urban Continuum Codes (RUCC 1–6)</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Median Household Income (OTC purchasing / engagement proxy)</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Estimates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Annual Checkup Rate (existing patient-provider relationship)</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(2022 BRFSS)</w:t>
            </w:r>
          </w:p>
        </w:tc>
      </w:tr>
    </w:tbl>
    <w:p>
      <w:pPr>
        <w:spacing w:after="120" w:before="0"/>
      </w:pPr>
      <w:r>
        <w:rPr>
          <w:rFonts w:ascii="Arial" w:cs="Arial" w:eastAsia="Arial" w:hAnsi="Arial"/>
          <w:sz w:val="22"/>
          <w:szCs w:val="22"/>
        </w:rPr>
        <w:t xml:space="preserve"/>
      </w:r>
    </w:p>
    <w:p>
      <w:pPr>
        <w:spacing w:after="70" w:before="200"/>
      </w:pPr>
      <w:r>
        <w:rPr>
          <w:rFonts w:ascii="Arial" w:cs="Arial" w:eastAsia="Arial" w:hAnsi="Arial"/>
          <w:b/>
          <w:bCs/>
          <w:color w:val="8338EC"/>
          <w:sz w:val="22"/>
          <w:szCs w:val="22"/>
        </w:rPr>
        <w:t xml:space="preserve">How to Interpret This Score</w:t>
      </w:r>
    </w:p>
    <w:p>
      <w:pPr>
        <w:spacing w:after="140" w:before="0"/>
      </w:pPr>
      <w:r>
        <w:rPr>
          <w:rFonts w:ascii="Arial" w:cs="Arial" w:eastAsia="Arial" w:hAnsi="Arial"/>
          <w:color w:val="1A1A2E"/>
          <w:sz w:val="22"/>
          <w:szCs w:val="22"/>
        </w:rPr>
        <w:t xml:space="preserve">Broadband access above 75% indicates a market where digital health programs — telehealth-based screening, CGM-connected identification, app-based navigation — are operationally viable. Non-rural counties (RUCC codes 1–3: metropolitan areas) typically have retail pharmacy density sufficient for pharmacy-based screening programs and are more likely to have large self-insured employers for wellness program partnerships. Counties with median household income above $55,000 show higher OTC product engagement, suggesting an activated consumer health behavior that screening programs can intercept.</w:t>
      </w:r>
    </w:p>
    <w:p>
      <w:pPr>
        <w:spacing w:after="6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06A67A"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DIMENSION 7:   TRAJECTORY   (Weight: 5%)</w:t>
            </w:r>
          </w:p>
        </w:tc>
      </w:tr>
    </w:tbl>
    <w:p>
      <w:pPr>
        <w:spacing w:after="14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00"/>
              <w:left w:type="dxa" w:w="200"/>
              <w:bottom w:type="dxa" w:w="100"/>
              <w:right w:type="dxa" w:w="200"/>
            </w:tcMar>
          </w:tcPr>
          <w:p>
            <w:pPr>
              <w:spacing w:after="40" w:before="0"/>
            </w:pPr>
            <w:r>
              <w:rPr>
                <w:rFonts w:ascii="Arial" w:cs="Arial" w:eastAsia="Arial" w:hAnsi="Arial"/>
                <w:b/>
                <w:bCs/>
                <w:color w:val="A8C4DC"/>
                <w:sz w:val="17"/>
                <w:szCs w:val="17"/>
              </w:rPr>
              <w:t xml:space="preserve">STRATEGIC QUESTION</w:t>
            </w:r>
          </w:p>
          <w:p>
            <w:pPr>
              <w:spacing w:after="0" w:before="0"/>
            </w:pPr>
            <w:r>
              <w:rPr>
                <w:rFonts w:ascii="Arial" w:cs="Arial" w:eastAsia="Arial" w:hAnsi="Arial"/>
                <w:b/>
                <w:bCs/>
                <w:i/>
                <w:iCs/>
                <w:color w:val="FFFFFF"/>
                <w:sz w:val="23"/>
                <w:szCs w:val="23"/>
              </w:rPr>
              <w:t xml:space="preserve">Is this market getting better or worse — and when should we move?</w:t>
            </w:r>
          </w:p>
        </w:tc>
      </w:tr>
    </w:tbl>
    <w:p>
      <w:pPr>
        <w:spacing w:after="12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Trajectory answers the timing question: should you launch now, or are there higher-priority markets to address first? Counties where chronic disease burden is actively growing — where CDC PLACES shows rising diabetes and hypertension prevalence between release years — represent expanding markets where early entry captures more patients over a program lifecycle than waiting. Aging population and structural socioeconomic factors drive long-term trajectory even when near-term trend data is unavailable.</w:t>
      </w:r>
    </w:p>
    <w:p>
      <w:pPr>
        <w:spacing w:after="6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6A67A"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Trajectory is a tiebreaker, not a primary driver. Two counties with identical composite scores should prioritize the higher-trajectory market for first deployment, as the opportunity is expanding rather than stable or contracting.</w:t>
            </w:r>
          </w:p>
        </w:tc>
      </w:tr>
    </w:tbl>
    <w:p>
      <w:pPr>
        <w:spacing w:after="80" w:before="0"/>
      </w:pPr>
      <w:r>
        <w:rPr>
          <w:rFonts w:ascii="Arial" w:cs="Arial" w:eastAsia="Arial" w:hAnsi="Arial"/>
          <w:sz w:val="22"/>
          <w:szCs w:val="22"/>
        </w:rPr>
        <w:t xml:space="preserve"/>
      </w:r>
    </w:p>
    <w:p>
      <w:pPr>
        <w:spacing w:after="70" w:before="200"/>
      </w:pPr>
      <w:r>
        <w:rPr>
          <w:rFonts w:ascii="Arial" w:cs="Arial" w:eastAsia="Arial" w:hAnsi="Arial"/>
          <w:b/>
          <w:bCs/>
          <w:color w:val="06A67A"/>
          <w:sz w:val="22"/>
          <w:szCs w:val="22"/>
        </w:rPr>
        <w:t xml:space="preserve">Scoring Signals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120"/>
      </w:tblGrid>
      <w:tr>
        <w:trPr>
          <w:tblHeader/>
        </w:trPr>
        <w:tc>
          <w:tcPr>
            <w:tcW w:type="dxa" w:w="3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Signal</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Weight</w:t>
            </w:r>
          </w:p>
        </w:tc>
        <w:tc>
          <w:tcPr>
            <w:tcW w:type="dxa" w:w="5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Primary Data Source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T2D Prevalence Trend (2022→2024 CDC PLACES delta, positive = growing)</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35%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vs. CDC PLACES 2022 (2022 vs. 2020 BRFSS)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HTN Prevalence Trend (2022→2024 CDC PLACES delta, positive = growing)</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vs. CDC PLACES 2022</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Aging Population (% adults 65+ — future T2D/HTN incidence driver)</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Estimates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SDoH + Rural Widening Proxy (structural gap-widening factors)</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 USDA RUCC</w:t>
            </w:r>
          </w:p>
        </w:tc>
      </w:tr>
    </w:tbl>
    <w:p>
      <w:pPr>
        <w:spacing w:after="120" w:before="0"/>
      </w:pPr>
      <w:r>
        <w:rPr>
          <w:rFonts w:ascii="Arial" w:cs="Arial" w:eastAsia="Arial" w:hAnsi="Arial"/>
          <w:sz w:val="22"/>
          <w:szCs w:val="22"/>
        </w:rPr>
        <w:t xml:space="preserve"/>
      </w:r>
    </w:p>
    <w:p>
      <w:pPr>
        <w:spacing w:after="70" w:before="200"/>
      </w:pPr>
      <w:r>
        <w:rPr>
          <w:rFonts w:ascii="Arial" w:cs="Arial" w:eastAsia="Arial" w:hAnsi="Arial"/>
          <w:b/>
          <w:bCs/>
          <w:color w:val="06A67A"/>
          <w:sz w:val="22"/>
          <w:szCs w:val="22"/>
        </w:rPr>
        <w:t xml:space="preserve">How to Interpret This Score</w:t>
      </w:r>
    </w:p>
    <w:p>
      <w:pPr>
        <w:spacing w:after="140" w:before="0"/>
      </w:pPr>
      <w:r>
        <w:rPr>
          <w:rFonts w:ascii="Arial" w:cs="Arial" w:eastAsia="Arial" w:hAnsi="Arial"/>
          <w:color w:val="1A1A2E"/>
          <w:sz w:val="22"/>
          <w:szCs w:val="22"/>
        </w:rPr>
        <w:t xml:space="preserve">CDC PLACES 2022 release uses 2020 BRFSS survey data; CDC PLACES 2024 uses 2022 BRFSS data. A positive T2D or HTN trend value indicates that chronic disease burden in that county increased between those two survey years. Counties with growing burden have more undiagnosed patients entering the addressable pool each year — first-mover advantage is stronger in these markets. Trajectory carries the lowest dimension weight (5%) because it is directional context, not an independent disqualifying signal.</w:t>
      </w:r>
    </w:p>
    <w:p>
      <w:pPr>
        <w:spacing w:after="6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5.   DATA SOURCES</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SPPF uses seven publicly available government and foundation datasets. All data is downloaded programmatically from official sources and cached locally. No proprietary data, no vendor licenses, no API subscription fees are required.</w:t>
      </w:r>
    </w:p>
    <w:p>
      <w:pPr>
        <w:spacing w:after="10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1200"/>
        <w:gridCol w:w="3120"/>
      </w:tblGrid>
      <w:tr>
        <w:trPr>
          <w:tblHeader/>
        </w:trPr>
        <w:tc>
          <w:tcPr>
            <w:tcW w:type="dxa" w:w="2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Source</w:t>
            </w:r>
          </w:p>
        </w:tc>
        <w:tc>
          <w:tcPr>
            <w:tcW w:type="dxa" w:w="2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Publisher</w:t>
            </w:r>
          </w:p>
        </w:tc>
        <w:tc>
          <w:tcPr>
            <w:tcW w:type="dxa" w:w="1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Geography</w:t>
            </w:r>
          </w:p>
        </w:tc>
        <w:tc>
          <w:tcPr>
            <w:tcW w:type="dxa" w:w="1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Update Cadence</w:t>
            </w:r>
          </w:p>
        </w:tc>
        <w:tc>
          <w:tcPr>
            <w:tcW w:type="dxa" w:w="3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Variables</w:t>
            </w:r>
          </w:p>
        </w:tc>
      </w:tr>
      <w:tr>
        <w:tc>
          <w:tcPr>
            <w:tcW w:type="dxa" w:w="2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CDC PLACES 2024
(2022 BRFSS data)</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CDC / Robert Wood Johnson Foundation</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 + ZCTA</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Annual</w:t>
            </w:r>
          </w:p>
        </w:tc>
        <w:tc>
          <w:tcPr>
            <w:tcW w:type="dxa" w:w="3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Diabetes, obesity, hypertension, checkup, smoking prevalence rates</w:t>
            </w:r>
          </w:p>
        </w:tc>
      </w:tr>
      <w:tr>
        <w:tc>
          <w:tcPr>
            <w:tcW w:type="dxa" w:w="2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CDC PLACES 2022
(2020 BRFSS data)</w:t>
            </w:r>
          </w:p>
        </w:tc>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CDC / Robert Wood Johnson Foundation</w:t>
            </w:r>
          </w:p>
        </w:tc>
        <w:tc>
          <w:tcPr>
            <w:tcW w:type="dxa" w:w="1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 + ZCTA</w:t>
            </w:r>
          </w:p>
        </w:tc>
        <w:tc>
          <w:tcPr>
            <w:tcW w:type="dxa" w:w="1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Historical</w:t>
            </w:r>
          </w:p>
        </w:tc>
        <w:tc>
          <w:tcPr>
            <w:tcW w:type="dxa" w:w="3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Same measures — used for trajectory delta (prior year)</w:t>
            </w:r>
          </w:p>
        </w:tc>
      </w:tr>
      <w:tr>
        <w:tc>
          <w:tcPr>
            <w:tcW w:type="dxa" w:w="2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Census ACS 5-Year
(most recent release)</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US Census Bureau</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 + ZCTA</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Annual</w:t>
            </w:r>
          </w:p>
        </w:tc>
        <w:tc>
          <w:tcPr>
            <w:tcW w:type="dxa" w:w="3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Poverty, income, insurance, education, broadband, demographics, population</w:t>
            </w:r>
          </w:p>
        </w:tc>
      </w:tr>
      <w:tr>
        <w:tc>
          <w:tcPr>
            <w:tcW w:type="dxa" w:w="2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CMS Geographic
Variation PUF</w:t>
            </w:r>
          </w:p>
        </w:tc>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Centers for Medicare &amp; Medicaid</w:t>
            </w:r>
          </w:p>
        </w:tc>
        <w:tc>
          <w:tcPr>
            <w:tcW w:type="dxa" w:w="1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w:t>
            </w:r>
          </w:p>
        </w:tc>
        <w:tc>
          <w:tcPr>
            <w:tcW w:type="dxa" w:w="1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Annual</w:t>
            </w:r>
          </w:p>
        </w:tc>
        <w:tc>
          <w:tcPr>
            <w:tcW w:type="dxa" w:w="3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Medicare T2D and HTN diagnosis rates, Medicare Advantage penetration, beneficiary counts</w:t>
            </w:r>
          </w:p>
        </w:tc>
      </w:tr>
      <w:tr>
        <w:tc>
          <w:tcPr>
            <w:tcW w:type="dxa" w:w="2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HRSA HPSA
Database</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Health Resources &amp; Services Administration</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Quarterly</w:t>
            </w:r>
          </w:p>
        </w:tc>
        <w:tc>
          <w:tcPr>
            <w:tcW w:type="dxa" w:w="3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Primary care Health Professional Shortage Area designations, FQHC presence</w:t>
            </w:r>
          </w:p>
        </w:tc>
      </w:tr>
      <w:tr>
        <w:tc>
          <w:tcPr>
            <w:tcW w:type="dxa" w:w="2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 Health
Rankings (RWJ)</w:t>
            </w:r>
          </w:p>
        </w:tc>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Robert Wood Johnson Foundation</w:t>
            </w:r>
          </w:p>
        </w:tc>
        <w:tc>
          <w:tcPr>
            <w:tcW w:type="dxa" w:w="1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w:t>
            </w:r>
          </w:p>
        </w:tc>
        <w:tc>
          <w:tcPr>
            <w:tcW w:type="dxa" w:w="1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Annual</w:t>
            </w:r>
          </w:p>
        </w:tc>
        <w:tc>
          <w:tcPr>
            <w:tcW w:type="dxa" w:w="3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Primary care ratios, food insecurity, HS graduation rates, SDoH composites</w:t>
            </w:r>
          </w:p>
        </w:tc>
      </w:tr>
      <w:tr>
        <w:tc>
          <w:tcPr>
            <w:tcW w:type="dxa" w:w="2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USDA Food
Environment Atlas</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US Dept. of Agriculture (ERS)</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~3 years</w:t>
            </w:r>
          </w:p>
        </w:tc>
        <w:tc>
          <w:tcPr>
            <w:tcW w:type="dxa" w:w="3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Food desert designation (PCT_LACCESS_POP15), food insecurity rates, store access</w:t>
            </w:r>
          </w:p>
        </w:tc>
      </w:tr>
    </w:tbl>
    <w:p>
      <w:pPr>
        <w:spacing w:after="16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Data Quality and Coverage</w:t>
      </w:r>
    </w:p>
    <w:p>
      <w:pPr>
        <w:pStyle w:val="ListParagraph"/>
        <w:numPr>
          <w:ilvl w:val="0"/>
          <w:numId w:val="2"/>
        </w:numPr>
        <w:spacing w:after="70" w:before="0"/>
      </w:pPr>
      <w:r>
        <w:rPr>
          <w:rFonts w:ascii="Arial" w:cs="Arial" w:eastAsia="Arial" w:hAnsi="Arial"/>
          <w:b w:val="false"/>
          <w:bCs w:val="false"/>
          <w:color w:val="1A1A2E"/>
          <w:sz w:val="22"/>
          <w:szCs w:val="22"/>
        </w:rPr>
        <w:t xml:space="preserve">CDC PLACES county coverage: all 3,143 US counties and county equivalents, plus 33,774 ZCTAs.</w:t>
      </w:r>
    </w:p>
    <w:p>
      <w:pPr>
        <w:pStyle w:val="ListParagraph"/>
        <w:numPr>
          <w:ilvl w:val="0"/>
          <w:numId w:val="2"/>
        </w:numPr>
        <w:spacing w:after="70" w:before="0"/>
      </w:pPr>
      <w:r>
        <w:rPr>
          <w:rFonts w:ascii="Arial" w:cs="Arial" w:eastAsia="Arial" w:hAnsi="Arial"/>
          <w:b w:val="false"/>
          <w:bCs w:val="false"/>
          <w:color w:val="1A1A2E"/>
          <w:sz w:val="22"/>
          <w:szCs w:val="22"/>
        </w:rPr>
        <w:t xml:space="preserve">Census ACS: universal coverage for all counties and ZCTAs with sufficient population. Suppressed cells (small populations) are filled using state medians to preserve full coverage.</w:t>
      </w:r>
    </w:p>
    <w:p>
      <w:pPr>
        <w:pStyle w:val="ListParagraph"/>
        <w:numPr>
          <w:ilvl w:val="0"/>
          <w:numId w:val="2"/>
        </w:numPr>
        <w:spacing w:after="70" w:before="0"/>
      </w:pPr>
      <w:r>
        <w:rPr>
          <w:rFonts w:ascii="Arial" w:cs="Arial" w:eastAsia="Arial" w:hAnsi="Arial"/>
          <w:b w:val="false"/>
          <w:bCs w:val="false"/>
          <w:color w:val="1A1A2E"/>
          <w:sz w:val="22"/>
          <w:szCs w:val="22"/>
        </w:rPr>
        <w:t xml:space="preserve">CMS GV PUF: covers counties with ≥11 Medicare beneficiaries (effectively all counties). Suppressed values are filled with the state median.</w:t>
      </w:r>
    </w:p>
    <w:p>
      <w:pPr>
        <w:pStyle w:val="ListParagraph"/>
        <w:numPr>
          <w:ilvl w:val="0"/>
          <w:numId w:val="2"/>
        </w:numPr>
        <w:spacing w:after="70" w:before="0"/>
      </w:pPr>
      <w:r>
        <w:rPr>
          <w:rFonts w:ascii="Arial" w:cs="Arial" w:eastAsia="Arial" w:hAnsi="Arial"/>
          <w:b w:val="false"/>
          <w:bCs w:val="false"/>
          <w:color w:val="1A1A2E"/>
          <w:sz w:val="22"/>
          <w:szCs w:val="22"/>
        </w:rPr>
        <w:t xml:space="preserve">HRSA HPSA: binary flags derived from the Bureau of Health Workforce designation file. All counties with at least one active HPSA designation receive a flag = 1.</w:t>
      </w:r>
    </w:p>
    <w:p>
      <w:pPr>
        <w:pStyle w:val="ListParagraph"/>
        <w:numPr>
          <w:ilvl w:val="0"/>
          <w:numId w:val="2"/>
        </w:numPr>
        <w:spacing w:after="70" w:before="0"/>
      </w:pPr>
      <w:r>
        <w:rPr>
          <w:rFonts w:ascii="Arial" w:cs="Arial" w:eastAsia="Arial" w:hAnsi="Arial"/>
          <w:b w:val="false"/>
          <w:bCs w:val="false"/>
          <w:color w:val="1A1A2E"/>
          <w:sz w:val="22"/>
          <w:szCs w:val="22"/>
        </w:rPr>
        <w:t xml:space="preserve">County Health Rankings: 99%+ county coverage. Missing values filled with state medians.</w:t>
      </w:r>
    </w:p>
    <w:p>
      <w:pPr>
        <w:pStyle w:val="ListParagraph"/>
        <w:numPr>
          <w:ilvl w:val="0"/>
          <w:numId w:val="2"/>
        </w:numPr>
        <w:spacing w:after="70" w:before="0"/>
      </w:pPr>
      <w:r>
        <w:rPr>
          <w:rFonts w:ascii="Arial" w:cs="Arial" w:eastAsia="Arial" w:hAnsi="Arial"/>
          <w:b w:val="false"/>
          <w:bCs w:val="false"/>
          <w:color w:val="1A1A2E"/>
          <w:sz w:val="22"/>
          <w:szCs w:val="22"/>
        </w:rPr>
        <w:t xml:space="preserve">USDA Food Environment Atlas: county-level only; used directly for Social Determinants dimension.</w:t>
      </w:r>
    </w:p>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6.   COMPOSITE SCORING &amp; TIER ASSIGNMENT</w:t>
            </w:r>
          </w:p>
        </w:tc>
      </w:tr>
    </w:tbl>
    <w:p>
      <w:pPr>
        <w:spacing w:after="14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Composite Opportunity Score</w:t>
      </w:r>
    </w:p>
    <w:p>
      <w:pPr>
        <w:spacing w:after="140" w:before="0"/>
      </w:pPr>
      <w:r>
        <w:rPr>
          <w:rFonts w:ascii="Arial" w:cs="Arial" w:eastAsia="Arial" w:hAnsi="Arial"/>
          <w:color w:val="1A1A2E"/>
          <w:sz w:val="22"/>
          <w:szCs w:val="22"/>
        </w:rPr>
        <w:t xml:space="preserve">The composite Opportunity Score is a weighted linear combination of the seven dimension scores. Each dimension score is independently min-max normalized to [0, 100] within the national county sample before weighting.</w:t>
      </w:r>
    </w:p>
    <w:p>
      <w:pPr>
        <w:spacing w:after="8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EE4" w:sz="1"/>
              <w:left w:val="single" w:color="D8DEE4" w:sz="1"/>
              <w:bottom w:val="single" w:color="D8DEE4" w:sz="1"/>
              <w:right w:val="single" w:color="D8DEE4" w:sz="1"/>
            </w:tcBorders>
            <w:shd w:fill="F5F7FA" w:val="clear"/>
            <w:tcMar>
              <w:top w:type="dxa" w:w="160"/>
              <w:left w:type="dxa" w:w="300"/>
              <w:bottom w:type="dxa" w:w="160"/>
              <w:right w:type="dxa" w:w="300"/>
            </w:tcMar>
          </w:tcPr>
          <w:p>
            <w:pPr>
              <w:spacing w:after="60" w:before="0"/>
              <w:jc w:val="center"/>
            </w:pPr>
            <w:r>
              <w:rPr>
                <w:rFonts w:ascii="Arial" w:cs="Arial" w:eastAsia="Arial" w:hAnsi="Arial"/>
                <w:b/>
                <w:bCs/>
                <w:color w:val="1B3A5C"/>
                <w:sz w:val="24"/>
                <w:szCs w:val="24"/>
              </w:rPr>
              <w:t xml:space="preserve">Opportunity Score  =  </w:t>
            </w:r>
            <w:r>
              <w:rPr>
                <w:rFonts w:ascii="Arial" w:cs="Arial" w:eastAsia="Arial" w:hAnsi="Arial"/>
                <w:b/>
                <w:bCs/>
                <w:color w:val="E76F51"/>
                <w:sz w:val="24"/>
                <w:szCs w:val="24"/>
              </w:rPr>
              <w:t xml:space="preserve">0.20</w:t>
            </w:r>
            <w:r>
              <w:rPr>
                <w:rFonts w:ascii="Arial" w:cs="Arial" w:eastAsia="Arial" w:hAnsi="Arial"/>
                <w:sz w:val="24"/>
                <w:szCs w:val="24"/>
              </w:rPr>
              <w:t xml:space="preserve"> × Disease Burden  +  </w:t>
            </w:r>
            <w:r>
              <w:rPr>
                <w:rFonts w:ascii="Arial" w:cs="Arial" w:eastAsia="Arial" w:hAnsi="Arial"/>
                <w:b/>
                <w:bCs/>
                <w:color w:val="E63946"/>
                <w:sz w:val="24"/>
                <w:szCs w:val="24"/>
              </w:rPr>
              <w:t xml:space="preserve">0.25</w:t>
            </w:r>
            <w:r>
              <w:rPr>
                <w:rFonts w:ascii="Arial" w:cs="Arial" w:eastAsia="Arial" w:hAnsi="Arial"/>
                <w:sz w:val="24"/>
                <w:szCs w:val="24"/>
              </w:rPr>
              <w:t xml:space="preserve"> × Diagnosis Gap  +  </w:t>
            </w:r>
            <w:r>
              <w:rPr>
                <w:rFonts w:ascii="Arial" w:cs="Arial" w:eastAsia="Arial" w:hAnsi="Arial"/>
                <w:b/>
                <w:bCs/>
                <w:color w:val="2A9D8F"/>
                <w:sz w:val="24"/>
                <w:szCs w:val="24"/>
              </w:rPr>
              <w:t xml:space="preserve">0.15</w:t>
            </w:r>
            <w:r>
              <w:rPr>
                <w:rFonts w:ascii="Arial" w:cs="Arial" w:eastAsia="Arial" w:hAnsi="Arial"/>
                <w:sz w:val="24"/>
                <w:szCs w:val="24"/>
              </w:rPr>
              <w:t xml:space="preserve"> × Access to Care</w:t>
            </w:r>
          </w:p>
        </w:tc>
      </w:tr>
    </w:tbl>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D8DEE4" w:sz="1"/>
              <w:bottom w:val="single" w:color="D8DEE4" w:sz="1"/>
              <w:right w:val="single" w:color="D8DEE4" w:sz="1"/>
            </w:tcBorders>
            <w:shd w:fill="F5F7FA" w:val="clear"/>
            <w:tcMar>
              <w:top w:type="dxa" w:w="0"/>
              <w:left w:type="dxa" w:w="300"/>
              <w:bottom w:type="dxa" w:w="160"/>
              <w:right w:type="dxa" w:w="300"/>
            </w:tcMar>
          </w:tcPr>
          <w:p>
            <w:pPr>
              <w:spacing w:after="0" w:before="0"/>
              <w:jc w:val="center"/>
            </w:pPr>
            <w:r>
              <w:rPr>
                <w:rFonts w:ascii="Arial" w:cs="Arial" w:eastAsia="Arial" w:hAnsi="Arial"/>
                <w:sz w:val="24"/>
                <w:szCs w:val="24"/>
              </w:rPr>
              <w:t xml:space="preserve">  +  </w:t>
            </w:r>
            <w:r>
              <w:rPr>
                <w:rFonts w:ascii="Arial" w:cs="Arial" w:eastAsia="Arial" w:hAnsi="Arial"/>
                <w:b/>
                <w:bCs/>
                <w:color w:val="F4A261"/>
                <w:sz w:val="24"/>
                <w:szCs w:val="24"/>
              </w:rPr>
              <w:t xml:space="preserve">0.15</w:t>
            </w:r>
            <w:r>
              <w:rPr>
                <w:rFonts w:ascii="Arial" w:cs="Arial" w:eastAsia="Arial" w:hAnsi="Arial"/>
                <w:sz w:val="24"/>
                <w:szCs w:val="24"/>
              </w:rPr>
              <w:t xml:space="preserve"> × Social Determinants  +  </w:t>
            </w:r>
            <w:r>
              <w:rPr>
                <w:rFonts w:ascii="Arial" w:cs="Arial" w:eastAsia="Arial" w:hAnsi="Arial"/>
                <w:b/>
                <w:bCs/>
                <w:color w:val="457B9D"/>
                <w:sz w:val="24"/>
                <w:szCs w:val="24"/>
              </w:rPr>
              <w:t xml:space="preserve">0.10</w:t>
            </w:r>
            <w:r>
              <w:rPr>
                <w:rFonts w:ascii="Arial" w:cs="Arial" w:eastAsia="Arial" w:hAnsi="Arial"/>
                <w:sz w:val="24"/>
                <w:szCs w:val="24"/>
              </w:rPr>
              <w:t xml:space="preserve"> × Payer Landscape  +  </w:t>
            </w:r>
            <w:r>
              <w:rPr>
                <w:rFonts w:ascii="Arial" w:cs="Arial" w:eastAsia="Arial" w:hAnsi="Arial"/>
                <w:b/>
                <w:bCs/>
                <w:color w:val="8338EC"/>
                <w:sz w:val="24"/>
                <w:szCs w:val="24"/>
              </w:rPr>
              <w:t xml:space="preserve">0.10</w:t>
            </w:r>
            <w:r>
              <w:rPr>
                <w:rFonts w:ascii="Arial" w:cs="Arial" w:eastAsia="Arial" w:hAnsi="Arial"/>
                <w:sz w:val="24"/>
                <w:szCs w:val="24"/>
              </w:rPr>
              <w:t xml:space="preserve"> × Commercial Readiness  +  </w:t>
            </w:r>
            <w:r>
              <w:rPr>
                <w:rFonts w:ascii="Arial" w:cs="Arial" w:eastAsia="Arial" w:hAnsi="Arial"/>
                <w:b/>
                <w:bCs/>
                <w:color w:val="06A67A"/>
                <w:sz w:val="24"/>
                <w:szCs w:val="24"/>
              </w:rPr>
              <w:t xml:space="preserve">0.05</w:t>
            </w:r>
            <w:r>
              <w:rPr>
                <w:rFonts w:ascii="Arial" w:cs="Arial" w:eastAsia="Arial" w:hAnsi="Arial"/>
                <w:sz w:val="24"/>
                <w:szCs w:val="24"/>
              </w:rPr>
              <w:t xml:space="preserve"> × Trajectory</w:t>
            </w:r>
          </w:p>
        </w:tc>
      </w:tr>
    </w:tbl>
    <w:p>
      <w:pPr>
        <w:spacing w:after="14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Tier Assignment</w:t>
      </w:r>
    </w:p>
    <w:p>
      <w:pPr>
        <w:spacing w:after="140" w:before="0"/>
      </w:pPr>
      <w:r>
        <w:rPr>
          <w:rFonts w:ascii="Arial" w:cs="Arial" w:eastAsia="Arial" w:hAnsi="Arial"/>
          <w:color w:val="1A1A2E"/>
          <w:sz w:val="22"/>
          <w:szCs w:val="22"/>
        </w:rPr>
        <w:t xml:space="preserve">The composite score is mapped to three priority tiers calibrated against the national distribution of scored counties: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520"/>
      </w:tblGrid>
      <w:tr>
        <w:trPr>
          <w:tblHeader/>
        </w:trPr>
        <w:tc>
          <w:tcPr>
            <w:tcW w:type="dxa" w:w="1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Tier</w:t>
            </w:r>
          </w:p>
        </w:tc>
        <w:tc>
          <w:tcPr>
            <w:tcW w:type="dxa" w:w="1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Score Range</w:t>
            </w:r>
          </w:p>
        </w:tc>
        <w:tc>
          <w:tcPr>
            <w:tcW w:type="dxa" w:w="2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Approximate Percentile</w:t>
            </w:r>
          </w:p>
        </w:tc>
        <w:tc>
          <w:tcPr>
            <w:tcW w:type="dxa" w:w="45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Interpretation</w:t>
            </w:r>
          </w:p>
        </w:tc>
      </w:tr>
      <w:tr>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 Priority</w:t>
            </w:r>
          </w:p>
        </w:tc>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 55</w:t>
            </w:r>
          </w:p>
        </w:tc>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Top ~0.3% of counties</w:t>
            </w:r>
          </w:p>
        </w:tc>
        <w:tc>
          <w:tcPr>
            <w:tcW w:type="dxa" w:w="45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Highest multi-dimensional need confirmed by multiple real data sources. First deployment focus.</w:t>
            </w:r>
          </w:p>
        </w:tc>
      </w:tr>
      <w:tr>
        <w:tc>
          <w:tcPr>
            <w:tcW w:type="dxa" w:w="1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 Emerging</w:t>
            </w:r>
          </w:p>
        </w:tc>
        <w:tc>
          <w:tcPr>
            <w:tcW w:type="dxa" w:w="1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40 – 54</w:t>
            </w:r>
          </w:p>
        </w:tc>
        <w:tc>
          <w:tcPr>
            <w:tcW w:type="dxa" w:w="2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Top 10–30% of counties</w:t>
            </w:r>
          </w:p>
        </w:tc>
        <w:tc>
          <w:tcPr>
            <w:tcW w:type="dxa" w:w="45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Meaningful opportunity; monitor for program expansion or new data updates.</w:t>
            </w:r>
          </w:p>
        </w:tc>
      </w:tr>
      <w:tr>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 Developing</w:t>
            </w:r>
          </w:p>
        </w:tc>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&lt; 40</w:t>
            </w:r>
          </w:p>
        </w:tc>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Below national median</w:t>
            </w:r>
          </w:p>
        </w:tc>
        <w:tc>
          <w:tcPr>
            <w:tcW w:type="dxa" w:w="45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Lower near-term priority; still scored and rankable for completeness.</w:t>
            </w:r>
          </w:p>
        </w:tc>
      </w:tr>
    </w:tbl>
    <w:p>
      <w:pPr>
        <w:spacing w:after="14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Score Calibration</w:t>
      </w:r>
    </w:p>
    <w:p>
      <w:pPr>
        <w:spacing w:after="140" w:before="0"/>
      </w:pPr>
      <w:r>
        <w:rPr>
          <w:rFonts w:ascii="Arial" w:cs="Arial" w:eastAsia="Arial" w:hAnsi="Arial"/>
          <w:color w:val="1A1A2E"/>
          <w:sz w:val="22"/>
          <w:szCs w:val="22"/>
        </w:rPr>
        <w:t xml:space="preserve">Scores are calibrated against the national county distribution. The maximum observed composite score is approximately 61–62 (no county achieves a perfect 100 because no geography is simultaneously at the 100th percentile on all seven dimensions). The Priority threshold of 55 was set to identify the top 0.3% of counties — approximately 9–10 counties — where every major dimension signal converges.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B3A5C"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Score interpretation is relative, not absolute. A score of 45 does not mean the county has 45% of the theoretical maximum opportunity — it means the county is at approximately the 45th percentile nationally on the composite framework.</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7.   POOL SIZE ESTIMATION</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For each county and ZIP, SPPF estimates the absolute size of the undiagnosed patient pool based on published national undiagnosed rates applied to county adult population figures from the Census ACS.</w:t>
      </w:r>
    </w:p>
    <w:p>
      <w:pPr>
        <w:spacing w:after="8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720"/>
      </w:tblGrid>
      <w:tr>
        <w:trPr>
          <w:tblHeader/>
        </w:trPr>
        <w:tc>
          <w:tcPr>
            <w:tcW w:type="dxa" w:w="2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Condition</w:t>
            </w:r>
          </w:p>
        </w:tc>
        <w:tc>
          <w:tcPr>
            <w:tcW w:type="dxa" w:w="2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Undiagnosed Rate Applied</w:t>
            </w:r>
          </w:p>
        </w:tc>
        <w:tc>
          <w:tcPr>
            <w:tcW w:type="dxa" w:w="2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Population Base</w:t>
            </w:r>
          </w:p>
        </w:tc>
        <w:tc>
          <w:tcPr>
            <w:tcW w:type="dxa" w:w="27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Source</w:t>
            </w:r>
          </w:p>
        </w:tc>
      </w:tr>
      <w:tr>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Type 2 Diabetes</w:t>
            </w:r>
          </w:p>
        </w:tc>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23.1% of adult population</w:t>
            </w:r>
          </w:p>
        </w:tc>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18+ Census ACS population estimate</w:t>
            </w:r>
          </w:p>
        </w:tc>
        <w:tc>
          <w:tcPr>
            <w:tcW w:type="dxa" w:w="27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ADA National Diabetes Statistics Report 2022</w:t>
            </w:r>
          </w:p>
        </w:tc>
      </w:tr>
      <w:tr>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Hypertension</w:t>
            </w:r>
          </w:p>
        </w:tc>
        <w:tc>
          <w:tcPr>
            <w:tcW w:type="dxa" w:w="2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27.0% of adult population</w:t>
            </w:r>
          </w:p>
        </w:tc>
        <w:tc>
          <w:tcPr>
            <w:tcW w:type="dxa" w:w="2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18+ Census ACS population estimate</w:t>
            </w:r>
          </w:p>
        </w:tc>
        <w:tc>
          <w:tcPr>
            <w:tcW w:type="dxa" w:w="27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AHA Heart Disease and Stroke Statistics 2023</w:t>
            </w:r>
          </w:p>
        </w:tc>
      </w:tr>
      <w:tr>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Hypothyroidism</w:t>
            </w:r>
          </w:p>
        </w:tc>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50.0% of adult population</w:t>
            </w:r>
          </w:p>
        </w:tc>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18+ Census ACS population estimate</w:t>
            </w:r>
          </w:p>
        </w:tc>
        <w:tc>
          <w:tcPr>
            <w:tcW w:type="dxa" w:w="27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American Thyroid Association / clinical literature</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Pool estimates are intended for relative market sizing and program planning — not for clinical or regulatory filings. Actual undiagnosed rates vary by county based on demographic composition, care access, and screening history. The published national rates are applied uniformly as a conservative baseline.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B3A5C"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Pool size should be interpreted alongside the Opportunity Score: a county with 50,000 estimated undiagnosed T2D patients and a score of 35 is a different market than one with 12,000 estimated patients and a score of 58. The score measures reachability and gap depth; pool size measures absolute addressable volume.</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8.   ZIP &amp; TERRITORY ANALYSIS</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The ZIP &amp; Territory view extends county-level intelligence to the sub-county geography used by field teams, payer network maps, and provider organizations. SPPF scores all 33,774 US ZIP Code Tabulation Areas (ZCTAs) across the same seven dimensions as counties, enabling field teams to define custom territories and receive instant scorecard outputs.</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ZIP Scoring Methodology</w:t>
      </w:r>
    </w:p>
    <w:p>
      <w:pPr>
        <w:pStyle w:val="ListParagraph"/>
        <w:numPr>
          <w:ilvl w:val="0"/>
          <w:numId w:val="2"/>
        </w:numPr>
        <w:spacing w:after="70" w:before="0"/>
      </w:pPr>
      <w:r>
        <w:rPr>
          <w:rFonts w:ascii="Arial" w:cs="Arial" w:eastAsia="Arial" w:hAnsi="Arial"/>
          <w:b/>
          <w:bCs/>
          <w:color w:val="1A1A2E"/>
          <w:sz w:val="22"/>
          <w:szCs w:val="22"/>
        </w:rPr>
        <w:t xml:space="preserve">Disease Burden and Social Determinants use real CDC PLACES and Census ACS ZCTA-level data, where available. CDC PLACES publishes chronic disease prevalence at the ZCTA level for all 33,774 ZCTAs as part of the PLACES 2024 release.</w:t>
      </w:r>
    </w:p>
    <w:p>
      <w:pPr>
        <w:pStyle w:val="ListParagraph"/>
        <w:numPr>
          <w:ilvl w:val="0"/>
          <w:numId w:val="2"/>
        </w:numPr>
        <w:spacing w:after="70" w:before="0"/>
      </w:pPr>
      <w:r>
        <w:rPr>
          <w:rFonts w:ascii="Arial" w:cs="Arial" w:eastAsia="Arial" w:hAnsi="Arial"/>
          <w:b/>
          <w:bCs/>
          <w:color w:val="1A1A2E"/>
          <w:sz w:val="22"/>
          <w:szCs w:val="22"/>
        </w:rPr>
        <w:t xml:space="preserve">For dimensions where ZCTA-level source data is not available (Payer Landscape, Commercial Readiness, Trajectory, and where county-level Access to Care data is more reliable), county-level dimension scores are downscaled to ZCTA level using a population-weighted Census 2020 ZCTA-to-county crosswalk. ZCTAs spanning multiple counties receive a population-weighted blend of their constituent county scores.</w:t>
      </w:r>
    </w:p>
    <w:p>
      <w:pPr>
        <w:pStyle w:val="ListParagraph"/>
        <w:numPr>
          <w:ilvl w:val="0"/>
          <w:numId w:val="2"/>
        </w:numPr>
        <w:spacing w:after="70" w:before="0"/>
      </w:pPr>
      <w:r>
        <w:rPr>
          <w:rFonts w:ascii="Arial" w:cs="Arial" w:eastAsia="Arial" w:hAnsi="Arial"/>
          <w:b/>
          <w:bCs/>
          <w:color w:val="1A1A2E"/>
          <w:sz w:val="22"/>
          <w:szCs w:val="22"/>
        </w:rPr>
        <w:t xml:space="preserve">ZIP centroids (latitude/longitude) are sourced from the Census Bureau Gazetteer ZCTA file, enabling geographic mapping of all 33,774 ZCTAs on a Plotly scatter_geo map using the Albers USA projection.</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Territory Builder</w:t>
      </w:r>
    </w:p>
    <w:p>
      <w:pPr>
        <w:spacing w:after="140" w:before="0"/>
      </w:pPr>
      <w:r>
        <w:rPr>
          <w:rFonts w:ascii="Arial" w:cs="Arial" w:eastAsia="Arial" w:hAnsi="Arial"/>
          <w:color w:val="1A1A2E"/>
          <w:sz w:val="22"/>
          <w:szCs w:val="22"/>
        </w:rPr>
        <w:t xml:space="preserve">The Territory Builder allows field teams to define a custom geography by pasting a list of ZIP codes. The tool immediately aggregates the individual ZIP scores into a territory-level scorecard:</w:t>
      </w:r>
    </w:p>
    <w:p>
      <w:pPr>
        <w:pStyle w:val="ListParagraph"/>
        <w:numPr>
          <w:ilvl w:val="0"/>
          <w:numId w:val="2"/>
        </w:numPr>
        <w:spacing w:after="70" w:before="0"/>
      </w:pPr>
      <w:r>
        <w:rPr>
          <w:rFonts w:ascii="Arial" w:cs="Arial" w:eastAsia="Arial" w:hAnsi="Arial"/>
          <w:b w:val="false"/>
          <w:bCs w:val="false"/>
          <w:color w:val="1A1A2E"/>
          <w:sz w:val="22"/>
          <w:szCs w:val="22"/>
        </w:rPr>
        <w:t xml:space="preserve">Median Opportunity Score across all ZIPs in the territory</w:t>
      </w:r>
    </w:p>
    <w:p>
      <w:pPr>
        <w:pStyle w:val="ListParagraph"/>
        <w:numPr>
          <w:ilvl w:val="0"/>
          <w:numId w:val="2"/>
        </w:numPr>
        <w:spacing w:after="70" w:before="0"/>
      </w:pPr>
      <w:r>
        <w:rPr>
          <w:rFonts w:ascii="Arial" w:cs="Arial" w:eastAsia="Arial" w:hAnsi="Arial"/>
          <w:b w:val="false"/>
          <w:bCs w:val="false"/>
          <w:color w:val="1A1A2E"/>
          <w:sz w:val="22"/>
          <w:szCs w:val="22"/>
        </w:rPr>
        <w:t xml:space="preserve">Estimated total undiagnosed patient pool (sum across all ZIPs)</w:t>
      </w:r>
    </w:p>
    <w:p>
      <w:pPr>
        <w:pStyle w:val="ListParagraph"/>
        <w:numPr>
          <w:ilvl w:val="0"/>
          <w:numId w:val="2"/>
        </w:numPr>
        <w:spacing w:after="70" w:before="0"/>
      </w:pPr>
      <w:r>
        <w:rPr>
          <w:rFonts w:ascii="Arial" w:cs="Arial" w:eastAsia="Arial" w:hAnsi="Arial"/>
          <w:b w:val="false"/>
          <w:bCs w:val="false"/>
          <w:color w:val="1A1A2E"/>
          <w:sz w:val="22"/>
          <w:szCs w:val="22"/>
        </w:rPr>
        <w:t xml:space="preserve">Dimension radar chart showing how the territory performs vs. the national ZCTA average on each of the seven dimensions</w:t>
      </w:r>
    </w:p>
    <w:p>
      <w:pPr>
        <w:pStyle w:val="ListParagraph"/>
        <w:numPr>
          <w:ilvl w:val="0"/>
          <w:numId w:val="2"/>
        </w:numPr>
        <w:spacing w:after="70" w:before="0"/>
      </w:pPr>
      <w:r>
        <w:rPr>
          <w:rFonts w:ascii="Arial" w:cs="Arial" w:eastAsia="Arial" w:hAnsi="Arial"/>
          <w:b w:val="false"/>
          <w:bCs w:val="false"/>
          <w:color w:val="1A1A2E"/>
          <w:sz w:val="22"/>
          <w:szCs w:val="22"/>
        </w:rPr>
        <w:t xml:space="preserve">Intervention breakdown — proportion of ZIPs in the territory recommended for each of the five program types</w:t>
      </w:r>
    </w:p>
    <w:p>
      <w:pPr>
        <w:pStyle w:val="ListParagraph"/>
        <w:numPr>
          <w:ilvl w:val="0"/>
          <w:numId w:val="2"/>
        </w:numPr>
        <w:spacing w:after="70" w:before="0"/>
      </w:pPr>
      <w:r>
        <w:rPr>
          <w:rFonts w:ascii="Arial" w:cs="Arial" w:eastAsia="Arial" w:hAnsi="Arial"/>
          <w:b w:val="false"/>
          <w:bCs w:val="false"/>
          <w:color w:val="1A1A2E"/>
          <w:sz w:val="22"/>
          <w:szCs w:val="22"/>
        </w:rPr>
        <w:t xml:space="preserve">Per-ZIP ranked table exportable as CSV for rep briefing or payer conversation</w:t>
      </w:r>
    </w:p>
    <w:p>
      <w:pPr>
        <w:spacing w:after="8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457B9D"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The Territory Builder is the primary field-facing tool. It converts the platform's analytical output into a format a medical science liaison or account manager can use in a payer conversation: here is our territory, here is the aggregate patient pool, here is why a Payer Partnership program is the right intervention, and here is the ZIP-level data that supports it.</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9.   INTERVENTION RECOMMENDATION ENGINE</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For every county and ZIP, SPPF recommends one of five intervention program types based on the dimensional profile. The recommendation is rule-based and fully transparent — it applies a priority-ordered decision tree to the county's dimension scores and payer/demographic attributes.</w:t>
      </w:r>
    </w:p>
    <w:p>
      <w:pPr>
        <w:spacing w:after="8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720"/>
      </w:tblGrid>
      <w:tr>
        <w:trPr>
          <w:tblHeader/>
        </w:trPr>
        <w:tc>
          <w:tcPr>
            <w:tcW w:type="dxa" w:w="2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Program Type</w:t>
            </w:r>
          </w:p>
        </w:tc>
        <w:tc>
          <w:tcPr>
            <w:tcW w:type="dxa" w:w="2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Trigger Criteria</w:t>
            </w:r>
          </w:p>
        </w:tc>
        <w:tc>
          <w:tcPr>
            <w:tcW w:type="dxa" w:w="47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Payer Partnership Program</w:t>
            </w:r>
          </w:p>
        </w:tc>
        <w:tc>
          <w:tcPr>
            <w:tcW w:type="dxa" w:w="28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Payer score ≥65 AND MA penetration ≥35%</w:t>
            </w:r>
          </w:p>
        </w:tc>
        <w:tc>
          <w:tcPr>
            <w:tcW w:type="dxa" w:w="47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MA plan has Stars incentives to fund patient identification; pitch closes at a plan level, not a provider level.</w:t>
            </w:r>
          </w:p>
        </w:tc>
      </w:tr>
      <w:tr>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Community Health Center Partnership</w:t>
            </w:r>
          </w:p>
        </w:tc>
        <w:tc>
          <w:tcPr>
            <w:tcW w:type="dxa" w:w="28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Social Determinants score ≥65 AND Access score ≤45</w:t>
            </w:r>
          </w:p>
        </w:tc>
        <w:tc>
          <w:tcPr>
            <w:tcW w:type="dxa" w:w="47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High-SDoH, low-access counties need FQHC or community health org as the delivery vehicle. Payer or retail channels will not reach these patients.</w:t>
            </w:r>
          </w:p>
        </w:tc>
      </w:tr>
      <w:tr>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Employer Wellness Program</w:t>
            </w:r>
          </w:p>
        </w:tc>
        <w:tc>
          <w:tcPr>
            <w:tcW w:type="dxa" w:w="28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Commercial rate ≥45% AND non-rural</w:t>
            </w:r>
          </w:p>
        </w:tc>
        <w:tc>
          <w:tcPr>
            <w:tcW w:type="dxa" w:w="47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Commercially insured suburban counties have large self-insured employers who pay directly for outcomes. ROI calculation is straightforward.</w:t>
            </w:r>
          </w:p>
        </w:tc>
      </w:tr>
      <w:tr>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Digital Health Program</w:t>
            </w:r>
          </w:p>
        </w:tc>
        <w:tc>
          <w:tcPr>
            <w:tcW w:type="dxa" w:w="28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Broadband ≥75% AND commercial rate ≥40%</w:t>
            </w:r>
          </w:p>
        </w:tc>
        <w:tc>
          <w:tcPr>
            <w:tcW w:type="dxa" w:w="47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Digitally connected, commercially insured markets. Telehealth, CGM-connected screening, and app-based navigation are operationally feasible.</w:t>
            </w:r>
          </w:p>
        </w:tc>
      </w:tr>
      <w:tr>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Pharmacy-Based Screening</w:t>
            </w:r>
          </w:p>
        </w:tc>
        <w:tc>
          <w:tcPr>
            <w:tcW w:type="dxa" w:w="28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Default (all other counties)</w:t>
            </w:r>
          </w:p>
        </w:tc>
        <w:tc>
          <w:tcPr>
            <w:tcW w:type="dxa" w:w="47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Retail pharmacy is the highest-density access point in the remaining market. CVS/Walgreens/Walmart partnerships for in-store A1C or blood pressure screening.</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Recommendations are applied in priority order: a county meeting Payer Partnership criteria receives that recommendation regardless of whether it also qualifies for Digital Health. The decision tree prioritizes the highest-leverage intervention — payer funding produces the most scalable and sustainable programs.</w:t>
      </w:r>
    </w:p>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10.   LIMITATIONS &amp; DATA NOTES</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SPPF is designed for strategic market planning and program prioritization. Users should be aware of the following limitations:</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Data Currency</w:t>
      </w:r>
    </w:p>
    <w:p>
      <w:pPr>
        <w:pStyle w:val="ListParagraph"/>
        <w:numPr>
          <w:ilvl w:val="0"/>
          <w:numId w:val="2"/>
        </w:numPr>
        <w:spacing w:after="70" w:before="0"/>
      </w:pPr>
      <w:r>
        <w:rPr>
          <w:rFonts w:ascii="Arial" w:cs="Arial" w:eastAsia="Arial" w:hAnsi="Arial"/>
          <w:b w:val="false"/>
          <w:bCs w:val="false"/>
          <w:color w:val="1A1A2E"/>
          <w:sz w:val="22"/>
          <w:szCs w:val="22"/>
        </w:rPr>
        <w:t xml:space="preserve">CDC PLACES 2024 uses 2022 BRFSS survey data. There is approximately a 2-year lag between the survey period and public release. Rapidly changing county conditions (e.g., post-pandemic healthcare disruption) may not be fully reflected.</w:t>
      </w:r>
    </w:p>
    <w:p>
      <w:pPr>
        <w:pStyle w:val="ListParagraph"/>
        <w:numPr>
          <w:ilvl w:val="0"/>
          <w:numId w:val="2"/>
        </w:numPr>
        <w:spacing w:after="70" w:before="0"/>
      </w:pPr>
      <w:r>
        <w:rPr>
          <w:rFonts w:ascii="Arial" w:cs="Arial" w:eastAsia="Arial" w:hAnsi="Arial"/>
          <w:b w:val="false"/>
          <w:bCs w:val="false"/>
          <w:color w:val="1A1A2E"/>
          <w:sz w:val="22"/>
          <w:szCs w:val="22"/>
        </w:rPr>
        <w:t xml:space="preserve">CMS GV PUF data covers Medicare beneficiaries only (primarily 65+). It is used as a proxy for the broader adult population but does not directly measure undiagnosed rates in working-age adults or Medicaid populations.</w:t>
      </w:r>
    </w:p>
    <w:p>
      <w:pPr>
        <w:pStyle w:val="ListParagraph"/>
        <w:numPr>
          <w:ilvl w:val="0"/>
          <w:numId w:val="2"/>
        </w:numPr>
        <w:spacing w:after="70" w:before="0"/>
      </w:pPr>
      <w:r>
        <w:rPr>
          <w:rFonts w:ascii="Arial" w:cs="Arial" w:eastAsia="Arial" w:hAnsi="Arial"/>
          <w:b w:val="false"/>
          <w:bCs w:val="false"/>
          <w:color w:val="1A1A2E"/>
          <w:sz w:val="22"/>
          <w:szCs w:val="22"/>
        </w:rPr>
        <w:t xml:space="preserve">USDA Food Environment Atlas updates approximately every 3 years. The most recent full release may lag current food retail conditions in counties with recent store openings or closures.</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Scoring Methodology Notes</w:t>
      </w:r>
    </w:p>
    <w:p>
      <w:pPr>
        <w:pStyle w:val="ListParagraph"/>
        <w:numPr>
          <w:ilvl w:val="0"/>
          <w:numId w:val="2"/>
        </w:numPr>
        <w:spacing w:after="70" w:before="0"/>
      </w:pPr>
      <w:r>
        <w:rPr>
          <w:rFonts w:ascii="Arial" w:cs="Arial" w:eastAsia="Arial" w:hAnsi="Arial"/>
          <w:b w:val="false"/>
          <w:bCs w:val="false"/>
          <w:color w:val="1A1A2E"/>
          <w:sz w:val="22"/>
          <w:szCs w:val="22"/>
        </w:rPr>
        <w:t xml:space="preserve">All dimension scores are relative (min-max normalized within the national sample). Adding new counties or refreshing data will shift all scores simultaneously — do not compare absolute scores across pipeline runs with different data vintages.</w:t>
      </w:r>
    </w:p>
    <w:p>
      <w:pPr>
        <w:pStyle w:val="ListParagraph"/>
        <w:numPr>
          <w:ilvl w:val="0"/>
          <w:numId w:val="2"/>
        </w:numPr>
        <w:spacing w:after="70" w:before="0"/>
      </w:pPr>
      <w:r>
        <w:rPr>
          <w:rFonts w:ascii="Arial" w:cs="Arial" w:eastAsia="Arial" w:hAnsi="Arial"/>
          <w:b w:val="false"/>
          <w:bCs w:val="false"/>
          <w:color w:val="1A1A2E"/>
          <w:sz w:val="22"/>
          <w:szCs w:val="22"/>
        </w:rPr>
        <w:t xml:space="preserve">The Diagnosis Gap dimension uses CMS Medicare diagnosis rates as a proxy for population-wide diagnosis gaps. Medicare (65+) populations may behave differently from working-age adults with employer coverage.</w:t>
      </w:r>
    </w:p>
    <w:p>
      <w:pPr>
        <w:pStyle w:val="ListParagraph"/>
        <w:numPr>
          <w:ilvl w:val="0"/>
          <w:numId w:val="2"/>
        </w:numPr>
        <w:spacing w:after="70" w:before="0"/>
      </w:pPr>
      <w:r>
        <w:rPr>
          <w:rFonts w:ascii="Arial" w:cs="Arial" w:eastAsia="Arial" w:hAnsi="Arial"/>
          <w:b w:val="false"/>
          <w:bCs w:val="false"/>
          <w:color w:val="1A1A2E"/>
          <w:sz w:val="22"/>
          <w:szCs w:val="22"/>
        </w:rPr>
        <w:t xml:space="preserve">ZIP/ZCTA scores for Payer Landscape, Commercial Readiness, and Trajectory are downscaled from county-level data. ZCTAs that span county boundaries receive a blended score that may not reflect sub-county variation in these dimensions.</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Use Case Boundaries</w:t>
      </w:r>
    </w:p>
    <w:p>
      <w:pPr>
        <w:pStyle w:val="ListParagraph"/>
        <w:numPr>
          <w:ilvl w:val="0"/>
          <w:numId w:val="2"/>
        </w:numPr>
        <w:spacing w:after="70" w:before="0"/>
      </w:pPr>
      <w:r>
        <w:rPr>
          <w:rFonts w:ascii="Arial" w:cs="Arial" w:eastAsia="Arial" w:hAnsi="Arial"/>
          <w:b w:val="false"/>
          <w:bCs w:val="false"/>
          <w:color w:val="1A1A2E"/>
          <w:sz w:val="22"/>
          <w:szCs w:val="22"/>
        </w:rPr>
        <w:t xml:space="preserve">SPPF outputs are intended for strategic market access planning, territory design, and payer partnership development. They are not intended for individual patient identification, clinical decision support, or regulatory submissions.</w:t>
      </w:r>
    </w:p>
    <w:p>
      <w:pPr>
        <w:pStyle w:val="ListParagraph"/>
        <w:numPr>
          <w:ilvl w:val="0"/>
          <w:numId w:val="2"/>
        </w:numPr>
        <w:spacing w:after="70" w:before="0"/>
      </w:pPr>
      <w:r>
        <w:rPr>
          <w:rFonts w:ascii="Arial" w:cs="Arial" w:eastAsia="Arial" w:hAnsi="Arial"/>
          <w:b w:val="false"/>
          <w:bCs w:val="false"/>
          <w:color w:val="1A1A2E"/>
          <w:sz w:val="22"/>
          <w:szCs w:val="22"/>
        </w:rPr>
        <w:t xml:space="preserve">Pool size estimates use published national undiagnosed rates applied uniformly. Actual county-level rates will vary based on factors not captured in publicly available data.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B3A5C"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Questions about the methodology, data sources, or scoring design should be directed to the Market Access Analytics team. The scoring pipeline is open-source within the organization and the full code is available for independent verification.</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APPENDIX:   DIMENSION WEIGHT REFERENCE</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The following table summarizes the complete dimension framework including weights, data sources, and the strategic question each dimension is designed to answer.</w:t>
      </w:r>
    </w:p>
    <w:p>
      <w:pPr>
        <w:spacing w:after="8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2680"/>
        <w:gridCol w:w="3540"/>
      </w:tblGrid>
      <w:tr>
        <w:trPr>
          <w:tblHeader/>
        </w:trPr>
        <w:tc>
          <w:tcPr>
            <w:tcW w:type="dxa" w:w="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2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w:t>
            </w:r>
          </w:p>
        </w:tc>
        <w:tc>
          <w:tcPr>
            <w:tcW w:type="dxa" w:w="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Weight</w:t>
            </w:r>
          </w:p>
        </w:tc>
        <w:tc>
          <w:tcPr>
            <w:tcW w:type="dxa" w:w="268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Primary Sources</w:t>
            </w:r>
          </w:p>
        </w:tc>
        <w:tc>
          <w:tcPr>
            <w:tcW w:type="dxa" w:w="354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Strategic Question</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Disease Burden</w:t>
            </w:r>
          </w:p>
        </w:tc>
        <w:tc>
          <w:tcPr>
            <w:tcW w:type="dxa" w:w="9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20%</w:t>
            </w:r>
          </w:p>
        </w:tc>
        <w:tc>
          <w:tcPr>
            <w:tcW w:type="dxa" w:w="268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CDC PLACES 2024, Census ACS</w:t>
            </w:r>
          </w:p>
        </w:tc>
        <w:tc>
          <w:tcPr>
            <w:tcW w:type="dxa" w:w="354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How big is the undiagnosed opportunity here?</w:t>
            </w:r>
          </w:p>
        </w:tc>
      </w:tr>
      <w:tr>
        <w:tc>
          <w:tcPr>
            <w:tcW w:type="dxa" w:w="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w:t>
            </w:r>
          </w:p>
        </w:tc>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Diagnosis Gap</w:t>
            </w:r>
          </w:p>
        </w:tc>
        <w:tc>
          <w:tcPr>
            <w:tcW w:type="dxa" w:w="9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25%</w:t>
            </w:r>
          </w:p>
        </w:tc>
        <w:tc>
          <w:tcPr>
            <w:tcW w:type="dxa" w:w="268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CDC PLACES 2024, CMS GV PUF, Census ACS</w:t>
            </w:r>
          </w:p>
        </w:tc>
        <w:tc>
          <w:tcPr>
            <w:tcW w:type="dxa" w:w="354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How many silent patients are here?</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3</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Access to Care</w:t>
            </w:r>
          </w:p>
        </w:tc>
        <w:tc>
          <w:tcPr>
            <w:tcW w:type="dxa" w:w="9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15%</w:t>
            </w:r>
          </w:p>
        </w:tc>
        <w:tc>
          <w:tcPr>
            <w:tcW w:type="dxa" w:w="268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HRSA HPSA, CDC PLACES 2024, Census RUCC</w:t>
            </w:r>
          </w:p>
        </w:tc>
        <w:tc>
          <w:tcPr>
            <w:tcW w:type="dxa" w:w="354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Does the infrastructure exist to act on what we find?</w:t>
            </w:r>
          </w:p>
        </w:tc>
      </w:tr>
      <w:tr>
        <w:tc>
          <w:tcPr>
            <w:tcW w:type="dxa" w:w="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4</w:t>
            </w:r>
          </w:p>
        </w:tc>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Social Determinants</w:t>
            </w:r>
          </w:p>
        </w:tc>
        <w:tc>
          <w:tcPr>
            <w:tcW w:type="dxa" w:w="9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15%</w:t>
            </w:r>
          </w:p>
        </w:tc>
        <w:tc>
          <w:tcPr>
            <w:tcW w:type="dxa" w:w="268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Census ACS, USDA Food Atlas, County Health Rankings</w:t>
            </w:r>
          </w:p>
        </w:tc>
        <w:tc>
          <w:tcPr>
            <w:tcW w:type="dxa" w:w="354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What is causing the gap — and what program will work?</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5</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Payer Landscape</w:t>
            </w:r>
          </w:p>
        </w:tc>
        <w:tc>
          <w:tcPr>
            <w:tcW w:type="dxa" w:w="9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10%</w:t>
            </w:r>
          </w:p>
        </w:tc>
        <w:tc>
          <w:tcPr>
            <w:tcW w:type="dxa" w:w="268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CMS GV PUF, Census ACS</w:t>
            </w:r>
          </w:p>
        </w:tc>
        <w:tc>
          <w:tcPr>
            <w:tcW w:type="dxa" w:w="354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Who pays for the solution — and why would they say yes?</w:t>
            </w:r>
          </w:p>
        </w:tc>
      </w:tr>
      <w:tr>
        <w:tc>
          <w:tcPr>
            <w:tcW w:type="dxa" w:w="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6</w:t>
            </w:r>
          </w:p>
        </w:tc>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Commercial Readiness</w:t>
            </w:r>
          </w:p>
        </w:tc>
        <w:tc>
          <w:tcPr>
            <w:tcW w:type="dxa" w:w="9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10%</w:t>
            </w:r>
          </w:p>
        </w:tc>
        <w:tc>
          <w:tcPr>
            <w:tcW w:type="dxa" w:w="268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Census ACS, HRSA HPSA, Census RUCC</w:t>
            </w:r>
          </w:p>
        </w:tc>
        <w:tc>
          <w:tcPr>
            <w:tcW w:type="dxa" w:w="354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How hard is it to run a program here?</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7</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Trajectory</w:t>
            </w:r>
          </w:p>
        </w:tc>
        <w:tc>
          <w:tcPr>
            <w:tcW w:type="dxa" w:w="9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5%</w:t>
            </w:r>
          </w:p>
        </w:tc>
        <w:tc>
          <w:tcPr>
            <w:tcW w:type="dxa" w:w="268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CDC PLACES 2024 vs. 2022, Census ACS</w:t>
            </w:r>
          </w:p>
        </w:tc>
        <w:tc>
          <w:tcPr>
            <w:tcW w:type="dxa" w:w="354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Is this market getting better or worse?</w:t>
            </w:r>
          </w:p>
        </w:tc>
      </w:tr>
      <w:tr>
        <w:tc>
          <w:tcPr>
            <w:tcW w:type="dxa" w:w="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w:t>
            </w:r>
          </w:p>
        </w:tc>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COMPOSITE</w:t>
            </w:r>
          </w:p>
        </w:tc>
        <w:tc>
          <w:tcPr>
            <w:tcW w:type="dxa" w:w="9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100%</w:t>
            </w:r>
          </w:p>
        </w:tc>
        <w:tc>
          <w:tcPr>
            <w:tcW w:type="dxa" w:w="268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All seven sources</w:t>
            </w:r>
          </w:p>
        </w:tc>
        <w:tc>
          <w:tcPr>
            <w:tcW w:type="dxa" w:w="354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Where should we go first — and with what program?</w:t>
            </w:r>
          </w:p>
        </w:tc>
      </w:tr>
    </w:tbl>
    <w:p>
      <w:pPr>
        <w:spacing w:after="140" w:before="0"/>
      </w:pPr>
      <w:r>
        <w:rPr>
          <w:rFonts w:ascii="Arial" w:cs="Arial" w:eastAsia="Arial" w:hAnsi="Arial"/>
          <w:sz w:val="22"/>
          <w:szCs w:val="22"/>
        </w:rPr>
        <w:t xml:space="preserve"/>
      </w:r>
    </w:p>
    <w:p>
      <w:pPr>
        <w:pBdr>
          <w:bottom w:val="single" w:color="D8DEE4" w:sz="2" w:space="1"/>
        </w:pBdr>
        <w:spacing w:after="120" w:before="0"/>
      </w:pPr>
      <w:r>
        <w:rPr>
          <w:rFonts w:ascii="Arial" w:cs="Arial" w:eastAsia="Arial" w:hAnsi="Arial"/>
          <w:sz w:val="22"/>
          <w:szCs w:val="22"/>
        </w:rPr>
        <w:t xml:space="preserve"/>
      </w:r>
    </w:p>
    <w:p>
      <w:pPr>
        <w:spacing w:after="0" w:before="0"/>
        <w:jc w:val="center"/>
      </w:pPr>
      <w:r>
        <w:rPr>
          <w:rFonts w:ascii="Arial" w:cs="Arial" w:eastAsia="Arial" w:hAnsi="Arial"/>
          <w:i/>
          <w:iCs/>
          <w:color w:val="7A8494"/>
          <w:sz w:val="18"/>
          <w:szCs w:val="18"/>
        </w:rPr>
        <w:t xml:space="preserve">This document was generated by the SPPF Market Access Analytics platform. All data is sourced from public government and foundation datasets. For questions, contact the Market Access Analytics team.</w:t>
      </w:r>
    </w:p>
    <w:p>
      <w:pPr>
        <w:spacing w:after="100" w:before="0"/>
      </w:pPr>
      <w:r>
        <w:rPr>
          <w:rFonts w:ascii="Arial" w:cs="Arial" w:eastAsia="Arial" w:hAnsi="Arial"/>
          <w:sz w:val="22"/>
          <w:szCs w:val="22"/>
        </w:rPr>
        <w:t xml:space="preserve"/>
      </w:r>
    </w:p>
    <w:p>
      <w:pPr>
        <w:pStyle w:val="Heading1"/>
        <w:pageBreakBefore/>
      </w:pPr>
      <w:r>
        <w:t xml:space="preserve">Part II — Platform Integrity &amp; Activation (v2.0 Additions)</w:t>
      </w:r>
    </w:p>
    <w:p>
      <w:pPr>
        <w:spacing w:after="140"/>
      </w:pPr>
      <w:r>
        <w:rPr>
          <w:rFonts w:ascii="Arial" w:cs="Arial" w:eastAsia="Arial" w:hAnsi="Arial"/>
          <w:sz w:val="22"/>
          <w:szCs w:val="22"/>
        </w:rPr>
        <w:t xml:space="preserve">Version 2.0 extends the scoring framework described in Part I with five capabilities added between the v1.0 release and July 2026: percentile-based score presentation, per-geography data confidence grades, automated quality-assurance gates on every pipeline, a prescriber-level activation layer, and a matched-control campaign measurement engine. It also documents data-vintage corrections discovered during a full platform audit. All additions preserve the platform’s core compliance posture: 100% public, aggregate, PHI-free data.</w:t>
      </w:r>
    </w:p>
    <w:p>
      <w:pPr>
        <w:pStyle w:val="Heading2"/>
      </w:pPr>
      <w:r>
        <w:t xml:space="preserve">Percentile Scoring</w:t>
      </w:r>
    </w:p>
    <w:p>
      <w:pPr>
        <w:spacing w:after="140"/>
      </w:pPr>
      <w:r>
        <w:rPr>
          <w:rFonts w:ascii="Arial" w:cs="Arial" w:eastAsia="Arial" w:hAnsi="Arial"/>
          <w:sz w:val="22"/>
          <w:szCs w:val="22"/>
        </w:rPr>
        <w:t xml:space="preserve">Because dimension scores are min-max normalized within the national sample and no county leads on every component, the raw weighted composite tops out near 64 rather than 100. v2.0 therefore reports an Opportunity Percentile alongside the raw composite: a county at the 94th percentile outscores 94% of the 3,144 scored counties. The percentile is the recommended buyer-facing number; the raw composite remains available for auditing the underlying arithmetic. ZIP-level scores carry an equivalent percentile across 33,791 ZCTAs.</w:t>
      </w:r>
    </w:p>
    <w:p>
      <w:pPr>
        <w:pStyle w:val="Heading2"/>
      </w:pPr>
      <w:r>
        <w:t xml:space="preserve">Data Confidence Grades</w:t>
      </w:r>
    </w:p>
    <w:p>
      <w:pPr>
        <w:spacing w:after="140"/>
      </w:pPr>
      <w:r>
        <w:rPr>
          <w:rFonts w:ascii="Arial" w:cs="Arial" w:eastAsia="Arial" w:hAnsi="Arial"/>
          <w:sz w:val="22"/>
          <w:szCs w:val="22"/>
        </w:rPr>
        <w:t xml:space="preserve">Every county now carries a data confidence grade reflecting how many of the seven real sources actually observed it — measured before state-median imputation, because post-imputation the panel is complete by construction and coverage checks would report 100% everywhere. Grade A requires 6–7 sources, B requires 4–5, C fewer than 4. Current distribution: 3,123 counties grade A, 21 grade B, 0 grade C. Grades appear on county scorecards, ranking tables, and all CSV exports, so a low-coverage geography can never silently masquerade as a fully corroborated one.</w:t>
      </w:r>
    </w:p>
    <w:p>
      <w:pPr>
        <w:pStyle w:val="Heading2"/>
      </w:pPr>
      <w:r>
        <w:t xml:space="preserve">Automated Quality Assurance (QA Gates)</w:t>
      </w:r>
    </w:p>
    <w:p>
      <w:pPr>
        <w:spacing w:after="140"/>
      </w:pPr>
      <w:r>
        <w:rPr>
          <w:rFonts w:ascii="Arial" w:cs="Arial" w:eastAsia="Arial" w:hAnsi="Arial"/>
          <w:sz w:val="22"/>
          <w:szCs w:val="22"/>
        </w:rPr>
        <w:t xml:space="preserve">Every pipeline run now terminates in a QA gate: a set of fail-loudly data contracts that block the output write if any critical check fails. More than 60 checks run across the four pipeline outputs (county scores, ZIP scores, ZCTA crosswalk, HCP targets), covering row counts, geographic code formats, null shares, variance floors (a near-constant score column indicates a silently failed join), state coverage, weight normalization, and join match rates. The same checks re-run live on the dashboard’s Data Provenance page against the exact files powering the current session.</w:t>
      </w:r>
    </w:p>
    <w:p>
      <w:pPr>
        <w:spacing w:after="140"/>
      </w:pPr>
      <w:r>
        <w:rPr>
          <w:rFonts w:ascii="Arial" w:cs="Arial" w:eastAsia="Arial" w:hAnsi="Arial"/>
          <w:b/>
          <w:bCs/>
          <w:sz w:val="22"/>
          <w:b/>
          <w:bCs/>
          <w:szCs w:val="22"/>
        </w:rPr>
        <w:t xml:space="preserve">Why these checks: </w:t>
      </w:r>
      <w:r>
        <w:rPr>
          <w:rFonts w:ascii="Arial" w:cs="Arial" w:eastAsia="Arial" w:hAnsi="Arial"/>
          <w:sz w:val="22"/>
          <w:szCs w:val="22"/>
        </w:rPr>
        <w:t xml:space="preserve">The gate design is empirical: each check class corresponds to a real defect found and fixed during the July 2026 platform audit.</w:t>
      </w:r>
    </w:p>
    <w:tbl>
      <w:tblPr>
        <w:tblW w:type="dxa" w:w="9700"/>
        <w:tblLayout w:type="fixed"/>
      </w:tblPr>
      <w:tblGrid>
        <w:gridCol w:w="4850"/>
        <w:gridCol w:w="4850"/>
      </w:tblGrid>
      <w:tr>
        <w:tc>
          <w:tcPr>
            <w:tcW w:type="dxa" w:w="4850"/>
            <w:tcBorders>
              <w:top w:color="CCCCCC" w:sz="4" w:val="single"/>
              <w:left w:color="CCCCCC" w:sz="4" w:val="single"/>
              <w:bottom w:color="CCCCCC" w:sz="4" w:val="single"/>
              <w:right w:color="CCCCCC" w:sz="4" w:val="single"/>
            </w:tcBorders>
            <w:shd w:fill="EAEFF5" w:val="clear"/>
            <w:tcMar>
              <w:top w:type="dxa" w:w="80"/>
              <w:left w:type="dxa" w:w="120"/>
              <w:bottom w:type="dxa" w:w="80"/>
              <w:right w:type="dxa" w:w="120"/>
            </w:tcMar>
          </w:tcPr>
          <w:p>
            <w:pPr>
              <w:spacing w:after="0"/>
            </w:pPr>
            <w:r>
              <w:rPr>
                <w:rFonts w:ascii="Arial" w:cs="Arial" w:eastAsia="Arial" w:hAnsi="Arial"/>
                <w:b/>
                <w:bCs/>
                <w:sz w:val="22"/>
                <w:b/>
                <w:bCs/>
                <w:szCs w:val="22"/>
              </w:rPr>
              <w:t xml:space="preserve">Defect class (real example)</w:t>
            </w:r>
          </w:p>
        </w:tc>
        <w:tc>
          <w:tcPr>
            <w:tcW w:type="dxa" w:w="4850"/>
            <w:tcBorders>
              <w:top w:color="CCCCCC" w:sz="4" w:val="single"/>
              <w:left w:color="CCCCCC" w:sz="4" w:val="single"/>
              <w:bottom w:color="CCCCCC" w:sz="4" w:val="single"/>
              <w:right w:color="CCCCCC" w:sz="4" w:val="single"/>
            </w:tcBorders>
            <w:shd w:fill="EAEFF5" w:val="clear"/>
            <w:tcMar>
              <w:top w:type="dxa" w:w="80"/>
              <w:left w:type="dxa" w:w="120"/>
              <w:bottom w:type="dxa" w:w="80"/>
              <w:right w:type="dxa" w:w="120"/>
            </w:tcMar>
          </w:tcPr>
          <w:p>
            <w:pPr>
              <w:spacing w:after="0"/>
            </w:pPr>
            <w:r>
              <w:rPr>
                <w:rFonts w:ascii="Arial" w:cs="Arial" w:eastAsia="Arial" w:hAnsi="Arial"/>
                <w:b/>
                <w:bCs/>
                <w:sz w:val="22"/>
                <w:b/>
                <w:bCs/>
                <w:szCs w:val="22"/>
              </w:rPr>
              <w:t xml:space="preserve">Gate check that now catches it</w:t>
            </w:r>
          </w:p>
        </w:tc>
      </w:tr>
      <w:tr>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Wrong column parsed from Census relationship file — ZCTA crosswalk reduced to 849 corrupt rows; 5 of 7 ZIP dimensions 100% null</w:t>
            </w:r>
          </w:p>
        </w:tc>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Code-format, row-count, and variance checks on the crosswalk and ZIP outputs</w:t>
            </w:r>
          </w:p>
        </w:tc>
      </w:tr>
      <w:tr>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Comma/percent-formatted CMS numerics coerced to null — MA penetration coverage silently fell to 236 of 3,128 counties</w:t>
            </w:r>
          </w:p>
        </w:tc>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Pre-imputation source-coverage check (WARN below 85% of counties with 4+ sources)</w:t>
            </w:r>
          </w:p>
        </w:tc>
      </w:tr>
      <w:tr>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CDC rolling dataset ID repointed to latest release — prior-year data identical to current; trajectory trend zero for all counties</w:t>
            </w:r>
          </w:p>
        </w:tc>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Variance check on the trend column; identical-release rejection in the downloader</w:t>
            </w:r>
          </w:p>
        </w:tc>
      </w:tr>
      <w:tr>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Foreign-address prescribers with non-US postcodes in the CMS provider file</w:t>
            </w:r>
          </w:p>
        </w:tc>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5-digit ZIP format check on the HCP target list</w:t>
            </w:r>
          </w:p>
        </w:tc>
      </w:tr>
    </w:tbl>
    <w:p>
      <w:pPr>
        <w:spacing w:after="140"/>
      </w:pPr>
    </w:p>
    <w:p>
      <w:pPr>
        <w:pStyle w:val="Heading2"/>
      </w:pPr>
      <w:r>
        <w:t xml:space="preserve">Weight Sensitivity Analysis</w:t>
      </w:r>
    </w:p>
    <w:p>
      <w:pPr>
        <w:spacing w:after="140"/>
      </w:pPr>
      <w:r>
        <w:rPr>
          <w:rFonts w:ascii="Arial" w:cs="Arial" w:eastAsia="Arial" w:hAnsi="Arial"/>
          <w:sz w:val="22"/>
          <w:szCs w:val="22"/>
        </w:rPr>
        <w:t xml:space="preserve">The dashboard’s 7-Dimension view includes an interactive weight sensitivity panel: analysts can re-weight the seven dimensions and watch the composite recompute live, with three stability metrics — Spearman rank correlation against the default weighting, top-50 county overlap, and the largest individual rank move. Empirical results on the July 2026 panel: emphasizing any need-side dimension (e.g., raising Diagnosis Gap to 40%, or flat-equal weights) leaves the ranking essentially intact (Spearman 0.97–0.99, top-50 overlap 82–88%). Only inverting the framework’s philosophy toward execution-side dimensions (payer/commercial-heavy) materially reshuffles ranks — which is disclosed rather than hidden: the map is driven by where the patients are, not by the specific weight vector chosen.</w:t>
      </w:r>
    </w:p>
    <w:p>
      <w:pPr>
        <w:pStyle w:val="Heading2"/>
      </w:pPr>
      <w:r>
        <w:t xml:space="preserve">HCP Activation Layer</w:t>
      </w:r>
    </w:p>
    <w:p>
      <w:pPr>
        <w:spacing w:after="140"/>
      </w:pPr>
      <w:r>
        <w:rPr>
          <w:rFonts w:ascii="Arial" w:cs="Arial" w:eastAsia="Arial" w:hAnsi="Arial"/>
          <w:sz w:val="22"/>
          <w:szCs w:val="22"/>
        </w:rPr>
        <w:t xml:space="preserve">v2.0 adds a prescriber-level activation layer that converts geographic opportunity into a field-actionable call list. Source: the CMS Medicare Physician &amp; Other Practitioners by-Provider public use file (2024-12 release, 2023 data) — one row per NPI with specialty, practice location, Medicare panel size, and panel chronic-condition percentages. From 534,396 practitioners in target specialties, 411,115 US-based NPIs with panels of 50+ Medicare beneficiaries are scored.</w:t>
      </w:r>
    </w:p>
    <w:tbl>
      <w:tblPr>
        <w:tblW w:type="dxa" w:w="9700"/>
        <w:tblLayout w:type="fixed"/>
      </w:tblPr>
      <w:tblGrid>
        <w:gridCol w:w="3000"/>
        <w:gridCol w:w="1200"/>
        <w:gridCol w:w="5500"/>
      </w:tblGrid>
      <w:tr>
        <w:tc>
          <w:tcPr>
            <w:tcW w:type="dxa" w:w="3000"/>
            <w:tcBorders>
              <w:top w:color="CCCCCC" w:sz="4" w:val="single"/>
              <w:left w:color="CCCCCC" w:sz="4" w:val="single"/>
              <w:bottom w:color="CCCCCC" w:sz="4" w:val="single"/>
              <w:right w:color="CCCCCC" w:sz="4" w:val="single"/>
            </w:tcBorders>
            <w:shd w:fill="EAEFF5" w:val="clear"/>
            <w:tcMar>
              <w:top w:type="dxa" w:w="80"/>
              <w:left w:type="dxa" w:w="120"/>
              <w:bottom w:type="dxa" w:w="80"/>
              <w:right w:type="dxa" w:w="120"/>
            </w:tcMar>
          </w:tcPr>
          <w:p>
            <w:pPr>
              <w:spacing w:after="0"/>
            </w:pPr>
            <w:r>
              <w:rPr>
                <w:rFonts w:ascii="Arial" w:cs="Arial" w:eastAsia="Arial" w:hAnsi="Arial"/>
                <w:b/>
                <w:bCs/>
                <w:sz w:val="22"/>
                <w:b/>
                <w:bCs/>
                <w:szCs w:val="22"/>
              </w:rPr>
              <w:t xml:space="preserve">Component</w:t>
            </w:r>
          </w:p>
        </w:tc>
        <w:tc>
          <w:tcPr>
            <w:tcW w:type="dxa" w:w="1200"/>
            <w:tcBorders>
              <w:top w:color="CCCCCC" w:sz="4" w:val="single"/>
              <w:left w:color="CCCCCC" w:sz="4" w:val="single"/>
              <w:bottom w:color="CCCCCC" w:sz="4" w:val="single"/>
              <w:right w:color="CCCCCC" w:sz="4" w:val="single"/>
            </w:tcBorders>
            <w:shd w:fill="EAEFF5" w:val="clear"/>
            <w:tcMar>
              <w:top w:type="dxa" w:w="80"/>
              <w:left w:type="dxa" w:w="120"/>
              <w:bottom w:type="dxa" w:w="80"/>
              <w:right w:type="dxa" w:w="120"/>
            </w:tcMar>
          </w:tcPr>
          <w:p>
            <w:pPr>
              <w:spacing w:after="0"/>
            </w:pPr>
            <w:r>
              <w:rPr>
                <w:rFonts w:ascii="Arial" w:cs="Arial" w:eastAsia="Arial" w:hAnsi="Arial"/>
                <w:b/>
                <w:bCs/>
                <w:sz w:val="22"/>
                <w:b/>
                <w:bCs/>
                <w:szCs w:val="22"/>
              </w:rPr>
              <w:t xml:space="preserve">Weight</w:t>
            </w:r>
          </w:p>
        </w:tc>
        <w:tc>
          <w:tcPr>
            <w:tcW w:type="dxa" w:w="5500"/>
            <w:tcBorders>
              <w:top w:color="CCCCCC" w:sz="4" w:val="single"/>
              <w:left w:color="CCCCCC" w:sz="4" w:val="single"/>
              <w:bottom w:color="CCCCCC" w:sz="4" w:val="single"/>
              <w:right w:color="CCCCCC" w:sz="4" w:val="single"/>
            </w:tcBorders>
            <w:shd w:fill="EAEFF5" w:val="clear"/>
            <w:tcMar>
              <w:top w:type="dxa" w:w="80"/>
              <w:left w:type="dxa" w:w="120"/>
              <w:bottom w:type="dxa" w:w="80"/>
              <w:right w:type="dxa" w:w="120"/>
            </w:tcMar>
          </w:tcPr>
          <w:p>
            <w:pPr>
              <w:spacing w:after="0"/>
            </w:pPr>
            <w:r>
              <w:rPr>
                <w:rFonts w:ascii="Arial" w:cs="Arial" w:eastAsia="Arial" w:hAnsi="Arial"/>
                <w:b/>
                <w:bCs/>
                <w:sz w:val="22"/>
                <w:b/>
                <w:bCs/>
                <w:szCs w:val="22"/>
              </w:rPr>
              <w:t xml:space="preserve">Signal</w:t>
            </w:r>
          </w:p>
        </w:tc>
      </w:tr>
      <w:tr>
        <w:tc>
          <w:tcPr>
            <w:tcW w:type="dxa" w:w="30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Geography opportunity</w:t>
            </w:r>
          </w:p>
        </w:tc>
        <w:tc>
          <w:tcPr>
            <w:tcW w:type="dxa" w:w="12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40%</w:t>
            </w:r>
          </w:p>
        </w:tc>
        <w:tc>
          <w:tcPr>
            <w:tcW w:type="dxa" w:w="55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ZIP-level opportunity percentile at the prescriber’s practice ZIP (county fallback)</w:t>
            </w:r>
          </w:p>
        </w:tc>
      </w:tr>
      <w:tr>
        <w:tc>
          <w:tcPr>
            <w:tcW w:type="dxa" w:w="30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Panel reach</w:t>
            </w:r>
          </w:p>
        </w:tc>
        <w:tc>
          <w:tcPr>
            <w:tcW w:type="dxa" w:w="12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25%</w:t>
            </w:r>
          </w:p>
        </w:tc>
        <w:tc>
          <w:tcPr>
            <w:tcW w:type="dxa" w:w="55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Medicare panel size percentile among scored NPIs</w:t>
            </w:r>
          </w:p>
        </w:tc>
      </w:tr>
      <w:tr>
        <w:tc>
          <w:tcPr>
            <w:tcW w:type="dxa" w:w="30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Metabolic burden</w:t>
            </w:r>
          </w:p>
        </w:tc>
        <w:tc>
          <w:tcPr>
            <w:tcW w:type="dxa" w:w="12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20%</w:t>
            </w:r>
          </w:p>
        </w:tc>
        <w:tc>
          <w:tcPr>
            <w:tcW w:type="dxa" w:w="55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Share of the prescriber’s panel with diagnosed diabetes (percentile)</w:t>
            </w:r>
          </w:p>
        </w:tc>
      </w:tr>
      <w:tr>
        <w:tc>
          <w:tcPr>
            <w:tcW w:type="dxa" w:w="30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Specialty fit</w:t>
            </w:r>
          </w:p>
        </w:tc>
        <w:tc>
          <w:tcPr>
            <w:tcW w:type="dxa" w:w="12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15%</w:t>
            </w:r>
          </w:p>
        </w:tc>
        <w:tc>
          <w:tcPr>
            <w:tcW w:type="dxa" w:w="55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Primary care 0.90–1.00; endocrinology 0.75; cardiology 0.65; others lower</w:t>
            </w:r>
          </w:p>
        </w:tc>
      </w:tr>
    </w:tbl>
    <w:p>
      <w:pPr>
        <w:spacing w:after="140"/>
      </w:pPr>
    </w:p>
    <w:p>
      <w:pPr>
        <w:spacing w:after="140"/>
      </w:pPr>
      <w:r>
        <w:rPr>
          <w:rFonts w:ascii="Arial" w:cs="Arial" w:eastAsia="Arial" w:hAnsi="Arial"/>
          <w:sz w:val="22"/>
          <w:szCs w:val="22"/>
        </w:rPr>
        <w:t xml:space="preserve">The top 5% of scores form the Priority tier (20,612 NPIs). Each record carries a plain-language rationale for rep briefing, and the list exports as a CRM-loadable CSV. Interpretation boundary: the score ranks where a diagnosis-support conversation is most valuable given geography and panel profile — it makes no claim about the quality of any individual’s prescribing, and it uses no patient-level data of any kind.</w:t>
      </w:r>
    </w:p>
    <w:p>
      <w:pPr>
        <w:pStyle w:val="Heading2"/>
      </w:pPr>
      <w:r>
        <w:t xml:space="preserve">Campaign Measurement — Matched-Control Difference-in-Differences</w:t>
      </w:r>
    </w:p>
    <w:p>
      <w:pPr>
        <w:spacing w:after="140"/>
      </w:pPr>
      <w:r>
        <w:rPr>
          <w:rFonts w:ascii="Arial" w:cs="Arial" w:eastAsia="Arial" w:hAnsi="Arial"/>
          <w:sz w:val="22"/>
          <w:szCs w:val="22"/>
        </w:rPr>
        <w:t xml:space="preserve">v2.0 closes the loop from planning to outcomes. The measurement engine takes a set of campaign counties, matches each to its k most similar untouched counties (nearest-neighbor on standardized baseline covariates: prior diagnosed prevalence, obesity, poverty, income, uninsured rate, population, rurality), and estimates the campaign effect as a difference-in-differences: the change in diagnosed prevalence among campaign counties minus the change among matched controls, between the two most recent CDC PLACES releases. Confidence intervals come from a 2,000-resample bootstrap over counties; results are reported in percentage points. Because PLACES measures diagnosed prevalence, a successful find-the-undiagnosed campaign appears as diagnosed prevalence rising faster in campaign counties than in controls, net of the secular trend.</w:t>
      </w:r>
    </w:p>
    <w:p>
      <w:pPr>
        <w:spacing w:after="140"/>
      </w:pPr>
      <w:r>
        <w:rPr>
          <w:rFonts w:ascii="Arial" w:cs="Arial" w:eastAsia="Arial" w:hAnsi="Arial"/>
          <w:b/>
          <w:bCs/>
          <w:sz w:val="22"/>
          <w:b/>
          <w:bCs/>
          <w:szCs w:val="22"/>
        </w:rPr>
        <w:t xml:space="preserve">Pre-registration: </w:t>
      </w:r>
      <w:r>
        <w:rPr>
          <w:rFonts w:ascii="Arial" w:cs="Arial" w:eastAsia="Arial" w:hAnsi="Arial"/>
          <w:sz w:val="22"/>
          <w:szCs w:val="22"/>
        </w:rPr>
        <w:t xml:space="preserve">The dashboard exports a pre-registration file (campaign counties plus their matched controls) intended to be locked before launch. Pre-registration is what makes the post-campaign readout credible; selecting controls after outcomes are known invites bias.</w:t>
      </w:r>
    </w:p>
    <w:p>
      <w:pPr>
        <w:pStyle w:val="Heading3"/>
      </w:pPr>
      <w:r>
        <w:t xml:space="preserve">Validation</w:t>
      </w:r>
    </w:p>
    <w:tbl>
      <w:tblPr>
        <w:tblW w:type="dxa" w:w="9700"/>
        <w:tblLayout w:type="fixed"/>
      </w:tblPr>
      <w:tblGrid>
        <w:gridCol w:w="4850"/>
        <w:gridCol w:w="4850"/>
      </w:tblGrid>
      <w:tr>
        <w:tc>
          <w:tcPr>
            <w:tcW w:type="dxa" w:w="4850"/>
            <w:tcBorders>
              <w:top w:color="CCCCCC" w:sz="4" w:val="single"/>
              <w:left w:color="CCCCCC" w:sz="4" w:val="single"/>
              <w:bottom w:color="CCCCCC" w:sz="4" w:val="single"/>
              <w:right w:color="CCCCCC" w:sz="4" w:val="single"/>
            </w:tcBorders>
            <w:shd w:fill="EAEFF5" w:val="clear"/>
            <w:tcMar>
              <w:top w:type="dxa" w:w="80"/>
              <w:left w:type="dxa" w:w="120"/>
              <w:bottom w:type="dxa" w:w="80"/>
              <w:right w:type="dxa" w:w="120"/>
            </w:tcMar>
          </w:tcPr>
          <w:p>
            <w:pPr>
              <w:spacing w:after="0"/>
            </w:pPr>
            <w:r>
              <w:rPr>
                <w:rFonts w:ascii="Arial" w:cs="Arial" w:eastAsia="Arial" w:hAnsi="Arial"/>
                <w:b/>
                <w:bCs/>
                <w:sz w:val="22"/>
                <w:b/>
                <w:bCs/>
                <w:szCs w:val="22"/>
              </w:rPr>
              <w:t xml:space="preserve">Test</w:t>
            </w:r>
          </w:p>
        </w:tc>
        <w:tc>
          <w:tcPr>
            <w:tcW w:type="dxa" w:w="4850"/>
            <w:tcBorders>
              <w:top w:color="CCCCCC" w:sz="4" w:val="single"/>
              <w:left w:color="CCCCCC" w:sz="4" w:val="single"/>
              <w:bottom w:color="CCCCCC" w:sz="4" w:val="single"/>
              <w:right w:color="CCCCCC" w:sz="4" w:val="single"/>
            </w:tcBorders>
            <w:shd w:fill="EAEFF5" w:val="clear"/>
            <w:tcMar>
              <w:top w:type="dxa" w:w="80"/>
              <w:left w:type="dxa" w:w="120"/>
              <w:bottom w:type="dxa" w:w="80"/>
              <w:right w:type="dxa" w:w="120"/>
            </w:tcMar>
          </w:tcPr>
          <w:p>
            <w:pPr>
              <w:spacing w:after="0"/>
            </w:pPr>
            <w:r>
              <w:rPr>
                <w:rFonts w:ascii="Arial" w:cs="Arial" w:eastAsia="Arial" w:hAnsi="Arial"/>
                <w:b/>
                <w:bCs/>
                <w:sz w:val="22"/>
                <w:b/>
                <w:bCs/>
                <w:szCs w:val="22"/>
              </w:rPr>
              <w:t xml:space="preserve">Result</w:t>
            </w:r>
          </w:p>
        </w:tc>
      </w:tr>
      <w:tr>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Synthetic recovery — inject a known +1.50pp lift into 40 of 800 synthetic counties</w:t>
            </w:r>
          </w:p>
        </w:tc>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Estimator recovers the lift within ±0.30pp; 95% CI covers the true value; effect flagged significant</w:t>
            </w:r>
          </w:p>
        </w:tc>
      </w:tr>
      <w:tr>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Synthetic null — no lift injected</w:t>
            </w:r>
          </w:p>
        </w:tc>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Estimate near zero; CI straddles zero; correctly flagged not significant</w:t>
            </w:r>
          </w:p>
        </w:tc>
      </w:tr>
      <w:tr>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Real-data placebo — 8 Rio Grande Valley, TX counties treated as a fictional campaign (none ran)</w:t>
            </w:r>
          </w:p>
        </w:tc>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+0.17pp, 95% CI [−0.72, +1.07] — correctly not significant; treated drifted +0.62pp vs matched controls +0.45pp</w:t>
            </w:r>
          </w:p>
        </w:tc>
      </w:tr>
      <w:tr>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Balance check — high-poverty treated set</w:t>
            </w:r>
          </w:p>
        </w:tc>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Matched controls sit materially closer to treated means than the national pool on all covariates</w:t>
            </w:r>
          </w:p>
        </w:tc>
      </w:tr>
    </w:tbl>
    <w:p>
      <w:pPr>
        <w:spacing w:after="140"/>
      </w:pPr>
    </w:p>
    <w:p>
      <w:pPr>
        <w:pStyle w:val="Heading3"/>
      </w:pPr>
      <w:r>
        <w:t xml:space="preserve">Known Limitations</w:t>
      </w:r>
    </w:p>
    <w:p>
      <w:pPr>
        <w:spacing w:after="140"/>
      </w:pPr>
      <w:r>
        <w:rPr>
          <w:rFonts w:ascii="Arial" w:cs="Arial" w:eastAsia="Arial" w:hAnsi="Arial"/>
          <w:sz w:val="22"/>
          <w:szCs w:val="22"/>
        </w:rPr>
        <w:t xml:space="preserve">Outcome spacing follows PLACES releases (currently a 3-year window: 2020 BRFSS baseline to 2023 BRFSS follow-up), suiting multi-year campaigns rather than quarterly pulses. Matching is on observables only. PLACES model-based smoothing limits statistical power in small counties; campaigns spanning fewer than roughly five counties are unlikely to produce detectable effects. Claims-data integration is the roadmap path to tighter windows and narrower intervals.</w:t>
      </w:r>
    </w:p>
    <w:p>
      <w:pPr>
        <w:pStyle w:val="Heading2"/>
      </w:pPr>
      <w:r>
        <w:t xml:space="preserve">Data Vintage Corrections (v2.0)</w:t>
      </w:r>
    </w:p>
    <w:p>
      <w:pPr>
        <w:spacing w:after="140"/>
      </w:pPr>
      <w:r>
        <w:rPr>
          <w:rFonts w:ascii="Arial" w:cs="Arial" w:eastAsia="Arial" w:hAnsi="Arial"/>
          <w:sz w:val="22"/>
          <w:szCs w:val="22"/>
        </w:rPr>
        <w:t xml:space="preserve">A full audit corrected two vintage errors in Part I’s data description. First, the ’current’ CDC PLACES county file is the 2025 release (2023 BRFSS data), not the 2024 release. Second — and materially — the prior-release download had been using CDC’s rolling dataset identifier, which CDC repoints to the newest release each year; prior therefore equaled current, and the Trajectory dimension’s trend signal was silently zero for all counties. v2.0 pins archived release identifiers (2022 release, 2020 BRFSS; fallback 2020 release, 2018 BRFSS), rejects any prior download identical to the current release, and gates on trend variance. The restored real signal shows a national mean diabetes prevalence trend of +0.93pp (s.d. 0.81pp) between the 2020 and 2023 BRFSS survey waves. MA penetration now comes from the CMS county-level Market Penetration report with real values for 3,108 of 3,128 counties.</w:t>
      </w:r>
    </w:p>
    <w:p>
      <w:pPr>
        <w:spacing w:after="140"/>
      </w:pPr>
      <w:r>
        <w:rPr>
          <w:rFonts w:ascii="Arial" w:cs="Arial" w:eastAsia="Arial" w:hAnsi="Arial"/>
          <w:sz w:val="22"/>
          <w:szCs w:val="22"/>
        </w:rPr>
        <w:t xml:space="preserve">County opportunity scores, tiers, percentiles, and the Trajectory dimension were fully recomputed after these corrections; the current Priority tier comprises 24 counties led by Starr, TX; Presidio, TX; Oglala Lakota, SD; Greene, AL; and Hidalgo, TX.</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4" w:sz="2" w:space="4"/>
      </w:pBdr>
      <w:tabs>
        <w:tab w:val="right" w:pos="9026"/>
      </w:tabs>
      <w:spacing w:after="0" w:before="80"/>
    </w:pPr>
    <w:r>
      <w:rPr>
        <w:rFonts w:ascii="Arial" w:cs="Arial" w:eastAsia="Arial" w:hAnsi="Arial"/>
        <w:color w:val="7A8494"/>
        <w:sz w:val="17"/>
        <w:szCs w:val="17"/>
      </w:rPr>
      <w:t xml:space="preserve">Silent Patient Pool Finder  |  Market Access Intelligence Platform  |  © 2026</w:t>
    </w:r>
    <w:r>
      <w:rPr>
        <w:rFonts w:ascii="Arial" w:cs="Arial" w:eastAsia="Arial" w:hAnsi="Arial"/>
        <w:color w:val="7A8494"/>
        <w:sz w:val="17"/>
        <w:szCs w:val="17"/>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4" w:sz="2" w:space="4"/>
      </w:pBdr>
      <w:spacing w:after="80" w:before="0"/>
    </w:pPr>
    <w:r>
      <w:rPr>
        <w:rFonts w:ascii="Arial" w:cs="Arial" w:eastAsia="Arial" w:hAnsi="Arial"/>
        <w:color w:val="7A8494"/>
        <w:sz w:val="17"/>
        <w:szCs w:val="17"/>
      </w:rPr>
      <w:t xml:space="preserve">SILENT PATIENT POOL FINDER  |  Methodology &amp; Technical Reference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7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2026-07-05T10:17:49.973Z</dcterms:created>
  <dcterms:modified xsi:type="dcterms:W3CDTF">2026-07-05T10:17:49.980Z</dcterms:modified>
</cp:coreProperties>
</file>

<file path=docProps/custom.xml><?xml version="1.0" encoding="utf-8"?>
<Properties xmlns="http://schemas.openxmlformats.org/officeDocument/2006/custom-properties" xmlns:vt="http://schemas.openxmlformats.org/officeDocument/2006/docPropsVTypes"/>
</file>