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p>
      <w:pPr>
        <w:spacing w:after="120" w:before="0"/>
        <w:jc w:val="center"/>
      </w:pPr>
      <w:r>
        <w:rPr>
          <w:rFonts w:ascii="Arial" w:cs="Arial" w:eastAsia="Arial" w:hAnsi="Arial"/>
          <w:b/>
          <w:bCs/>
          <w:color w:val="1B3A5C"/>
          <w:sz w:val="52"/>
          <w:szCs w:val="52"/>
        </w:rPr>
        <w:t xml:space="preserve">SILENT PATIENT POOL FINDER</w:t>
      </w:r>
    </w:p>
    <w:p>
      <w:pPr>
        <w:spacing w:after="80" w:before="0"/>
        <w:jc w:val="center"/>
      </w:pPr>
      <w:r>
        <w:rPr>
          <w:rFonts w:ascii="Arial" w:cs="Arial" w:eastAsia="Arial" w:hAnsi="Arial"/>
          <w:color w:val="7A8494"/>
          <w:sz w:val="30"/>
          <w:szCs w:val="30"/>
        </w:rPr>
        <w:t xml:space="preserve">Methodology &amp; Technical Reference</w:t>
      </w:r>
    </w:p>
    <w:p>
      <w:pPr>
        <w:pBdr>
          <w:bottom w:val="single" w:color="E63946" w:sz="6" w:space="1"/>
        </w:pBdr>
        <w:spacing w:after="200" w:before="0"/>
      </w:pPr>
      <w:r>
        <w:rPr>
          <w:rFonts w:ascii="Arial" w:cs="Arial" w:eastAsia="Arial" w:hAnsi="Arial"/>
          <w:sz w:val="22"/>
          <w:szCs w:val="22"/>
        </w:rPr>
        <w:t xml:space="preserve"/>
      </w:r>
    </w:p>
    <w:p>
      <w:pPr>
        <w:spacing w:after="0" w:before="0"/>
        <w:jc w:val="center"/>
      </w:pPr>
      <w:r>
        <w:rPr>
          <w:rFonts w:ascii="Arial" w:cs="Arial" w:eastAsia="Arial" w:hAnsi="Arial"/>
          <w:i/>
          <w:iCs/>
          <w:color w:val="555566"/>
          <w:sz w:val="22"/>
          <w:szCs w:val="22"/>
        </w:rPr>
        <w:t xml:space="preserve">Market Access Intelligence Platform for Chronic Disease Patient Identification</w:t>
      </w:r>
    </w:p>
    <w:p>
      <w:pPr>
        <w:spacing w:after="12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200"/>
              <w:left w:type="dxa" w:w="400"/>
              <w:bottom w:type="dxa" w:w="200"/>
              <w:right w:type="dxa" w:w="400"/>
            </w:tcMar>
          </w:tcPr>
          <w:p>
            <w:pPr>
              <w:spacing w:after="80" w:before="0"/>
            </w:pPr>
            <w:r>
              <w:rPr>
                <w:rFonts w:ascii="Arial" w:cs="Arial" w:eastAsia="Arial" w:hAnsi="Arial"/>
                <w:b/>
                <w:bCs/>
                <w:color w:val="555566"/>
                <w:sz w:val="22"/>
                <w:szCs w:val="22"/>
              </w:rPr>
              <w:t xml:space="preserve">Version:  </w:t>
            </w:r>
            <w:r>
              <w:rPr>
                <w:rFonts w:ascii="Arial" w:cs="Arial" w:eastAsia="Arial" w:hAnsi="Arial"/>
                <w:color w:val="1A1A2E"/>
                <w:sz w:val="22"/>
                <w:szCs w:val="22"/>
              </w:rPr>
              <w:t xml:space="preserve">2.0   |   July 2026</w:t>
            </w:r>
          </w:p>
          <w:p>
            <w:pPr>
              <w:spacing w:after="80" w:before="0"/>
            </w:pPr>
            <w:r>
              <w:rPr>
                <w:rFonts w:ascii="Arial" w:cs="Arial" w:eastAsia="Arial" w:hAnsi="Arial"/>
                <w:b/>
                <w:bCs/>
                <w:color w:val="555566"/>
                <w:sz w:val="22"/>
                <w:szCs w:val="22"/>
              </w:rPr>
              <w:t xml:space="preserve">Classification:  </w:t>
            </w:r>
            <w:r>
              <w:rPr>
                <w:rFonts w:ascii="Arial" w:cs="Arial" w:eastAsia="Arial" w:hAnsi="Arial"/>
                <w:b/>
                <w:bCs/>
                <w:color w:val="E63946"/>
                <w:sz w:val="22"/>
                <w:szCs w:val="22"/>
              </w:rPr>
              <w:t xml:space="preserve">Confidential — Internal Use Only</w:t>
            </w:r>
          </w:p>
          <w:p>
            <w:pPr>
              <w:spacing w:after="0" w:before="0"/>
            </w:pPr>
            <w:r>
              <w:rPr>
                <w:rFonts w:ascii="Arial" w:cs="Arial" w:eastAsia="Arial" w:hAnsi="Arial"/>
                <w:b/>
                <w:bCs/>
                <w:color w:val="555566"/>
                <w:sz w:val="22"/>
                <w:szCs w:val="22"/>
              </w:rPr>
              <w:t xml:space="preserve">Prepared by:  </w:t>
            </w:r>
            <w:r>
              <w:rPr>
                <w:rFonts w:ascii="Arial" w:cs="Arial" w:eastAsia="Arial" w:hAnsi="Arial"/>
                <w:color w:val="1A1A2E"/>
                <w:sz w:val="22"/>
                <w:szCs w:val="22"/>
              </w:rPr>
              <w:t xml:space="preserve">Market Access Analytics</w:t>
            </w:r>
          </w:p>
        </w:tc>
      </w:tr>
    </w:tbl>
    <w:p>
      <w:pPr>
        <w:spacing w:after="2400" w:before="0"/>
      </w:pPr>
      <w:r>
        <w:rPr>
          <w:rFonts w:ascii="Arial" w:cs="Arial" w:eastAsia="Arial" w:hAnsi="Arial"/>
          <w:sz w:val="22"/>
          <w:szCs w:val="22"/>
        </w:rPr>
        <w:t xml:space="preserve"/>
      </w:r>
    </w:p>
    <w:tbl>
      <w:tblPr>
        <w:tblW w:type="dxa" w:w="9720"/>
      </w:tblPr>
      <w:tblGrid>
        <w:gridCol w:w="9720"/>
      </w:tblGrid>
      <w:tr>
        <w:tc>
          <w:tcPr>
            <w:tcW w:type="dxa" w:w="9720"/>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PLAIN-ENGLISH OVERVIEW  —  START HERE</w:t>
            </w:r>
          </w:p>
        </w:tc>
      </w:tr>
    </w:tbl>
    <w:p>
      <w:pPr>
        <w:spacing w:after="120"/>
      </w:pPr>
    </w:p>
    <w:p>
      <w:pPr>
        <w:spacing w:after="160"/>
      </w:pPr>
      <w:r>
        <w:rPr>
          <w:rFonts w:ascii="Arial" w:cs="Arial" w:eastAsia="Arial" w:hAnsi="Arial"/>
          <w:b/>
          <w:bCs/>
          <w:sz w:val="22"/>
          <w:b/>
          <w:bCs/>
          <w:szCs w:val="22"/>
        </w:rPr>
        <w:t xml:space="preserve">Who this page is for: </w:t>
      </w:r>
      <w:r>
        <w:rPr>
          <w:rFonts w:ascii="Arial" w:cs="Arial" w:eastAsia="Arial" w:hAnsi="Arial"/>
          <w:sz w:val="22"/>
          <w:szCs w:val="22"/>
        </w:rPr>
        <w:t xml:space="preserve">This page explains the whole platform without jargon. The rest of the document is the technical reference; everything here is expanded there.</w:t>
      </w:r>
    </w:p>
    <w:p>
      <w:pPr>
        <w:spacing w:after="160"/>
      </w:pPr>
      <w:r>
        <w:rPr>
          <w:rFonts w:ascii="Arial" w:cs="Arial" w:eastAsia="Arial" w:hAnsi="Arial"/>
          <w:b/>
          <w:bCs/>
          <w:sz w:val="22"/>
          <w:b/>
          <w:bCs/>
          <w:szCs w:val="22"/>
        </w:rPr>
        <w:t xml:space="preserve">The problem in one paragraph. </w:t>
      </w:r>
      <w:r>
        <w:rPr>
          <w:rFonts w:ascii="Arial" w:cs="Arial" w:eastAsia="Arial" w:hAnsi="Arial"/>
          <w:sz w:val="22"/>
          <w:szCs w:val="22"/>
        </w:rPr>
        <w:t xml:space="preserve">Millions of Americans have diabetes, high blood pressure, or thyroid disease and don’t know it. Because they’ve never been diagnosed, they never appear in any medical database — no diagnosis, no prescription, no insurance claim. To every conventional healthcare dataset, they are invisible. Yet finding them matters enormously: every year a condition goes undiagnosed, the patient gets sicker and treatment gets harder and more expensive.</w:t>
      </w:r>
    </w:p>
    <w:p>
      <w:pPr>
        <w:spacing w:after="160"/>
      </w:pPr>
      <w:r>
        <w:rPr>
          <w:rFonts w:ascii="Arial" w:cs="Arial" w:eastAsia="Arial" w:hAnsi="Arial"/>
          <w:b/>
          <w:bCs/>
          <w:sz w:val="22"/>
          <w:b/>
          <w:bCs/>
          <w:szCs w:val="22"/>
        </w:rPr>
        <w:t xml:space="preserve">The idea in one paragraph. </w:t>
      </w:r>
      <w:r>
        <w:rPr>
          <w:rFonts w:ascii="Arial" w:cs="Arial" w:eastAsia="Arial" w:hAnsi="Arial"/>
          <w:sz w:val="22"/>
          <w:szCs w:val="22"/>
        </w:rPr>
        <w:t xml:space="preserve">You can’t see an undiagnosed individual, but you can see the places where many of them almost certainly live. Public government statistics tell us, county by county: how common diabetes is, how many people are obese or live in poverty, how many skip annual checkups, whether there’s a doctor shortage, and whether people can afford care. Where several of these signals stack up — lots of disease risk, weak detection systems, barriers to care — undiagnosed people concentrate. It’s the same logic a public-health agency uses, pointed at a commercial planning question.</w:t>
      </w:r>
    </w:p>
    <w:p>
      <w:pPr>
        <w:spacing w:after="160"/>
      </w:pPr>
      <w:r>
        <w:rPr>
          <w:rFonts w:ascii="Arial" w:cs="Arial" w:eastAsia="Arial" w:hAnsi="Arial"/>
          <w:b/>
          <w:bCs/>
          <w:sz w:val="22"/>
          <w:b/>
          <w:bCs/>
          <w:szCs w:val="22"/>
        </w:rPr>
        <w:t xml:space="preserve">The analogy that explains the scoring. </w:t>
      </w:r>
      <w:r>
        <w:rPr>
          <w:rFonts w:ascii="Arial" w:cs="Arial" w:eastAsia="Arial" w:hAnsi="Arial"/>
          <w:sz w:val="22"/>
          <w:szCs w:val="22"/>
        </w:rPr>
        <w:t xml:space="preserve">Think of it like a weather forecast for hidden disease. No forecast can say which raindrop will hit your house, and SPPF never says which person is undiagnosed. But it can say with confidence where it’s going to pour. Each of the 3,144 US counties gets a score built from seven ’weather instruments’ — the seven dimensions described in this document — and the counties are ranked from most to least promising.</w:t>
      </w:r>
    </w:p>
    <w:p>
      <w:pPr>
        <w:spacing w:after="160"/>
      </w:pPr>
      <w:r>
        <w:rPr>
          <w:rFonts w:ascii="Arial" w:cs="Arial" w:eastAsia="Arial" w:hAnsi="Arial"/>
          <w:b/>
          <w:bCs/>
          <w:sz w:val="22"/>
          <w:b/>
          <w:bCs/>
          <w:szCs w:val="22"/>
        </w:rPr>
        <w:t xml:space="preserve">What comes out of it — three things. </w:t>
      </w:r>
      <w:r>
        <w:rPr>
          <w:rFonts w:ascii="Arial" w:cs="Arial" w:eastAsia="Arial" w:hAnsi="Arial"/>
          <w:sz w:val="22"/>
          <w:szCs w:val="22"/>
        </w:rPr>
        <w:t xml:space="preserve">(1) A ranked map: every US county and ZIP code scored 0–100, with a percentile — ’this county beats 94% of the country’ — and a data-quality grade of A, B, or C that says how much real data backs that score. (2) A doctor list: from public Medicare statistics, the primary-care doctors whose patient panels and locations suggest they’re best placed to find undiagnosed people — ranked, with a plain-English reason for each. (3) A report card: after a health campaign runs in chosen counties, the platform compares them against statistically similar counties that had no campaign, and measures whether diagnosis rates actually rose. That’s the same logic clinical trials use — a treated group versus a control group.</w:t>
      </w:r>
    </w:p>
    <w:p>
      <w:pPr>
        <w:spacing w:after="160"/>
      </w:pPr>
      <w:r>
        <w:rPr>
          <w:rFonts w:ascii="Arial" w:cs="Arial" w:eastAsia="Arial" w:hAnsi="Arial"/>
          <w:b/>
          <w:bCs/>
          <w:sz w:val="22"/>
          <w:b/>
          <w:bCs/>
          <w:szCs w:val="22"/>
        </w:rPr>
        <w:t xml:space="preserve">What it deliberately does NOT do. </w:t>
      </w:r>
      <w:r>
        <w:rPr>
          <w:rFonts w:ascii="Arial" w:cs="Arial" w:eastAsia="Arial" w:hAnsi="Arial"/>
          <w:sz w:val="22"/>
          <w:szCs w:val="22"/>
        </w:rPr>
        <w:t xml:space="preserve">It never uses medical records, insurance claims, or any information about individual patients. Every input is a public, aggregate government statistic — the kind anyone can download. It cannot identify, and never tries to identify, any person. It is a planning tool that answers ’where should we run a screening program?’ — not a diagnostic tool.</w:t>
      </w:r>
    </w:p>
    <w:p>
      <w:pPr>
        <w:spacing w:after="160"/>
      </w:pPr>
      <w:r>
        <w:rPr>
          <w:rFonts w:ascii="Arial" w:cs="Arial" w:eastAsia="Arial" w:hAnsi="Arial"/>
          <w:b/>
          <w:bCs/>
          <w:sz w:val="22"/>
          <w:b/>
          <w:bCs/>
          <w:szCs w:val="22"/>
        </w:rPr>
        <w:t xml:space="preserve">What’s an estimate and what’s measured. </w:t>
      </w:r>
      <w:r>
        <w:rPr>
          <w:rFonts w:ascii="Arial" w:cs="Arial" w:eastAsia="Arial" w:hAnsi="Arial"/>
          <w:sz w:val="22"/>
          <w:szCs w:val="22"/>
        </w:rPr>
        <w:t xml:space="preserve">Estimates of hidden-patient counts use national averages applied locally (labeled as estimates). A few sub-signals are modeled rather than measured, and they’re labeled that way in the app. Where judgment calls exist — like how much weight each of the seven dimensions gets — the dashboard lets a skeptic change them live and watch the ranking barely move. The guiding principle throughout: show the seams rather than hide them.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   EXECUTIVE SUMMARY</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Silent Patient Pool Finder (SPPF) is a market access intelligence platform that scores every US county and ZIP Code Tabulation Area (ZCTA) across seven clinically grounded dimensions to identify where undiagnosed chronic disease burden is highest, where the healthcare system is least likely to catch it, and which type of program is most likely to convert that gap into diagnosed, treated patients.</w:t>
      </w:r>
    </w:p>
    <w:p>
      <w:pPr>
        <w:spacing w:after="140" w:before="0"/>
      </w:pPr>
      <w:r>
        <w:rPr>
          <w:rFonts w:ascii="Arial" w:cs="Arial" w:eastAsia="Arial" w:hAnsi="Arial"/>
          <w:color w:val="1A1A2E"/>
          <w:sz w:val="22"/>
          <w:szCs w:val="22"/>
        </w:rPr>
        <w:t xml:space="preserve">SPPF was built to answer the question that pharma market access teams face at every launch: where do we go first, and how do we make the case to a payer or health system? The platform provides an evidence-based, reproducible answer using exclusively publicly available government data — no proprietary data purchases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none" w:color="FFFFFF" w:sz="0"/>
              <w:left w:val="none" w:color="FFFFFF" w:sz="0"/>
              <w:bottom w:val="none" w:color="FFFFFF" w:sz="0"/>
              <w:right w:val="single" w:color="FFFFFF" w:sz="3"/>
            </w:tcBorders>
            <w:shd w:fill="1B3A5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3,144</w:t>
            </w:r>
          </w:p>
          <w:p>
            <w:pPr>
              <w:spacing w:after="0" w:before="0"/>
              <w:jc w:val="center"/>
            </w:pPr>
            <w:r>
              <w:rPr>
                <w:rFonts w:ascii="Arial" w:cs="Arial" w:eastAsia="Arial" w:hAnsi="Arial"/>
                <w:color w:val="D0DCE8"/>
                <w:sz w:val="18"/>
                <w:szCs w:val="18"/>
              </w:rPr>
              <w:t xml:space="preserve">Counties Scored</w:t>
            </w:r>
          </w:p>
        </w:tc>
        <w:tc>
          <w:tcPr>
            <w:tcW w:type="dxa" w:w="1944"/>
            <w:tcBorders>
              <w:top w:val="none" w:color="FFFFFF" w:sz="0"/>
              <w:left w:val="none" w:color="FFFFFF" w:sz="0"/>
              <w:bottom w:val="none" w:color="FFFFFF" w:sz="0"/>
              <w:right w:val="single" w:color="FFFFFF" w:sz="3"/>
            </w:tcBorders>
            <w:shd w:fill="E63946"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33,791</w:t>
            </w:r>
          </w:p>
          <w:p>
            <w:pPr>
              <w:spacing w:after="0" w:before="0"/>
              <w:jc w:val="center"/>
            </w:pPr>
            <w:r>
              <w:rPr>
                <w:rFonts w:ascii="Arial" w:cs="Arial" w:eastAsia="Arial" w:hAnsi="Arial"/>
                <w:color w:val="D0DCE8"/>
                <w:sz w:val="18"/>
                <w:szCs w:val="18"/>
              </w:rPr>
              <w:t xml:space="preserve">ZIPs Scored</w:t>
            </w:r>
          </w:p>
        </w:tc>
        <w:tc>
          <w:tcPr>
            <w:tcW w:type="dxa" w:w="1944"/>
            <w:tcBorders>
              <w:top w:val="none" w:color="FFFFFF" w:sz="0"/>
              <w:left w:val="none" w:color="FFFFFF" w:sz="0"/>
              <w:bottom w:val="none" w:color="FFFFFF" w:sz="0"/>
              <w:right w:val="single" w:color="FFFFFF" w:sz="3"/>
            </w:tcBorders>
            <w:shd w:fill="2A9D8F"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Dimensions</w:t>
            </w:r>
          </w:p>
        </w:tc>
        <w:tc>
          <w:tcPr>
            <w:tcW w:type="dxa" w:w="1944"/>
            <w:tcBorders>
              <w:top w:val="none" w:color="FFFFFF" w:sz="0"/>
              <w:left w:val="none" w:color="FFFFFF" w:sz="0"/>
              <w:bottom w:val="none" w:color="FFFFFF" w:sz="0"/>
              <w:right w:val="single" w:color="FFFFFF" w:sz="3"/>
            </w:tcBorders>
            <w:shd w:fill="457B9D"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7</w:t>
            </w:r>
          </w:p>
          <w:p>
            <w:pPr>
              <w:spacing w:after="0" w:before="0"/>
              <w:jc w:val="center"/>
            </w:pPr>
            <w:r>
              <w:rPr>
                <w:rFonts w:ascii="Arial" w:cs="Arial" w:eastAsia="Arial" w:hAnsi="Arial"/>
                <w:color w:val="D0DCE8"/>
                <w:sz w:val="18"/>
                <w:szCs w:val="18"/>
              </w:rPr>
              <w:t xml:space="preserve">Real Data Sources</w:t>
            </w:r>
          </w:p>
        </w:tc>
        <w:tc>
          <w:tcPr>
            <w:tcW w:type="dxa" w:w="1944"/>
            <w:tcBorders>
              <w:top w:val="none" w:color="FFFFFF" w:sz="0"/>
              <w:left w:val="none" w:color="FFFFFF" w:sz="0"/>
              <w:bottom w:val="none" w:color="FFFFFF" w:sz="0"/>
              <w:right w:val="single" w:color="FFFFFF" w:sz="3"/>
            </w:tcBorders>
            <w:shd w:fill="8338EC" w:val="clear"/>
            <w:tcMar>
              <w:top w:type="dxa" w:w="160"/>
              <w:left w:type="dxa" w:w="80"/>
              <w:bottom w:type="dxa" w:w="160"/>
              <w:right w:type="dxa" w:w="80"/>
            </w:tcMar>
            <w:vAlign w:val="center"/>
          </w:tcPr>
          <w:p>
            <w:pPr>
              <w:spacing w:after="40" w:before="0"/>
              <w:jc w:val="center"/>
            </w:pPr>
            <w:r>
              <w:rPr>
                <w:rFonts w:ascii="Arial" w:cs="Arial" w:eastAsia="Arial" w:hAnsi="Arial"/>
                <w:b/>
                <w:bCs/>
                <w:color w:val="FFFFFF"/>
                <w:sz w:val="56"/>
                <w:szCs w:val="56"/>
              </w:rPr>
              <w:t xml:space="preserve">3</w:t>
            </w:r>
          </w:p>
          <w:p>
            <w:pPr>
              <w:spacing w:after="0" w:before="0"/>
              <w:jc w:val="center"/>
            </w:pPr>
            <w:r>
              <w:rPr>
                <w:rFonts w:ascii="Arial" w:cs="Arial" w:eastAsia="Arial" w:hAnsi="Arial"/>
                <w:color w:val="D0DCE8"/>
                <w:sz w:val="18"/>
                <w:szCs w:val="18"/>
              </w:rPr>
              <w:t xml:space="preserve">Conditions</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scoring framework evaluates each geography on disease burden, diagnosis gap, access to care, social determinants, payer landscape, commercial readiness, and opportunity trajectory. Each dimension is scored 0–100 using real public data and combined into a composite Opportunity Score via a weighted sum. Counties scoring ≥55 are designated Priority markets; 40–54 are Emerging; below 40 are Developing.</w:t>
      </w:r>
    </w:p>
    <w:p>
      <w:pPr>
        <w:spacing w:after="140" w:before="0"/>
      </w:pPr>
      <w:r>
        <w:rPr>
          <w:rFonts w:ascii="Arial" w:cs="Arial" w:eastAsia="Arial" w:hAnsi="Arial"/>
          <w:color w:val="1A1A2E"/>
          <w:sz w:val="22"/>
          <w:szCs w:val="22"/>
        </w:rPr>
        <w:t xml:space="preserve">For every geography, the platform recommends the intervention type most likely to succeed given the specific dimensional profile — Payer Partnership, Community Health Center Partnership, Employer Wellness, Digital Health, or Pharmacy-Based Screening. This recommendation is rule-based and transparent, derived directly from the scoring outputs.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SPPF uses no proprietary or syndicated data. Every score is reproducible from publicly available government sources: CDC, Census Bureau, CMS, HRSA, USDA, and the Robert Wood Johnson Foundation. This makes the output defensible in any payer or health system conversation.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2.   THE UNDIAGNOSED CHRONIC DISEASE PROBLEM</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Chronic conditions — type 2 diabetes (T2D), hypertension (HTN), and hypothyroidism — represent among the highest-burden, highest-cost conditions in the US healthcare system. Yet a substantial fraction of affected individuals remain undiagnosed and untreated, creating both a significant public health problem and a commercially addressable market.</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Scale of the Undiagnosed Population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Total Prevalence</w:t>
            </w:r>
          </w:p>
        </w:tc>
        <w:tc>
          <w:tcPr>
            <w:tcW w:type="dxa" w:w="1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Estimated Undiagnosed</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37.3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8.5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 CDC National Diabetes Statistics Report 2022</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122.4 million</w:t>
            </w:r>
          </w:p>
        </w:tc>
        <w:tc>
          <w:tcPr>
            <w:tcW w:type="dxa" w:w="1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 million</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Heart Association Heart Disease Statistics 2023</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 million</w:t>
            </w:r>
          </w:p>
        </w:tc>
        <w:tc>
          <w:tcPr>
            <w:tcW w:type="dxa" w:w="1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 million</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Vanderbilt clinical data</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Why Traditional Approaches Fall Short</w:t>
      </w:r>
    </w:p>
    <w:p>
      <w:pPr>
        <w:spacing w:after="140" w:before="0"/>
      </w:pPr>
      <w:r>
        <w:rPr>
          <w:rFonts w:ascii="Arial" w:cs="Arial" w:eastAsia="Arial" w:hAnsi="Arial"/>
          <w:color w:val="1A1A2E"/>
          <w:sz w:val="22"/>
          <w:szCs w:val="22"/>
        </w:rPr>
        <w:t xml:space="preserve">Standard market segmentation approaches — physician target lists, prescription data, claims analysis — are inherently backward-looking: they identify markets where diagnosis and treatment are already happening. They systematically miss the geographies where the problem is largest but healthcare engagement is lowest.</w:t>
      </w:r>
    </w:p>
    <w:p>
      <w:pPr>
        <w:pStyle w:val="ListParagraph"/>
        <w:numPr>
          <w:ilvl w:val="0"/>
          <w:numId w:val="2"/>
        </w:numPr>
        <w:spacing w:after="70" w:before="0"/>
      </w:pPr>
      <w:r>
        <w:rPr>
          <w:rFonts w:ascii="Arial" w:cs="Arial" w:eastAsia="Arial" w:hAnsi="Arial"/>
          <w:b w:val="false"/>
          <w:bCs w:val="false"/>
          <w:color w:val="1A1A2E"/>
          <w:sz w:val="22"/>
          <w:szCs w:val="22"/>
        </w:rPr>
        <w:t xml:space="preserve">Claims-based analysis cannot see undiagnosed patients by definition — they have no claims.</w:t>
      </w:r>
    </w:p>
    <w:p>
      <w:pPr>
        <w:pStyle w:val="ListParagraph"/>
        <w:numPr>
          <w:ilvl w:val="0"/>
          <w:numId w:val="2"/>
        </w:numPr>
        <w:spacing w:after="70" w:before="0"/>
      </w:pPr>
      <w:r>
        <w:rPr>
          <w:rFonts w:ascii="Arial" w:cs="Arial" w:eastAsia="Arial" w:hAnsi="Arial"/>
          <w:b w:val="false"/>
          <w:bCs w:val="false"/>
          <w:color w:val="1A1A2E"/>
          <w:sz w:val="22"/>
          <w:szCs w:val="22"/>
        </w:rPr>
        <w:t xml:space="preserve">Physician targeting overlooks the structural barriers (poverty, food insecurity, rural isolation) that determine whether an identified patient will follow through on a referral.</w:t>
      </w:r>
    </w:p>
    <w:p>
      <w:pPr>
        <w:pStyle w:val="ListParagraph"/>
        <w:numPr>
          <w:ilvl w:val="0"/>
          <w:numId w:val="2"/>
        </w:numPr>
        <w:spacing w:after="70" w:before="0"/>
      </w:pPr>
      <w:r>
        <w:rPr>
          <w:rFonts w:ascii="Arial" w:cs="Arial" w:eastAsia="Arial" w:hAnsi="Arial"/>
          <w:b w:val="false"/>
          <w:bCs w:val="false"/>
          <w:color w:val="1A1A2E"/>
          <w:sz w:val="22"/>
          <w:szCs w:val="22"/>
        </w:rPr>
        <w:t xml:space="preserve">National averages mask enormous county-level variation: diabetes prevalence ranges from 5.2% to 22.4% across US counties, a more than 4× spread.</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The SPPF Approach</w:t>
      </w:r>
    </w:p>
    <w:p>
      <w:pPr>
        <w:spacing w:after="140" w:before="0"/>
      </w:pPr>
      <w:r>
        <w:rPr>
          <w:rFonts w:ascii="Arial" w:cs="Arial" w:eastAsia="Arial" w:hAnsi="Arial"/>
          <w:color w:val="1A1A2E"/>
          <w:sz w:val="22"/>
          <w:szCs w:val="22"/>
        </w:rPr>
        <w:t xml:space="preserve">SPPF inverts the traditional approach. Instead of starting with diagnosed patient claims, it starts with population-level disease burden estimates from the CDC and Census, then identifies where the gap between burden and treatment is widest, and then overlays access infrastructure, social determinants, and payer incentives to produce an actionable market prioritization.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core insight: the largest market opportunity is not where the most patients are already diagnosed — it is where the most patients exist but have never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3.   PLATFORM OVERVIEW</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Architecture</w:t>
      </w:r>
    </w:p>
    <w:p>
      <w:pPr>
        <w:spacing w:after="140" w:before="0"/>
      </w:pPr>
      <w:r>
        <w:rPr>
          <w:rFonts w:ascii="Arial" w:cs="Arial" w:eastAsia="Arial" w:hAnsi="Arial"/>
          <w:color w:val="1A1A2E"/>
          <w:sz w:val="22"/>
          <w:szCs w:val="22"/>
        </w:rPr>
        <w:t xml:space="preserve">SPPF operates as a three-layer pipeline:</w:t>
      </w:r>
    </w:p>
    <w:p>
      <w:pPr>
        <w:pStyle w:val="ListParagraph"/>
        <w:numPr>
          <w:ilvl w:val="0"/>
          <w:numId w:val="2"/>
        </w:numPr>
        <w:spacing w:after="70" w:before="0"/>
      </w:pPr>
      <w:r>
        <w:rPr>
          <w:rFonts w:ascii="Arial" w:cs="Arial" w:eastAsia="Arial" w:hAnsi="Arial"/>
          <w:b/>
          <w:bCs/>
          <w:color w:val="1A1A2E"/>
          <w:sz w:val="22"/>
          <w:szCs w:val="22"/>
        </w:rPr>
        <w:t xml:space="preserve">Ingestion Layer: Downloads and caches raw data from seven government sources. All data is normalized to county FIPS or ZCTA identifier, enabling cross-source joins without commercial geocoding.</w:t>
      </w:r>
    </w:p>
    <w:p>
      <w:pPr>
        <w:pStyle w:val="ListParagraph"/>
        <w:numPr>
          <w:ilvl w:val="0"/>
          <w:numId w:val="2"/>
        </w:numPr>
        <w:spacing w:after="70" w:before="0"/>
      </w:pPr>
      <w:r>
        <w:rPr>
          <w:rFonts w:ascii="Arial" w:cs="Arial" w:eastAsia="Arial" w:hAnsi="Arial"/>
          <w:b/>
          <w:bCs/>
          <w:color w:val="1A1A2E"/>
          <w:sz w:val="22"/>
          <w:szCs w:val="22"/>
        </w:rPr>
        <w:t xml:space="preserve">Scoring Engine: Computes all seven dimension scores (0–100) for each geography using min-max normalization within the national sample, then produces a weighted composite Opportunity Score and assigns each county or ZIP to a priority tier.</w:t>
      </w:r>
    </w:p>
    <w:p>
      <w:pPr>
        <w:pStyle w:val="ListParagraph"/>
        <w:numPr>
          <w:ilvl w:val="0"/>
          <w:numId w:val="2"/>
        </w:numPr>
        <w:spacing w:after="70" w:before="0"/>
      </w:pPr>
      <w:r>
        <w:rPr>
          <w:rFonts w:ascii="Arial" w:cs="Arial" w:eastAsia="Arial" w:hAnsi="Arial"/>
          <w:b/>
          <w:bCs/>
          <w:color w:val="1A1A2E"/>
          <w:sz w:val="22"/>
          <w:szCs w:val="22"/>
        </w:rPr>
        <w:t xml:space="preserve">Dashboard Layer: A Streamlit application with seven analytical views — market overview, dimension analysis, investment planning, geographic maps, payer landscape, state drill-down, and ZIP territory analysis — plus a Territory Builder for field teams.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Two-Level Geographic Coverage</w:t>
      </w:r>
    </w:p>
    <w:p>
      <w:pPr>
        <w:spacing w:after="140" w:before="0"/>
      </w:pPr>
      <w:r>
        <w:rPr>
          <w:rFonts w:ascii="Arial" w:cs="Arial" w:eastAsia="Arial" w:hAnsi="Arial"/>
          <w:color w:val="1A1A2E"/>
          <w:sz w:val="22"/>
          <w:szCs w:val="22"/>
        </w:rPr>
        <w:t xml:space="preserve">SPPF scores geographies at two resolutions: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4320"/>
      </w:tblGrid>
      <w:tr>
        <w:trPr>
          <w:tblHeader/>
        </w:trPr>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Level</w:t>
            </w:r>
          </w:p>
        </w:tc>
        <w:tc>
          <w:tcPr>
            <w:tcW w:type="dxa" w:w="3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43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Use</w:t>
            </w:r>
          </w:p>
        </w:tc>
      </w:tr>
      <w:tr>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3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Counties and County Equivalents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3,144</w:t>
            </w:r>
          </w:p>
        </w:tc>
        <w:tc>
          <w:tcPr>
            <w:tcW w:type="dxa" w:w="43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Strategic market planning, payer partnership targeting, investment allocation</w:t>
            </w:r>
          </w:p>
        </w:tc>
      </w:tr>
      <w:tr>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ZIP/ZCTA</w:t>
            </w:r>
          </w:p>
        </w:tc>
        <w:tc>
          <w:tcPr>
            <w:tcW w:type="dxa" w:w="3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ZIP Code Tabulation Areas (Census)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33,791</w:t>
            </w:r>
          </w:p>
        </w:tc>
        <w:tc>
          <w:tcPr>
            <w:tcW w:type="dxa" w:w="43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Field territory design, rep targeting, ZIP-level scorecard generation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ZIP-level scores are computed using real CDC PLACES and Census ACS data at the ZCTA level where available. For dimensions where ZCTA-level data is not published by the source (payer landscape, commercial readiness, trajectory), county-level dimension scores are downscaled to ZIP level using a population-weighted Census ZCTA-to-county crosswalk.</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Conditions Covered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920"/>
      </w:tblGrid>
      <w:tr>
        <w:trPr>
          <w:tblHeader/>
        </w:trPr>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ICD-10</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w:t>
            </w:r>
          </w:p>
        </w:tc>
        <w:tc>
          <w:tcPr>
            <w:tcW w:type="dxa" w:w="4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 Weighting</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 (T2D)</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E11.x</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framework weights — T2D is the primary scoring condition</w:t>
            </w:r>
          </w:p>
        </w:tc>
      </w:tr>
      <w:tr>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 (HTN)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I10</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w:t>
            </w:r>
          </w:p>
        </w:tc>
        <w:tc>
          <w:tcPr>
            <w:tcW w:type="dxa" w:w="4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HTN-specific CMS GV PUF signals used in Diagnosis Gap</w:t>
            </w:r>
          </w:p>
        </w:tc>
      </w:tr>
      <w:tr>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E03.9</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w:t>
            </w:r>
          </w:p>
        </w:tc>
        <w:tc>
          <w:tcPr>
            <w:tcW w:type="dxa" w:w="4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Identical dimension weights; thyroid-specific prevalence signals applied where available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4.   THE 7-DIMENSION SCORING FRAMEWORK</w:t>
            </w:r>
          </w:p>
        </w:tc>
      </w:tr>
    </w:tbl>
    <w:p>
      <w:pPr>
        <w:spacing w:after="16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SPPF framework evaluates each geography on seven independent dimensions, each answering a distinct strategic question. No single dimension is sufficient — a county may have high disease burden but strong diagnosis rates, or poor payer incentives but exceptional community health infrastructure. The composite score integrates all seven to produce a holistic opportunity ranking.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800"/>
        <w:gridCol w:w="592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59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59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59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 — and when should we move?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All dimension scores are min-max normalized within the national county sample before weighting. This means a score of 70 indicates a county at approximately the 70th percentile nationally on that dimension, not an absolute value. The composite Opportunity Score is the weighted sum of all seven dimension scores.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Dimension weights reflect clinical and commercial judgment about which factors most reliably predict successful patient identification program outcomes. The diagnosis gap carries the highest weight because it directly quantifies the addressable market — patients who exist but have not been found.</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76F5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1:   DISEASE BURDEN   (Weight: 20%)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big is the undiagnosed opportunity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Disease Burden measures the total prevalence and severity of chronic disease in a geography. It combines the direct disease prevalence signal (CDC PLACES diagnosed diabetes rate) with risk-amplifying comorbidities — obesity, hypertension co-occurrence, and poor physical health — that predict undiagnosed disease in the population not yet captured by primary care. A high SES Disadvantage Index further amplifies burden, reflecting that structurally disadvantaged populations carry disproportionate disease load.</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76F5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Disease Burden alone is not sufficient to identify the best markets. A high-burden county with a fully-functioning care system (low diagnosis gap) has fewer undiagnosed patients than a lower-burden county that is systematically missing cases. Always interpret Disease Burden in conjunction with Dimension 2 (Diagnosis Gap).</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Rate (% adults with diabetes)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Obesity Rate (% adults with obesity)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Hypertension Co-occurrence (% adults with HTN)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Poor Physical Health Rate (% reporting ≥14 poor days)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deprivation)</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76F51"/>
          <w:sz w:val="22"/>
          <w:szCs w:val="22"/>
        </w:rPr>
        <w:t xml:space="preserve">How to Interpret This Score</w:t>
      </w:r>
    </w:p>
    <w:p>
      <w:pPr>
        <w:spacing w:after="140" w:before="0"/>
      </w:pPr>
      <w:r>
        <w:rPr>
          <w:rFonts w:ascii="Arial" w:cs="Arial" w:eastAsia="Arial" w:hAnsi="Arial"/>
          <w:color w:val="1A1A2E"/>
          <w:sz w:val="22"/>
          <w:szCs w:val="22"/>
        </w:rPr>
        <w:t xml:space="preserve">A Disease Burden score of ≥70 indicates a county in approximately the top 30% nationally for multi-condition disease burden — typically Deep South, Appalachian, or rural Midwest counties where T2D prevalence exceeds 14–15% and obesity rates exceed 40%. These counties have the largest absolute pool of undiagnosed patients. Scores in the 40–70 range represent the national mid-tier; scores below 40 reflect lighter-burden geographies (e.g., Mountain West, suburban Northeast) where opportunity exists but is smaller in absolute terms.</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E63946"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2:   DIAGNOSIS GAP   (Weight: 25%)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many silent patients are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Diagnosis Gap is the most heavily weighted dimension because it directly quantifies the addressable market: patients who have the disease but have never been identified by the healthcare system. The signal is constructed by comparing observed county-level disease burden (CDC PLACES population prevalence) to actual Medicare diagnosis rates (CMS Geographic Variation Public Use File). Counties where the Medicare system is diagnosing fewer T2D or HTN cases than the national peer median have a structural detection deficit — more silent patients per capita than average.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E63946"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Diagnosis Gap weight of 25% reflects the clinical reality that the American Diabetes Association estimates 23.1% of US adults with diabetes are undiagnosed, and the American Heart Association estimates 27% of hypertensives are unaware of their diagnosis. These are not edge cases — they represent tens of millions of Americans that primary care is missing.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Treatment Penetration Gap (CDC PLACES × CMS GV PUF deficit)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CMS Geographic Variation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Medicare Diagnosis Deficit (below-median CMS HTN rate)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PUF (Medicare claims)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Diagnostic Orphan Proxy (SES disadvantage × low checkup rate)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 Census ACS 5-Year</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(inverted — low checkup = higher gap)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(cost barrier preventing diagnosis)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E63946"/>
          <w:sz w:val="22"/>
          <w:szCs w:val="22"/>
        </w:rPr>
        <w:t xml:space="preserve">How to Interpret This Score</w:t>
      </w:r>
    </w:p>
    <w:p>
      <w:pPr>
        <w:spacing w:after="140" w:before="0"/>
      </w:pPr>
      <w:r>
        <w:rPr>
          <w:rFonts w:ascii="Arial" w:cs="Arial" w:eastAsia="Arial" w:hAnsi="Arial"/>
          <w:color w:val="1A1A2E"/>
          <w:sz w:val="22"/>
          <w:szCs w:val="22"/>
        </w:rPr>
        <w:t xml:space="preserve">The T2D Treatment Penetration Gap is the primary signal: it multiplies CDC PLACES diabetes prevalence by the county's CMS Medicare detection deficit (how far below the national county median that county's Medicare T2D diagnosis rate falls). Counties with both high prevalence and below-median Medicare detection represent the widest population-level gap. The HTN deficit uses the same construction — the national Medicare HTN diagnosed rate is approximately 57–60%; counties well below this median are systematically failing to identify hypertension in their Medicare population.</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A9D8F"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3:   ACCESS TO CARE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Does the infrastructure exist to act on what we find?</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Access to Care assesses whether a screened, identified patient can realistically get diagnosed and treated in that geography. A county may have a large diagnosis gap but if the healthcare infrastructure does not exist to follow through on a referral, identification programs will fail to convert patients into treated individuals. Access is measured through federal shortage area designations, federally qualified health center presence, rural classification, and actual care-seeking behavior.</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2A9D8F"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HPSA designation is a federal Health Professional Shortage Area flag published by HRSA. Counties with primary care HPSA designations have fewer physicians per capita than federal thresholds require. FQHCs (Federally Qualified Health Centers) are federally funded community health centers required to serve all patients regardless of ability to pay — their presence signals that basic primary care infrastructure exists even in high-shortage areas.</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Absence of HPSA Designation (inverted — no shortage = better access)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Health Professional Shortage Area (HPSA) Database</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FQHC Presence (safety net infrastructure available)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HRSA HPSA Database / Bureau of Primary Health Care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 better provider density)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Rural-Urban Continuum Codes (RUCC)</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(proxy for active primary care utilization)</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2A9D8F"/>
          <w:sz w:val="22"/>
          <w:szCs w:val="22"/>
        </w:rPr>
        <w:t xml:space="preserve">How to Interpret This Score</w:t>
      </w:r>
    </w:p>
    <w:p>
      <w:pPr>
        <w:spacing w:after="140" w:before="0"/>
      </w:pPr>
      <w:r>
        <w:rPr>
          <w:rFonts w:ascii="Arial" w:cs="Arial" w:eastAsia="Arial" w:hAnsi="Arial"/>
          <w:color w:val="1A1A2E"/>
          <w:sz w:val="22"/>
          <w:szCs w:val="22"/>
        </w:rPr>
        <w:t xml:space="preserve">Access to Care functions as a program design modifier, not a disqualifier. Low-access counties (score &lt;40) with high Diagnosis Gap scores are prioritized for Community Health Center Partnership programs — the intervention design adapts to the available infrastructure. High-access counties (score ≥65) with strong payer landscapes are candidates for payer partnership or pharmacy-based programs that depend on an activated referral network.</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F4A261"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4:   SOCIAL DETERMINANTS   (Weight: 15%)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What is causing the gap — and what type of program will work?</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Social Determinants identifies the structural root causes driving the diagnosis gap. These factors — poverty, food insecurity, educational attainment, racial demographic composition, and insurance coverage — determine both why patients are undiagnosed and which type of intervention will be most effective at reaching them. High social determinants burden signals a complex market requiring community partnerships and culturally competent outreach; it does not disqualify a market but it does shape the program design.</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F4A261"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USDA Food Environment Atlas (ERS PCT_LACCESS_POP15) measures the percentage of the county population with low access to a grocery store — defined as residing more than 1 mile (urban) or 10 miles (rural) from the nearest supermarket. Food desert populations have significantly elevated T2D and HTN risk due to diet-quality constraints, making this a strong structural predictor of undiagnosed disease burden.</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Poverty Rate (% population below federal poverty line)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 Census / USDA SAIPE (Small Area Income &amp; Poverty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SES Disadvantage Index (composite ACS deprivation score)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(income, education, employment, housing)</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Racial Risk Index (population-weighted T2D/HTN disease risk)</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(race/ethnicity × published CDC risk rates)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Uninsured Rate (% population without health coverage)</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Food Desert Population % (low grocery access — USDA ERS)</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USDA Food Environment Atlas (PCT_LACCESS_POP15)</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HS Graduation Rate (inverted — low education = health literacy barrier)</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County Health Rankings (Robert Wood Johnson Foundation)</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F4A261"/>
          <w:sz w:val="22"/>
          <w:szCs w:val="22"/>
        </w:rPr>
        <w:t xml:space="preserve">How to Interpret This Score</w:t>
      </w:r>
    </w:p>
    <w:p>
      <w:pPr>
        <w:spacing w:after="140" w:before="0"/>
      </w:pPr>
      <w:r>
        <w:rPr>
          <w:rFonts w:ascii="Arial" w:cs="Arial" w:eastAsia="Arial" w:hAnsi="Arial"/>
          <w:color w:val="1A1A2E"/>
          <w:sz w:val="22"/>
          <w:szCs w:val="22"/>
        </w:rPr>
        <w:t xml:space="preserve">The structural-risk uplift (internally named racial_risk_index for legacy reasons) is currently an SES-derived proxy: a rescaling of the composite socioeconomic deprivation index. It does NOT yet use county demographic composition data. Published CDC risk differentials by demographic group (e.g. elevated T2D risk among Black, Hispanic/Latino, and American Indian/Alaska Native adults) motivate adding a true demographics-based signal from Census ACS as a roadmap item; until then, no demographic claim should be attached to this component.</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457B9D"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5:   PAYER LANDSCAPE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Who pays for the solution — and why would they say yes?</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Payer Landscape determines who insures the undiagnosed population and what financial incentives exist to fund a patient identification program. Medicare Advantage (MA) plans have the strongest incentives: their Stars quality ratings include diabetes and hypertension care measures, and every percentage-point improvement in Stars ratings translates to significant per-member-per-year bonus payments from CMS. Counties with high MA penetration are the highest-readiness markets for payer partnership pitches.</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Medicare Advantage Penetration Rate (% Medicare beneficiaries in MA)</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40%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Geographic Variation Public Use File (GV PUF)</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Medicaid Penetration (% population enrolled in Medicaid/CHIP)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CMS State Medicaid data</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Commercial Coverage Rate (% population with employer/private coverage)</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Dual Eligible Rate (Medicare + Medicaid co-enrollment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10%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CMS GV PUF / Census ACS composite</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457B9D"/>
          <w:sz w:val="22"/>
          <w:szCs w:val="22"/>
        </w:rPr>
        <w:t xml:space="preserve">How to Interpret This Score</w:t>
      </w:r>
    </w:p>
    <w:p>
      <w:pPr>
        <w:spacing w:after="140" w:before="0"/>
      </w:pPr>
      <w:r>
        <w:rPr>
          <w:rFonts w:ascii="Arial" w:cs="Arial" w:eastAsia="Arial" w:hAnsi="Arial"/>
          <w:color w:val="1A1A2E"/>
          <w:sz w:val="22"/>
          <w:szCs w:val="22"/>
        </w:rPr>
        <w:t xml:space="preserve">Counties with MA penetration above 40% have a critical mass of Medicare beneficiaries in plans with quality-driven financial incentives. The CMS Stars Ratings system rewards MA plans for diabetes eye exam rates, HbA1c testing, blood pressure control, and medication adherence — all of which improve when previously undiagnosed patients enter the care system. Counties with Medicaid penetration above 30% are candidates for MCO-funded programs with HEDIS measure improvement as the ROI driver.</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8338E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6:   COMMERCIAL READINESS   (Weight: 10%)</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How hard is it to run a program here?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Commercial Readiness assesses the operational feasibility of launching and scaling a patient identification program in a given geography. Even the highest-opportunity market is commercially useless if the field infrastructure required to execute a program does not exist. Readiness is measured through digital connectivity (broadband), urbanicity (proxy for pharmacy density and health system infrastructure), income (proxy for OTC product engagement), and existing care-seeking behavior.</w:t>
      </w:r>
    </w:p>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Broadband Access Rate (% households with broadband internet)</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30%</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Non-Rural Classification (urban/suburban infrastructure proxy)</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 USDA Rural-Urban Continuum Codes (RUCC 1–6)</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Median Household Income (OTC purchasing / engagement proxy)</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Annual Checkup Rate (existing patient-provider relationship)</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(2022 BRFSS)</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8338EC"/>
          <w:sz w:val="22"/>
          <w:szCs w:val="22"/>
        </w:rPr>
        <w:t xml:space="preserve">How to Interpret This Score</w:t>
      </w:r>
    </w:p>
    <w:p>
      <w:pPr>
        <w:spacing w:after="140" w:before="0"/>
      </w:pPr>
      <w:r>
        <w:rPr>
          <w:rFonts w:ascii="Arial" w:cs="Arial" w:eastAsia="Arial" w:hAnsi="Arial"/>
          <w:color w:val="1A1A2E"/>
          <w:sz w:val="22"/>
          <w:szCs w:val="22"/>
        </w:rPr>
        <w:t xml:space="preserve">Broadband access above 75% indicates a market where digital health programs — telehealth-based screening, CGM-connected identification, app-based navigation — are operationally viable. Non-rural counties (RUCC codes 1–3: metropolitan areas) typically have retail pharmacy density sufficient for pharmacy-based screening programs and are more likely to have large self-insured employers for wellness program partnerships. Counties with median household income above $55,000 show higher OTC product engagement, suggesting an activated consumer health behavior that screening programs can intercept.</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6A67A"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DIMENSION 7:   TRAJECTORY   (Weight: 5%)</w:t>
            </w:r>
          </w:p>
        </w:tc>
      </w:tr>
    </w:tbl>
    <w:p>
      <w:pPr>
        <w:spacing w:after="14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00"/>
              <w:left w:type="dxa" w:w="200"/>
              <w:bottom w:type="dxa" w:w="100"/>
              <w:right w:type="dxa" w:w="200"/>
            </w:tcMar>
          </w:tcPr>
          <w:p>
            <w:pPr>
              <w:spacing w:after="40" w:before="0"/>
            </w:pPr>
            <w:r>
              <w:rPr>
                <w:rFonts w:ascii="Arial" w:cs="Arial" w:eastAsia="Arial" w:hAnsi="Arial"/>
                <w:b/>
                <w:bCs/>
                <w:color w:val="A8C4DC"/>
                <w:sz w:val="17"/>
                <w:szCs w:val="17"/>
              </w:rPr>
              <w:t xml:space="preserve">STRATEGIC QUESTION</w:t>
            </w:r>
          </w:p>
          <w:p>
            <w:pPr>
              <w:spacing w:after="0" w:before="0"/>
            </w:pPr>
            <w:r>
              <w:rPr>
                <w:rFonts w:ascii="Arial" w:cs="Arial" w:eastAsia="Arial" w:hAnsi="Arial"/>
                <w:b/>
                <w:bCs/>
                <w:i/>
                <w:iCs/>
                <w:color w:val="FFFFFF"/>
                <w:sz w:val="23"/>
                <w:szCs w:val="23"/>
              </w:rPr>
              <w:t xml:space="preserve">Is this market getting better or worse — and when should we move?</w:t>
            </w:r>
          </w:p>
        </w:tc>
      </w:tr>
    </w:tbl>
    <w:p>
      <w:pPr>
        <w:spacing w:after="12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Trajectory answers the timing question: should you launch now, or are there higher-priority markets to address first? Counties where chronic disease burden is actively growing — where CDC PLACES shows rising diabetes and hypertension prevalence between release years — represent expanding markets where early entry captures more patients over a program lifecycle than waiting. Aging population and structural socioeconomic factors drive long-term trajectory even when near-term trend data is unavailable.</w:t>
      </w:r>
    </w:p>
    <w:p>
      <w:pPr>
        <w:spacing w:after="6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06A67A"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Trajectory is a tiebreaker, not a primary driver. Two counties with identical composite scores should prioritize the higher-trajectory market for first deployment, as the opportunity is expanding rather than stable or contracting.</w:t>
            </w:r>
          </w:p>
        </w:tc>
      </w:tr>
    </w:tbl>
    <w:p>
      <w:pPr>
        <w:spacing w:after="8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Scoring Signals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5120"/>
      </w:tblGrid>
      <w:tr>
        <w:trPr>
          <w:tblHeader/>
        </w:trPr>
        <w:tc>
          <w:tcPr>
            <w:tcW w:type="dxa" w:w="36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Signal</w:t>
            </w:r>
          </w:p>
        </w:tc>
        <w:tc>
          <w:tcPr>
            <w:tcW w:type="dxa" w:w="1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Weight</w:t>
            </w:r>
          </w:p>
        </w:tc>
        <w:tc>
          <w:tcPr>
            <w:tcW w:type="dxa" w:w="5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jc w:val="left"/>
            </w:pPr>
            <w:r>
              <w:rPr>
                <w:rFonts w:ascii="Arial" w:cs="Arial" w:eastAsia="Arial" w:hAnsi="Arial"/>
                <w:b/>
                <w:bCs/>
                <w:color w:val="FFFFFF"/>
                <w:sz w:val="20"/>
                <w:szCs w:val="20"/>
              </w:rPr>
              <w:t xml:space="preserve">Primary Data Source</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T2D Prevalence Trend (2022→2024 CDC PLACES delta, positive = growing)</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35%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 (2022 vs. 2020 BRFSS)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HTN Prevalence Trend (2022→2024 CDC PLACES delta, positive = growing)</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CDC PLACES 2024 vs. CDC PLACES 2022</w:t>
            </w:r>
          </w:p>
        </w:tc>
      </w:tr>
      <w:tr>
        <w:tc>
          <w:tcPr>
            <w:tcW w:type="dxa" w:w="36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Aging Population (% adults 65+ — future T2D/HTN incidence driver)</w:t>
            </w:r>
          </w:p>
        </w:tc>
        <w:tc>
          <w:tcPr>
            <w:tcW w:type="dxa" w:w="1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25%</w:t>
            </w:r>
          </w:p>
        </w:tc>
        <w:tc>
          <w:tcPr>
            <w:tcW w:type="dxa" w:w="5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Estimates</w:t>
            </w:r>
          </w:p>
        </w:tc>
      </w:tr>
      <w:tr>
        <w:tc>
          <w:tcPr>
            <w:tcW w:type="dxa" w:w="36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SDoH + Rural Widening Proxy (structural gap-widening factors)</w:t>
            </w:r>
          </w:p>
        </w:tc>
        <w:tc>
          <w:tcPr>
            <w:tcW w:type="dxa" w:w="1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center"/>
            </w:pPr>
            <w:r>
              <w:rPr>
                <w:rFonts w:ascii="Arial" w:cs="Arial" w:eastAsia="Arial" w:hAnsi="Arial"/>
                <w:color w:val="1A1A2E"/>
                <w:sz w:val="20"/>
                <w:szCs w:val="20"/>
              </w:rPr>
              <w:t xml:space="preserve">20%</w:t>
            </w:r>
          </w:p>
        </w:tc>
        <w:tc>
          <w:tcPr>
            <w:tcW w:type="dxa" w:w="5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jc w:val="left"/>
            </w:pPr>
            <w:r>
              <w:rPr>
                <w:rFonts w:ascii="Arial" w:cs="Arial" w:eastAsia="Arial" w:hAnsi="Arial"/>
                <w:color w:val="1A1A2E"/>
                <w:sz w:val="20"/>
                <w:szCs w:val="20"/>
              </w:rPr>
              <w:t xml:space="preserve">Census ACS 5-Year + USDA RUCC</w:t>
            </w:r>
          </w:p>
        </w:tc>
      </w:tr>
    </w:tbl>
    <w:p>
      <w:pPr>
        <w:spacing w:after="120" w:before="0"/>
      </w:pPr>
      <w:r>
        <w:rPr>
          <w:rFonts w:ascii="Arial" w:cs="Arial" w:eastAsia="Arial" w:hAnsi="Arial"/>
          <w:sz w:val="22"/>
          <w:szCs w:val="22"/>
        </w:rPr>
        <w:t xml:space="preserve"/>
      </w:r>
    </w:p>
    <w:p>
      <w:pPr>
        <w:spacing w:after="70" w:before="200"/>
      </w:pPr>
      <w:r>
        <w:rPr>
          <w:rFonts w:ascii="Arial" w:cs="Arial" w:eastAsia="Arial" w:hAnsi="Arial"/>
          <w:b/>
          <w:bCs/>
          <w:color w:val="06A67A"/>
          <w:sz w:val="22"/>
          <w:szCs w:val="22"/>
        </w:rPr>
        <w:t xml:space="preserve">How to Interpret This Score</w:t>
      </w:r>
    </w:p>
    <w:p>
      <w:pPr>
        <w:spacing w:after="140" w:before="0"/>
      </w:pPr>
      <w:r>
        <w:rPr>
          <w:rFonts w:ascii="Arial" w:cs="Arial" w:eastAsia="Arial" w:hAnsi="Arial"/>
          <w:color w:val="1A1A2E"/>
          <w:sz w:val="22"/>
          <w:szCs w:val="22"/>
        </w:rPr>
        <w:t xml:space="preserve">CDC PLACES 2022 release uses 2020 BRFSS survey data; CDC PLACES 2024 uses 2022 BRFSS data. A positive T2D or HTN trend value indicates that chronic disease burden in that county increased between those two survey years. Counties with growing burden have more undiagnosed patients entering the addressable pool each year — first-mover advantage is stronger in these markets. Trajectory carries the lowest dimension weight (5%) because it is directional context, not an independent disqualifying signal.</w:t>
      </w:r>
    </w:p>
    <w:p>
      <w:pPr>
        <w:spacing w:after="6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5.   DATA SOURCES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uses seven publicly available government and foundation datasets. All data is downloaded programmatically from official sources and cached locally. No proprietary data, no vendor licenses, no API subscription fees are required.</w:t>
      </w:r>
    </w:p>
    <w:p>
      <w:pPr>
        <w:spacing w:after="10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3120"/>
      </w:tblGrid>
      <w:tr>
        <w:trPr>
          <w:tblHeader/>
        </w:trPr>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Publisher</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Geography</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Update Cadence</w:t>
            </w:r>
          </w:p>
        </w:tc>
        <w:tc>
          <w:tcPr>
            <w:tcW w:type="dxa" w:w="31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Variables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(2022 BRFSS data)</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Diabetes, obesity, hypertension, checkup, smoking prevalence rates</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2022
(2020 BRFSS data)</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 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Historical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Same measures — used for trajectory delta (prior year)</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5-Year
(most recent release)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Census Bureau</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 ZCTA</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Poverty, income, insurance, education, broadband, demographics, population</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Geographic
Variation PUF</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Centers for Medicare &amp; Medicaid</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Medicare T2D and HTN diagnosis rates, Medicare Advantage penetration, beneficiary counts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Database</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Health Resources &amp; Services Administration</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Quarterly</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Health Professional Shortage Area designations, FQHC presence</w:t>
            </w:r>
          </w:p>
        </w:tc>
      </w:tr>
      <w:tr>
        <w:tc>
          <w:tcPr>
            <w:tcW w:type="dxa" w:w="20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 Health
Rankings (RWJ)</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Robert Wood Johnson Foundation</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Annual</w:t>
            </w:r>
          </w:p>
        </w:tc>
        <w:tc>
          <w:tcPr>
            <w:tcW w:type="dxa" w:w="31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Primary care ratios, food insecurity, HS graduation rates, SDoH composites</w:t>
            </w:r>
          </w:p>
        </w:tc>
      </w:tr>
      <w:tr>
        <w:tc>
          <w:tcPr>
            <w:tcW w:type="dxa" w:w="20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USDA Food
Environment Atlas</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US Dept. of Agriculture (ERS)</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County</w:t>
            </w:r>
          </w:p>
        </w:tc>
        <w:tc>
          <w:tcPr>
            <w:tcW w:type="dxa" w:w="1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 years</w:t>
            </w:r>
          </w:p>
        </w:tc>
        <w:tc>
          <w:tcPr>
            <w:tcW w:type="dxa" w:w="31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Food desert designation (PCT_LACCESS_POP15), food insecurity rates, store access</w:t>
            </w:r>
          </w:p>
        </w:tc>
      </w:tr>
    </w:tbl>
    <w:p>
      <w:pPr>
        <w:spacing w:after="16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Quality and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county coverage: all 3,144 US counties and county equivalents, plus 33,791 ZCTAs.</w:t>
      </w:r>
    </w:p>
    <w:p>
      <w:pPr>
        <w:pStyle w:val="ListParagraph"/>
        <w:numPr>
          <w:ilvl w:val="0"/>
          <w:numId w:val="2"/>
        </w:numPr>
        <w:spacing w:after="70" w:before="0"/>
      </w:pPr>
      <w:r>
        <w:rPr>
          <w:rFonts w:ascii="Arial" w:cs="Arial" w:eastAsia="Arial" w:hAnsi="Arial"/>
          <w:b w:val="false"/>
          <w:bCs w:val="false"/>
          <w:color w:val="1A1A2E"/>
          <w:sz w:val="22"/>
          <w:szCs w:val="22"/>
        </w:rPr>
        <w:t xml:space="preserve">Census ACS: universal coverage for all counties and ZCTAs with sufficient population. Suppressed cells (small populations) are filled using state medians to preserve full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covers counties with ≥11 Medicare beneficiaries (effectively all counties). Suppressed values are filled with the state median.</w:t>
      </w:r>
    </w:p>
    <w:p>
      <w:pPr>
        <w:pStyle w:val="ListParagraph"/>
        <w:numPr>
          <w:ilvl w:val="0"/>
          <w:numId w:val="2"/>
        </w:numPr>
        <w:spacing w:after="70" w:before="0"/>
      </w:pPr>
      <w:r>
        <w:rPr>
          <w:rFonts w:ascii="Arial" w:cs="Arial" w:eastAsia="Arial" w:hAnsi="Arial"/>
          <w:b w:val="false"/>
          <w:bCs w:val="false"/>
          <w:color w:val="1A1A2E"/>
          <w:sz w:val="22"/>
          <w:szCs w:val="22"/>
        </w:rPr>
        <w:t xml:space="preserve">HRSA HPSA: binary flags derived from the Bureau of Health Workforce designation file. All counties with at least one active HPSA designation receive a flag = 1.</w:t>
      </w:r>
    </w:p>
    <w:p>
      <w:pPr>
        <w:pStyle w:val="ListParagraph"/>
        <w:numPr>
          <w:ilvl w:val="0"/>
          <w:numId w:val="2"/>
        </w:numPr>
        <w:spacing w:after="70" w:before="0"/>
      </w:pPr>
      <w:r>
        <w:rPr>
          <w:rFonts w:ascii="Arial" w:cs="Arial" w:eastAsia="Arial" w:hAnsi="Arial"/>
          <w:b w:val="false"/>
          <w:bCs w:val="false"/>
          <w:color w:val="1A1A2E"/>
          <w:sz w:val="22"/>
          <w:szCs w:val="22"/>
        </w:rPr>
        <w:t xml:space="preserve">County Health Rankings: 99%+ county coverage. Missing values filled with state medians.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county-level only; used directly for Social Determinants dimension.</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6.   COMPOSITE SCORING &amp; TIER ASSIGNMENT</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Composite Opportunity Score</w:t>
      </w:r>
    </w:p>
    <w:p>
      <w:pPr>
        <w:spacing w:after="140" w:before="0"/>
      </w:pPr>
      <w:r>
        <w:rPr>
          <w:rFonts w:ascii="Arial" w:cs="Arial" w:eastAsia="Arial" w:hAnsi="Arial"/>
          <w:color w:val="1A1A2E"/>
          <w:sz w:val="22"/>
          <w:szCs w:val="22"/>
        </w:rPr>
        <w:t xml:space="preserve">The composite Opportunity Score is a weighted linear combination of the seven dimension scores. Each dimension score is independently min-max normalized to [0, 100] within the national county sample before weighting.</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EE4" w:sz="1"/>
              <w:left w:val="single" w:color="D8DEE4" w:sz="1"/>
              <w:bottom w:val="single" w:color="D8DEE4" w:sz="1"/>
              <w:right w:val="single" w:color="D8DEE4" w:sz="1"/>
            </w:tcBorders>
            <w:shd w:fill="F5F7FA" w:val="clear"/>
            <w:tcMar>
              <w:top w:type="dxa" w:w="160"/>
              <w:left w:type="dxa" w:w="300"/>
              <w:bottom w:type="dxa" w:w="160"/>
              <w:right w:type="dxa" w:w="300"/>
            </w:tcMar>
          </w:tcPr>
          <w:p>
            <w:pPr>
              <w:spacing w:after="60" w:before="0"/>
              <w:jc w:val="center"/>
            </w:pPr>
            <w:r>
              <w:rPr>
                <w:rFonts w:ascii="Arial" w:cs="Arial" w:eastAsia="Arial" w:hAnsi="Arial"/>
                <w:b/>
                <w:bCs/>
                <w:color w:val="1B3A5C"/>
                <w:sz w:val="24"/>
                <w:szCs w:val="24"/>
              </w:rPr>
              <w:t xml:space="preserve">Opportunity Score  =  </w:t>
            </w:r>
            <w:r>
              <w:rPr>
                <w:rFonts w:ascii="Arial" w:cs="Arial" w:eastAsia="Arial" w:hAnsi="Arial"/>
                <w:b/>
                <w:bCs/>
                <w:color w:val="E76F51"/>
                <w:sz w:val="24"/>
                <w:szCs w:val="24"/>
              </w:rPr>
              <w:t xml:space="preserve">0.20</w:t>
            </w:r>
            <w:r>
              <w:rPr>
                <w:rFonts w:ascii="Arial" w:cs="Arial" w:eastAsia="Arial" w:hAnsi="Arial"/>
                <w:sz w:val="24"/>
                <w:szCs w:val="24"/>
              </w:rPr>
              <w:t xml:space="preserve"> × Disease Burden  +  </w:t>
            </w:r>
            <w:r>
              <w:rPr>
                <w:rFonts w:ascii="Arial" w:cs="Arial" w:eastAsia="Arial" w:hAnsi="Arial"/>
                <w:b/>
                <w:bCs/>
                <w:color w:val="E63946"/>
                <w:sz w:val="24"/>
                <w:szCs w:val="24"/>
              </w:rPr>
              <w:t xml:space="preserve">0.25</w:t>
            </w:r>
            <w:r>
              <w:rPr>
                <w:rFonts w:ascii="Arial" w:cs="Arial" w:eastAsia="Arial" w:hAnsi="Arial"/>
                <w:sz w:val="24"/>
                <w:szCs w:val="24"/>
              </w:rPr>
              <w:t xml:space="preserve"> × Diagnosis Gap  +  </w:t>
            </w:r>
            <w:r>
              <w:rPr>
                <w:rFonts w:ascii="Arial" w:cs="Arial" w:eastAsia="Arial" w:hAnsi="Arial"/>
                <w:b/>
                <w:bCs/>
                <w:color w:val="2A9D8F"/>
                <w:sz w:val="24"/>
                <w:szCs w:val="24"/>
              </w:rPr>
              <w:t xml:space="preserve">0.15</w:t>
            </w:r>
            <w:r>
              <w:rPr>
                <w:rFonts w:ascii="Arial" w:cs="Arial" w:eastAsia="Arial" w:hAnsi="Arial"/>
                <w:sz w:val="24"/>
                <w:szCs w:val="24"/>
              </w:rPr>
              <w:t xml:space="preserve"> × Access to Care</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D8DEE4" w:sz="1"/>
              <w:bottom w:val="single" w:color="D8DEE4" w:sz="1"/>
              <w:right w:val="single" w:color="D8DEE4" w:sz="1"/>
            </w:tcBorders>
            <w:shd w:fill="F5F7FA" w:val="clear"/>
            <w:tcMar>
              <w:top w:type="dxa" w:w="0"/>
              <w:left w:type="dxa" w:w="300"/>
              <w:bottom w:type="dxa" w:w="160"/>
              <w:right w:type="dxa" w:w="300"/>
            </w:tcMar>
          </w:tcPr>
          <w:p>
            <w:pPr>
              <w:spacing w:after="0" w:before="0"/>
              <w:jc w:val="center"/>
            </w:pPr>
            <w:r>
              <w:rPr>
                <w:rFonts w:ascii="Arial" w:cs="Arial" w:eastAsia="Arial" w:hAnsi="Arial"/>
                <w:sz w:val="24"/>
                <w:szCs w:val="24"/>
              </w:rPr>
              <w:t xml:space="preserve">  +  </w:t>
            </w:r>
            <w:r>
              <w:rPr>
                <w:rFonts w:ascii="Arial" w:cs="Arial" w:eastAsia="Arial" w:hAnsi="Arial"/>
                <w:b/>
                <w:bCs/>
                <w:color w:val="F4A261"/>
                <w:sz w:val="24"/>
                <w:szCs w:val="24"/>
              </w:rPr>
              <w:t xml:space="preserve">0.15</w:t>
            </w:r>
            <w:r>
              <w:rPr>
                <w:rFonts w:ascii="Arial" w:cs="Arial" w:eastAsia="Arial" w:hAnsi="Arial"/>
                <w:sz w:val="24"/>
                <w:szCs w:val="24"/>
              </w:rPr>
              <w:t xml:space="preserve"> × Social Determinants  +  </w:t>
            </w:r>
            <w:r>
              <w:rPr>
                <w:rFonts w:ascii="Arial" w:cs="Arial" w:eastAsia="Arial" w:hAnsi="Arial"/>
                <w:b/>
                <w:bCs/>
                <w:color w:val="457B9D"/>
                <w:sz w:val="24"/>
                <w:szCs w:val="24"/>
              </w:rPr>
              <w:t xml:space="preserve">0.10</w:t>
            </w:r>
            <w:r>
              <w:rPr>
                <w:rFonts w:ascii="Arial" w:cs="Arial" w:eastAsia="Arial" w:hAnsi="Arial"/>
                <w:sz w:val="24"/>
                <w:szCs w:val="24"/>
              </w:rPr>
              <w:t xml:space="preserve"> × Payer Landscape  +  </w:t>
            </w:r>
            <w:r>
              <w:rPr>
                <w:rFonts w:ascii="Arial" w:cs="Arial" w:eastAsia="Arial" w:hAnsi="Arial"/>
                <w:b/>
                <w:bCs/>
                <w:color w:val="8338EC"/>
                <w:sz w:val="24"/>
                <w:szCs w:val="24"/>
              </w:rPr>
              <w:t xml:space="preserve">0.10</w:t>
            </w:r>
            <w:r>
              <w:rPr>
                <w:rFonts w:ascii="Arial" w:cs="Arial" w:eastAsia="Arial" w:hAnsi="Arial"/>
                <w:sz w:val="24"/>
                <w:szCs w:val="24"/>
              </w:rPr>
              <w:t xml:space="preserve"> × Commercial Readiness  +  </w:t>
            </w:r>
            <w:r>
              <w:rPr>
                <w:rFonts w:ascii="Arial" w:cs="Arial" w:eastAsia="Arial" w:hAnsi="Arial"/>
                <w:b/>
                <w:bCs/>
                <w:color w:val="06A67A"/>
                <w:sz w:val="24"/>
                <w:szCs w:val="24"/>
              </w:rPr>
              <w:t xml:space="preserve">0.05</w:t>
            </w:r>
            <w:r>
              <w:rPr>
                <w:rFonts w:ascii="Arial" w:cs="Arial" w:eastAsia="Arial" w:hAnsi="Arial"/>
                <w:sz w:val="24"/>
                <w:szCs w:val="24"/>
              </w:rPr>
              <w:t xml:space="preserve"> × Trajectory</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Tier Assignment</w:t>
      </w:r>
    </w:p>
    <w:p>
      <w:pPr>
        <w:spacing w:after="140" w:before="0"/>
      </w:pPr>
      <w:r>
        <w:rPr>
          <w:rFonts w:ascii="Arial" w:cs="Arial" w:eastAsia="Arial" w:hAnsi="Arial"/>
          <w:color w:val="1A1A2E"/>
          <w:sz w:val="22"/>
          <w:szCs w:val="22"/>
        </w:rPr>
        <w:t xml:space="preserve">The composite score is mapped to three priority tiers calibrated against the national distribution of scored counties: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520"/>
      </w:tblGrid>
      <w:tr>
        <w:trPr>
          <w:tblHeader/>
        </w:trPr>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Range</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Approximate Percentile</w:t>
            </w:r>
          </w:p>
        </w:tc>
        <w:tc>
          <w:tcPr>
            <w:tcW w:type="dxa" w:w="45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Priority</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55</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~0.3% of counties</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Highest multi-dimensional need confirmed by multiple real data sources. First deployment focus.</w:t>
            </w:r>
          </w:p>
        </w:tc>
      </w:tr>
      <w:tr>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Emerging</w:t>
            </w:r>
          </w:p>
        </w:tc>
        <w:tc>
          <w:tcPr>
            <w:tcW w:type="dxa" w:w="1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40 – 54</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Top 10–30% of counties</w:t>
            </w:r>
          </w:p>
        </w:tc>
        <w:tc>
          <w:tcPr>
            <w:tcW w:type="dxa" w:w="45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Meaningful opportunity; monitor for program expansion or new data updates.</w:t>
            </w:r>
          </w:p>
        </w:tc>
      </w:tr>
      <w:tr>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 Developing</w:t>
            </w:r>
          </w:p>
        </w:tc>
        <w:tc>
          <w:tcPr>
            <w:tcW w:type="dxa" w:w="1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&lt; 40</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Below national median</w:t>
            </w:r>
          </w:p>
        </w:tc>
        <w:tc>
          <w:tcPr>
            <w:tcW w:type="dxa" w:w="45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Lower near-term priority; still scored and rankable for completeness.</w:t>
            </w:r>
          </w:p>
        </w:tc>
      </w:tr>
    </w:tbl>
    <w:p>
      <w:pPr>
        <w:spacing w:after="14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Score Calibration</w:t>
      </w:r>
    </w:p>
    <w:p>
      <w:pPr>
        <w:spacing w:after="140" w:before="0"/>
      </w:pPr>
      <w:r>
        <w:rPr>
          <w:rFonts w:ascii="Arial" w:cs="Arial" w:eastAsia="Arial" w:hAnsi="Arial"/>
          <w:color w:val="1A1A2E"/>
          <w:sz w:val="22"/>
          <w:szCs w:val="22"/>
        </w:rPr>
        <w:t xml:space="preserve">Scores are calibrated against the national county distribution. The maximum observed composite score is approximately 61–62 (no county achieves a perfect 100 because no geography is simultaneously at the 100th percentile on all seven dimensions). The Priority threshold of 55 was set to identify the top 0.3% of counties — approximately 9–10 counties — where every major dimension signal converges.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Score interpretation is relative, not absolute. A score of 45 does not mean the county has 45% of the theoretical maximum opportunity — it means the county is at approximately the 45th percentile nationally on the composite framework.</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7.   POOL SIZE ESTIMATION</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each county and ZIP, SPPF estimates the absolute size of the undiagnosed patient pool based on published national undiagnosed rates applied to county adult population figures from the Census ACS.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Undiagnosed Rate Applied</w:t>
            </w:r>
          </w:p>
        </w:tc>
        <w:tc>
          <w:tcPr>
            <w:tcW w:type="dxa" w:w="2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Population Base</w:t>
            </w:r>
          </w:p>
        </w:tc>
        <w:tc>
          <w:tcPr>
            <w:tcW w:type="dxa" w:w="2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Source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Type 2 Diabetes</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23.1%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ADA National Diabetes Statistics Report 2022</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Hypertension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27.0% of adult population</w:t>
            </w:r>
          </w:p>
        </w:tc>
        <w:tc>
          <w:tcPr>
            <w:tcW w:type="dxa" w:w="2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AHA Heart Disease and Stroke Statistics 2023</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Hypothyroidism</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50.0% of adult population</w:t>
            </w:r>
          </w:p>
        </w:tc>
        <w:tc>
          <w:tcPr>
            <w:tcW w:type="dxa" w:w="2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18+ Census ACS population estimate</w:t>
            </w:r>
          </w:p>
        </w:tc>
        <w:tc>
          <w:tcPr>
            <w:tcW w:type="dxa" w:w="2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American Thyroid Association / clinical literature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Pool estimates are intended for relative market sizing and program planning — not for clinical or regulatory filings. Actual undiagnosed rates vary by county based on demographic composition, care access, and screening history. The published national rates are applied uniformly as a conservative baseline.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Pool size should be interpreted alongside the Opportunity Score: a county with 50,000 estimated undiagnosed T2D patients and a score of 35 is a different market than one with 12,000 estimated patients and a score of 58. The score measures reachability and gap depth; pool size measures absolute addressable volume.</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8.   ZIP &amp; TERRITORY ANALYSIS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ZIP &amp; Territory view extends county-level intelligence to the sub-county geography used by field teams, payer network maps, and provider organizations. SPPF scores all 33,791 US ZIP Code Tabulation Areas (ZCTAs) across the same seven dimensions as counties, enabling field teams to define custom territories and receive instant scorecard outputs.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ZIP Scoring Methodology</w:t>
      </w:r>
    </w:p>
    <w:p>
      <w:pPr>
        <w:pStyle w:val="ListParagraph"/>
        <w:numPr>
          <w:ilvl w:val="0"/>
          <w:numId w:val="2"/>
        </w:numPr>
        <w:spacing w:after="70" w:before="0"/>
      </w:pPr>
      <w:r>
        <w:rPr>
          <w:rFonts w:ascii="Arial" w:cs="Arial" w:eastAsia="Arial" w:hAnsi="Arial"/>
          <w:b/>
          <w:bCs/>
          <w:color w:val="1A1A2E"/>
          <w:sz w:val="22"/>
          <w:szCs w:val="22"/>
        </w:rPr>
        <w:t xml:space="preserve">Disease Burden and Social Determinants use real CDC PLACES and Census ACS ZCTA-level data, where available. CDC PLACES publishes chronic disease prevalence at the ZCTA level for all 33,791 ZCTAs as part of the PLACES 2024 release.</w:t>
      </w:r>
    </w:p>
    <w:p>
      <w:pPr>
        <w:pStyle w:val="ListParagraph"/>
        <w:numPr>
          <w:ilvl w:val="0"/>
          <w:numId w:val="2"/>
        </w:numPr>
        <w:spacing w:after="70" w:before="0"/>
      </w:pPr>
      <w:r>
        <w:rPr>
          <w:rFonts w:ascii="Arial" w:cs="Arial" w:eastAsia="Arial" w:hAnsi="Arial"/>
          <w:b/>
          <w:bCs/>
          <w:color w:val="1A1A2E"/>
          <w:sz w:val="22"/>
          <w:szCs w:val="22"/>
        </w:rPr>
        <w:t xml:space="preserve">For dimensions where ZCTA-level source data is not available (Payer Landscape, Commercial Readiness, Trajectory, and where county-level Access to Care data is more reliable), county-level dimension scores are downscaled to ZCTA level using a population-weighted Census 2020 ZCTA-to-county crosswalk. ZCTAs spanning multiple counties receive a population-weighted blend of their constituent county scores.</w:t>
      </w:r>
    </w:p>
    <w:p>
      <w:pPr>
        <w:pStyle w:val="ListParagraph"/>
        <w:numPr>
          <w:ilvl w:val="0"/>
          <w:numId w:val="2"/>
        </w:numPr>
        <w:spacing w:after="70" w:before="0"/>
      </w:pPr>
      <w:r>
        <w:rPr>
          <w:rFonts w:ascii="Arial" w:cs="Arial" w:eastAsia="Arial" w:hAnsi="Arial"/>
          <w:b/>
          <w:bCs/>
          <w:color w:val="1A1A2E"/>
          <w:sz w:val="22"/>
          <w:szCs w:val="22"/>
        </w:rPr>
        <w:t xml:space="preserve">ZIP centroids (latitude/longitude) are sourced from the Census Bureau Gazetteer ZCTA file, enabling geographic mapping of all 33,791 ZCTAs on a Plotly scatter_geo map using the Albers USA projection.</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Territory Builder</w:t>
      </w:r>
    </w:p>
    <w:p>
      <w:pPr>
        <w:spacing w:after="140" w:before="0"/>
      </w:pPr>
      <w:r>
        <w:rPr>
          <w:rFonts w:ascii="Arial" w:cs="Arial" w:eastAsia="Arial" w:hAnsi="Arial"/>
          <w:color w:val="1A1A2E"/>
          <w:sz w:val="22"/>
          <w:szCs w:val="22"/>
        </w:rPr>
        <w:t xml:space="preserve">The Territory Builder allows field teams to define a custom geography by pasting a list of ZIP codes. The tool immediately aggregates the individual ZIP scores into a territory-level scorecard:</w:t>
      </w:r>
    </w:p>
    <w:p>
      <w:pPr>
        <w:pStyle w:val="ListParagraph"/>
        <w:numPr>
          <w:ilvl w:val="0"/>
          <w:numId w:val="2"/>
        </w:numPr>
        <w:spacing w:after="70" w:before="0"/>
      </w:pPr>
      <w:r>
        <w:rPr>
          <w:rFonts w:ascii="Arial" w:cs="Arial" w:eastAsia="Arial" w:hAnsi="Arial"/>
          <w:b w:val="false"/>
          <w:bCs w:val="false"/>
          <w:color w:val="1A1A2E"/>
          <w:sz w:val="22"/>
          <w:szCs w:val="22"/>
        </w:rPr>
        <w:t xml:space="preserve">Median Opportunity Score across all ZIPs in the territory</w:t>
      </w:r>
    </w:p>
    <w:p>
      <w:pPr>
        <w:pStyle w:val="ListParagraph"/>
        <w:numPr>
          <w:ilvl w:val="0"/>
          <w:numId w:val="2"/>
        </w:numPr>
        <w:spacing w:after="70" w:before="0"/>
      </w:pPr>
      <w:r>
        <w:rPr>
          <w:rFonts w:ascii="Arial" w:cs="Arial" w:eastAsia="Arial" w:hAnsi="Arial"/>
          <w:b w:val="false"/>
          <w:bCs w:val="false"/>
          <w:color w:val="1A1A2E"/>
          <w:sz w:val="22"/>
          <w:szCs w:val="22"/>
        </w:rPr>
        <w:t xml:space="preserve">Estimated total undiagnosed patient pool (sum across all ZIPs)</w:t>
      </w:r>
    </w:p>
    <w:p>
      <w:pPr>
        <w:pStyle w:val="ListParagraph"/>
        <w:numPr>
          <w:ilvl w:val="0"/>
          <w:numId w:val="2"/>
        </w:numPr>
        <w:spacing w:after="70" w:before="0"/>
      </w:pPr>
      <w:r>
        <w:rPr>
          <w:rFonts w:ascii="Arial" w:cs="Arial" w:eastAsia="Arial" w:hAnsi="Arial"/>
          <w:b w:val="false"/>
          <w:bCs w:val="false"/>
          <w:color w:val="1A1A2E"/>
          <w:sz w:val="22"/>
          <w:szCs w:val="22"/>
        </w:rPr>
        <w:t xml:space="preserve">Dimension radar chart showing how the territory performs vs. the national ZCTA average on each of the seven dimensions</w:t>
      </w:r>
    </w:p>
    <w:p>
      <w:pPr>
        <w:pStyle w:val="ListParagraph"/>
        <w:numPr>
          <w:ilvl w:val="0"/>
          <w:numId w:val="2"/>
        </w:numPr>
        <w:spacing w:after="70" w:before="0"/>
      </w:pPr>
      <w:r>
        <w:rPr>
          <w:rFonts w:ascii="Arial" w:cs="Arial" w:eastAsia="Arial" w:hAnsi="Arial"/>
          <w:b w:val="false"/>
          <w:bCs w:val="false"/>
          <w:color w:val="1A1A2E"/>
          <w:sz w:val="22"/>
          <w:szCs w:val="22"/>
        </w:rPr>
        <w:t xml:space="preserve">Intervention breakdown — proportion of ZIPs in the territory recommended for each of the five program types</w:t>
      </w:r>
    </w:p>
    <w:p>
      <w:pPr>
        <w:pStyle w:val="ListParagraph"/>
        <w:numPr>
          <w:ilvl w:val="0"/>
          <w:numId w:val="2"/>
        </w:numPr>
        <w:spacing w:after="70" w:before="0"/>
      </w:pPr>
      <w:r>
        <w:rPr>
          <w:rFonts w:ascii="Arial" w:cs="Arial" w:eastAsia="Arial" w:hAnsi="Arial"/>
          <w:b w:val="false"/>
          <w:bCs w:val="false"/>
          <w:color w:val="1A1A2E"/>
          <w:sz w:val="22"/>
          <w:szCs w:val="22"/>
        </w:rPr>
        <w:t xml:space="preserve">Per-ZIP ranked table exportable as CSV for rep briefing or payer conversation</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457B9D"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The Territory Builder is the primary field-facing tool. It converts the platform's analytical output into a format a medical science liaison or account manager can use in a payer conversation: here is our territory, here is the aggregate patient pool, here is why a Payer Partnership program is the right intervention, and here is the ZIP-level data that supports it.</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9.   INTERVENTION RECOMMENDATION ENGINE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For every county and ZIP, SPPF recommends one of five intervention program types based on the dimensional profile. The recommendation is rule-based and fully transparent — it applies a priority-ordered decision tree to the county's dimension scores and payer/demographic attributes.</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Program Type</w:t>
            </w:r>
          </w:p>
        </w:tc>
        <w:tc>
          <w:tcPr>
            <w:tcW w:type="dxa" w:w="28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Criteria</w:t>
            </w:r>
          </w:p>
        </w:tc>
        <w:tc>
          <w:tcPr>
            <w:tcW w:type="dxa" w:w="472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Partnership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score ≥65 AND MA penetration ≥35%</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MA plan has Stars incentives to fund patient identification; pitch closes at a plan level, not a provider level.</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Community Health Center Partnership</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 score ≥65 AND Access score ≤45</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High-SDoH, low-access counties need FQHC or community health org as the delivery vehicle. Payer or retail channels will not reach these patients.</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Employer Wellness Program</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rate ≥45% AND non-rural</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Commercially insured suburban counties have large self-insured employers who pay directly for outcomes. ROI calculation is straightforward.</w:t>
            </w:r>
          </w:p>
        </w:tc>
      </w:tr>
      <w:tr>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 Health Program</w:t>
            </w:r>
          </w:p>
        </w:tc>
        <w:tc>
          <w:tcPr>
            <w:tcW w:type="dxa" w:w="28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Broadband ≥75% AND commercial rate ≥40%</w:t>
            </w:r>
          </w:p>
        </w:tc>
        <w:tc>
          <w:tcPr>
            <w:tcW w:type="dxa" w:w="472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Digitally connected, commercially insured markets. Telehealth, CGM-connected screening, and app-based navigation are operationally feasible.</w:t>
            </w:r>
          </w:p>
        </w:tc>
      </w:tr>
      <w:tr>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Pharmacy-Based Screening</w:t>
            </w:r>
          </w:p>
        </w:tc>
        <w:tc>
          <w:tcPr>
            <w:tcW w:type="dxa" w:w="28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Default (all other counties)</w:t>
            </w:r>
          </w:p>
        </w:tc>
        <w:tc>
          <w:tcPr>
            <w:tcW w:type="dxa" w:w="472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Retail pharmacy is the highest-density access point in the remaining market. CVS/Walgreens/Walmart partnerships for in-store A1C or blood pressure screening.</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Recommendations are applied in priority order: a county meeting Payer Partnership criteria receives that recommendation regardless of whether it also qualifies for Digital Health. The decision tree prioritizes the highest-leverage intervention — payer funding produces the most scalable and sustainable programs.</w:t>
      </w:r>
    </w:p>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10.   LIMITATIONS &amp; DATA NOTES</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SPPF is designed for strategic market planning and program prioritization. Users should be aware of the following limitations: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Data Currency</w:t>
      </w:r>
    </w:p>
    <w:p>
      <w:pPr>
        <w:pStyle w:val="ListParagraph"/>
        <w:numPr>
          <w:ilvl w:val="0"/>
          <w:numId w:val="2"/>
        </w:numPr>
        <w:spacing w:after="70" w:before="0"/>
      </w:pPr>
      <w:r>
        <w:rPr>
          <w:rFonts w:ascii="Arial" w:cs="Arial" w:eastAsia="Arial" w:hAnsi="Arial"/>
          <w:b w:val="false"/>
          <w:bCs w:val="false"/>
          <w:color w:val="1A1A2E"/>
          <w:sz w:val="22"/>
          <w:szCs w:val="22"/>
        </w:rPr>
        <w:t xml:space="preserve">CDC PLACES 2024 uses 2022 BRFSS survey data. There is approximately a 2-year lag between the survey period and public release. Rapidly changing county conditions (e.g., post-pandemic healthcare disruption) may not be fully reflected.</w:t>
      </w:r>
    </w:p>
    <w:p>
      <w:pPr>
        <w:pStyle w:val="ListParagraph"/>
        <w:numPr>
          <w:ilvl w:val="0"/>
          <w:numId w:val="2"/>
        </w:numPr>
        <w:spacing w:after="70" w:before="0"/>
      </w:pPr>
      <w:r>
        <w:rPr>
          <w:rFonts w:ascii="Arial" w:cs="Arial" w:eastAsia="Arial" w:hAnsi="Arial"/>
          <w:b w:val="false"/>
          <w:bCs w:val="false"/>
          <w:color w:val="1A1A2E"/>
          <w:sz w:val="22"/>
          <w:szCs w:val="22"/>
        </w:rPr>
        <w:t xml:space="preserve">CMS GV PUF data covers Medicare beneficiaries only (primarily 65+). It is used as a proxy for the broader adult population but does not directly measure undiagnosed rates in working-age adults or Medicaid populations.</w:t>
      </w:r>
    </w:p>
    <w:p>
      <w:pPr>
        <w:pStyle w:val="ListParagraph"/>
        <w:numPr>
          <w:ilvl w:val="0"/>
          <w:numId w:val="2"/>
        </w:numPr>
        <w:spacing w:after="70" w:before="0"/>
      </w:pPr>
      <w:r>
        <w:rPr>
          <w:rFonts w:ascii="Arial" w:cs="Arial" w:eastAsia="Arial" w:hAnsi="Arial"/>
          <w:b w:val="false"/>
          <w:bCs w:val="false"/>
          <w:color w:val="1A1A2E"/>
          <w:sz w:val="22"/>
          <w:szCs w:val="22"/>
        </w:rPr>
        <w:t xml:space="preserve">USDA Food Environment Atlas updates approximately every 3 years. The most recent full release may lag current food retail conditions in counties with recent store openings or closures.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Scoring Methodology Notes</w:t>
      </w:r>
    </w:p>
    <w:p>
      <w:pPr>
        <w:pStyle w:val="ListParagraph"/>
        <w:numPr>
          <w:ilvl w:val="0"/>
          <w:numId w:val="2"/>
        </w:numPr>
        <w:spacing w:after="70" w:before="0"/>
      </w:pPr>
      <w:r>
        <w:rPr>
          <w:rFonts w:ascii="Arial" w:cs="Arial" w:eastAsia="Arial" w:hAnsi="Arial"/>
          <w:b w:val="false"/>
          <w:bCs w:val="false"/>
          <w:color w:val="1A1A2E"/>
          <w:sz w:val="22"/>
          <w:szCs w:val="22"/>
        </w:rPr>
        <w:t xml:space="preserve">All dimension scores are relative (min-max normalized within the national sample). Adding new counties or refreshing data will shift all scores simultaneously — do not compare absolute scores across pipeline runs with different data vintages.</w:t>
      </w:r>
    </w:p>
    <w:p>
      <w:pPr>
        <w:pStyle w:val="ListParagraph"/>
        <w:numPr>
          <w:ilvl w:val="0"/>
          <w:numId w:val="2"/>
        </w:numPr>
        <w:spacing w:after="70" w:before="0"/>
      </w:pPr>
      <w:r>
        <w:rPr>
          <w:rFonts w:ascii="Arial" w:cs="Arial" w:eastAsia="Arial" w:hAnsi="Arial"/>
          <w:b w:val="false"/>
          <w:bCs w:val="false"/>
          <w:color w:val="1A1A2E"/>
          <w:sz w:val="22"/>
          <w:szCs w:val="22"/>
        </w:rPr>
        <w:t xml:space="preserve">The Diagnosis Gap dimension uses CMS Medicare diagnosis rates as a proxy for population-wide diagnosis gaps. Medicare (65+) populations may behave differently from working-age adults with employer coverage.</w:t>
      </w:r>
    </w:p>
    <w:p>
      <w:pPr>
        <w:pStyle w:val="ListParagraph"/>
        <w:numPr>
          <w:ilvl w:val="0"/>
          <w:numId w:val="2"/>
        </w:numPr>
        <w:spacing w:after="70" w:before="0"/>
      </w:pPr>
      <w:r>
        <w:rPr>
          <w:rFonts w:ascii="Arial" w:cs="Arial" w:eastAsia="Arial" w:hAnsi="Arial"/>
          <w:b w:val="false"/>
          <w:bCs w:val="false"/>
          <w:color w:val="1A1A2E"/>
          <w:sz w:val="22"/>
          <w:szCs w:val="22"/>
        </w:rPr>
        <w:t xml:space="preserve">ZIP/ZCTA scores for Payer Landscape, Commercial Readiness, and Trajectory are downscaled from county-level data. ZCTAs that span county boundaries receive a blended score that may not reflect sub-county variation in these dimensions.</w:t>
      </w:r>
    </w:p>
    <w:p>
      <w:pPr>
        <w:spacing w:after="80" w:before="0"/>
      </w:pPr>
      <w:r>
        <w:rPr>
          <w:rFonts w:ascii="Arial" w:cs="Arial" w:eastAsia="Arial" w:hAnsi="Arial"/>
          <w:sz w:val="22"/>
          <w:szCs w:val="22"/>
        </w:rPr>
        <w:t xml:space="preserve"/>
      </w:r>
    </w:p>
    <w:p>
      <w:pPr>
        <w:pBdr>
          <w:bottom w:val="single" w:color="1B3A5C" w:sz="2" w:space="4"/>
        </w:pBdr>
        <w:spacing w:after="100" w:before="260"/>
      </w:pPr>
      <w:r>
        <w:rPr>
          <w:rFonts w:ascii="Arial" w:cs="Arial" w:eastAsia="Arial" w:hAnsi="Arial"/>
          <w:b/>
          <w:bCs/>
          <w:color w:val="1B3A5C"/>
          <w:sz w:val="26"/>
          <w:szCs w:val="26"/>
        </w:rPr>
        <w:t xml:space="preserve">Use Case Boundaries</w:t>
      </w:r>
    </w:p>
    <w:p>
      <w:pPr>
        <w:pStyle w:val="ListParagraph"/>
        <w:numPr>
          <w:ilvl w:val="0"/>
          <w:numId w:val="2"/>
        </w:numPr>
        <w:spacing w:after="70" w:before="0"/>
      </w:pPr>
      <w:r>
        <w:rPr>
          <w:rFonts w:ascii="Arial" w:cs="Arial" w:eastAsia="Arial" w:hAnsi="Arial"/>
          <w:b w:val="false"/>
          <w:bCs w:val="false"/>
          <w:color w:val="1A1A2E"/>
          <w:sz w:val="22"/>
          <w:szCs w:val="22"/>
        </w:rPr>
        <w:t xml:space="preserve">SPPF outputs are intended for strategic market access planning, territory design, and payer partnership development. They are not intended for individual patient identification, clinical decision support, or regulatory submissions.</w:t>
      </w:r>
    </w:p>
    <w:p>
      <w:pPr>
        <w:pStyle w:val="ListParagraph"/>
        <w:numPr>
          <w:ilvl w:val="0"/>
          <w:numId w:val="2"/>
        </w:numPr>
        <w:spacing w:after="70" w:before="0"/>
      </w:pPr>
      <w:r>
        <w:rPr>
          <w:rFonts w:ascii="Arial" w:cs="Arial" w:eastAsia="Arial" w:hAnsi="Arial"/>
          <w:b w:val="false"/>
          <w:bCs w:val="false"/>
          <w:color w:val="1A1A2E"/>
          <w:sz w:val="22"/>
          <w:szCs w:val="22"/>
        </w:rPr>
        <w:t xml:space="preserve">Pool size estimates use published national undiagnosed rates applied uniformly. Actual county-level rates will vary based on factors not captured in publicly available data.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1B3A5C" w:sz="10"/>
              <w:bottom w:val="none" w:color="FFFFFF" w:sz="0"/>
              <w:right w:val="none" w:color="FFFFFF" w:sz="0"/>
            </w:tcBorders>
            <w:shd w:fill="F5F7FA" w:val="clear"/>
            <w:tcMar>
              <w:top w:type="dxa" w:w="120"/>
              <w:left w:type="dxa" w:w="220"/>
              <w:bottom w:type="dxa" w:w="120"/>
              <w:right w:type="dxa" w:w="220"/>
            </w:tcMar>
          </w:tcPr>
          <w:p>
            <w:pPr>
              <w:spacing w:after="0" w:before="0"/>
            </w:pPr>
            <w:r>
              <w:rPr>
                <w:rFonts w:ascii="Arial" w:cs="Arial" w:eastAsia="Arial" w:hAnsi="Arial"/>
                <w:i/>
                <w:iCs/>
                <w:color w:val="1A1A2E"/>
                <w:sz w:val="22"/>
                <w:szCs w:val="22"/>
              </w:rPr>
              <w:t xml:space="preserve">Questions about the methodology, data sources, or scoring design should be directed to the Market Access Analytics team. The scoring pipeline is open-source within the organization and the full code is available for independent verification.</w:t>
            </w:r>
          </w:p>
        </w:tc>
      </w:tr>
    </w:tbl>
    <w:p>
      <w:pPr>
        <w:spacing w:after="100" w:before="0"/>
      </w:pPr>
      <w:r>
        <w:rPr>
          <w:rFonts w:ascii="Arial" w:cs="Arial" w:eastAsia="Arial" w:hAnsi="Arial"/>
          <w:sz w:val="22"/>
          <w:szCs w:val="22"/>
        </w:rPr>
        <w:t xml:space="preserve"/>
      </w: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180"/>
              <w:left w:type="dxa" w:w="240"/>
              <w:bottom w:type="dxa" w:w="180"/>
              <w:right w:type="dxa" w:w="240"/>
            </w:tcMar>
          </w:tcPr>
          <w:p>
            <w:pPr>
              <w:spacing w:after="0" w:before="0"/>
            </w:pPr>
            <w:r>
              <w:rPr>
                <w:rFonts w:ascii="Arial" w:cs="Arial" w:eastAsia="Arial" w:hAnsi="Arial"/>
                <w:b/>
                <w:bCs/>
                <w:color w:val="FFFFFF"/>
                <w:sz w:val="30"/>
                <w:szCs w:val="30"/>
              </w:rPr>
              <w:t xml:space="preserve">APPENDIX:   DIMENSION WEIGHT REFERENCE</w:t>
            </w:r>
          </w:p>
        </w:tc>
      </w:tr>
    </w:tbl>
    <w:p>
      <w:pPr>
        <w:spacing w:after="140" w:before="0"/>
      </w:pPr>
      <w:r>
        <w:rPr>
          <w:rFonts w:ascii="Arial" w:cs="Arial" w:eastAsia="Arial" w:hAnsi="Arial"/>
          <w:sz w:val="22"/>
          <w:szCs w:val="22"/>
        </w:rPr>
        <w:t xml:space="preserve"/>
      </w:r>
    </w:p>
    <w:p>
      <w:pPr>
        <w:spacing w:after="140" w:before="0"/>
      </w:pPr>
      <w:r>
        <w:rPr>
          <w:rFonts w:ascii="Arial" w:cs="Arial" w:eastAsia="Arial" w:hAnsi="Arial"/>
          <w:color w:val="1A1A2E"/>
          <w:sz w:val="22"/>
          <w:szCs w:val="22"/>
        </w:rPr>
        <w:t xml:space="preserve">The following table summarizes the complete dimension framework including weights, data sources, and the strategic question each dimension is designed to answer.</w:t>
      </w:r>
    </w:p>
    <w:p>
      <w:pPr>
        <w:spacing w:after="80" w:before="0"/>
      </w:pPr>
      <w:r>
        <w:rPr>
          <w:rFonts w:ascii="Arial" w:cs="Arial" w:eastAsia="Arial" w:hAnsi="Arial"/>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2680"/>
        <w:gridCol w:w="3540"/>
      </w:tblGrid>
      <w:tr>
        <w:trPr>
          <w:tblHeader/>
        </w:trPr>
        <w:tc>
          <w:tcPr>
            <w:tcW w:type="dxa" w:w="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2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Dimension</w:t>
            </w:r>
          </w:p>
        </w:tc>
        <w:tc>
          <w:tcPr>
            <w:tcW w:type="dxa" w:w="9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Weight</w:t>
            </w:r>
          </w:p>
        </w:tc>
        <w:tc>
          <w:tcPr>
            <w:tcW w:type="dxa" w:w="268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Sources</w:t>
            </w:r>
          </w:p>
        </w:tc>
        <w:tc>
          <w:tcPr>
            <w:tcW w:type="dxa" w:w="354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Strategic Question</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Disease Burden</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big is the undiagnosed opportunity here?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Diagnosis Gap</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25%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CMS GV PUF, Census ACS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many silent patients are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3</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Access to Care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HRSA HPSA, CDC PLACES 2024, Census RUCC</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Does the infrastructure exist to act on what we find?</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4</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Social Determinants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15%</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USDA Food Atlas, County Health Rankings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What is causing the gap — and what program will work?</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Payer Landscape</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CMS GV PUF,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Who pays for the solution — and why would they say yes?</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6</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Commercial Readiness</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Census ACS, HRSA HPSA, Census RUCC</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How hard is it to run a program here?</w:t>
            </w:r>
          </w:p>
        </w:tc>
      </w:tr>
      <w:tr>
        <w:tc>
          <w:tcPr>
            <w:tcW w:type="dxa" w:w="4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7</w:t>
            </w:r>
          </w:p>
        </w:tc>
        <w:tc>
          <w:tcPr>
            <w:tcW w:type="dxa" w:w="22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Trajectory</w:t>
            </w:r>
          </w:p>
        </w:tc>
        <w:tc>
          <w:tcPr>
            <w:tcW w:type="dxa" w:w="90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5%</w:t>
            </w:r>
          </w:p>
        </w:tc>
        <w:tc>
          <w:tcPr>
            <w:tcW w:type="dxa" w:w="268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CDC PLACES 2024 vs. 2022, Census ACS</w:t>
            </w:r>
          </w:p>
        </w:tc>
        <w:tc>
          <w:tcPr>
            <w:tcW w:type="dxa" w:w="3540"/>
            <w:tcBorders>
              <w:top w:val="single" w:color="D8DEE4" w:sz="1"/>
              <w:left w:val="none" w:color="FFFFFF" w:sz="0"/>
              <w:bottom w:val="single" w:color="D8DEE4" w:sz="1"/>
              <w:right w:val="none" w:color="FFFFFF" w:sz="0"/>
            </w:tcBorders>
            <w:shd w:fill="F5F7FA"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Is this market getting better or worse?</w:t>
            </w:r>
          </w:p>
        </w:tc>
      </w:tr>
      <w:tr>
        <w:tc>
          <w:tcPr>
            <w:tcW w:type="dxa" w:w="4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t>
            </w:r>
          </w:p>
        </w:tc>
        <w:tc>
          <w:tcPr>
            <w:tcW w:type="dxa" w:w="22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COMPOSITE</w:t>
            </w:r>
          </w:p>
        </w:tc>
        <w:tc>
          <w:tcPr>
            <w:tcW w:type="dxa" w:w="90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100%</w:t>
            </w:r>
          </w:p>
        </w:tc>
        <w:tc>
          <w:tcPr>
            <w:tcW w:type="dxa" w:w="268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All seven sources</w:t>
            </w:r>
          </w:p>
        </w:tc>
        <w:tc>
          <w:tcPr>
            <w:tcW w:type="dxa" w:w="3540"/>
            <w:tcBorders>
              <w:top w:val="single" w:color="D8DEE4" w:sz="1"/>
              <w:left w:val="none" w:color="FFFFFF" w:sz="0"/>
              <w:bottom w:val="single" w:color="D8DEE4" w:sz="1"/>
              <w:right w:val="none" w:color="FFFFFF" w:sz="0"/>
            </w:tcBorders>
            <w:shd w:fill="FFFFFF" w:val="clear"/>
            <w:tcMar>
              <w:top w:type="dxa" w:w="70"/>
              <w:left w:type="dxa" w:w="120"/>
              <w:bottom w:type="dxa" w:w="70"/>
              <w:right w:type="dxa" w:w="120"/>
            </w:tcMar>
          </w:tcPr>
          <w:p>
            <w:pPr>
              <w:spacing w:after="0" w:before="0"/>
            </w:pPr>
            <w:r>
              <w:rPr>
                <w:rFonts w:ascii="Arial" w:cs="Arial" w:eastAsia="Arial" w:hAnsi="Arial"/>
                <w:color w:val="1A1A2E"/>
                <w:sz w:val="20"/>
                <w:szCs w:val="20"/>
              </w:rPr>
              <w:t xml:space="preserve">Where should we go first — and with what program?</w:t>
            </w:r>
          </w:p>
        </w:tc>
      </w:tr>
    </w:tbl>
    <w:p>
      <w:pPr>
        <w:spacing w:after="140" w:before="0"/>
      </w:pPr>
      <w:r>
        <w:rPr>
          <w:rFonts w:ascii="Arial" w:cs="Arial" w:eastAsia="Arial" w:hAnsi="Arial"/>
          <w:sz w:val="22"/>
          <w:szCs w:val="22"/>
        </w:rPr>
        <w:t xml:space="preserve"/>
      </w:r>
    </w:p>
    <w:p>
      <w:pPr>
        <w:pBdr>
          <w:bottom w:val="single" w:color="D8DEE4" w:sz="2" w:space="1"/>
        </w:pBdr>
        <w:spacing w:after="120" w:before="0"/>
      </w:pPr>
      <w:r>
        <w:rPr>
          <w:rFonts w:ascii="Arial" w:cs="Arial" w:eastAsia="Arial" w:hAnsi="Arial"/>
          <w:sz w:val="22"/>
          <w:szCs w:val="22"/>
        </w:rPr>
        <w:t xml:space="preserve"/>
      </w:r>
    </w:p>
    <w:p>
      <w:pPr>
        <w:spacing w:after="0" w:before="0"/>
        <w:jc w:val="center"/>
      </w:pPr>
      <w:r>
        <w:rPr>
          <w:rFonts w:ascii="Arial" w:cs="Arial" w:eastAsia="Arial" w:hAnsi="Arial"/>
          <w:i/>
          <w:iCs/>
          <w:color w:val="7A8494"/>
          <w:sz w:val="18"/>
          <w:szCs w:val="18"/>
        </w:rPr>
        <w:t xml:space="preserve">This document was generated by the SPPF Market Access Analytics platform. All data is sourced from public government and foundation datasets. For questions, contact the Market Access Analytics team.</w:t>
      </w:r>
    </w:p>
    <w:p>
      <w:pPr>
        <w:spacing w:after="100" w:before="0"/>
      </w:pPr>
      <w:r>
        <w:rPr>
          <w:rFonts w:ascii="Arial" w:cs="Arial" w:eastAsia="Arial" w:hAnsi="Arial"/>
          <w:sz w:val="22"/>
          <w:szCs w:val="22"/>
        </w:rPr>
        <w:t xml:space="preserve"/>
      </w:r>
    </w:p>
    <w:p>
      <w:pPr>
        <w:pStyle w:val="Heading1"/>
        <w:pageBreakBefore/>
      </w:pPr>
      <w:r>
        <w:t xml:space="preserve">Part II — Platform Integrity &amp; Activation (v2.0 Additions)</w:t>
      </w:r>
    </w:p>
    <w:p>
      <w:pPr>
        <w:spacing w:after="140"/>
      </w:pPr>
      <w:r>
        <w:rPr>
          <w:rFonts w:ascii="Arial" w:cs="Arial" w:eastAsia="Arial" w:hAnsi="Arial"/>
          <w:sz w:val="22"/>
          <w:szCs w:val="22"/>
        </w:rPr>
        <w:t xml:space="preserve">Version 2.0 extends the scoring framework described in Part I with five capabilities added between the v1.0 release and July 2026: percentile-based score presentation, per-geography data confidence grades, automated quality-assurance gates on every pipeline, a prescriber-level activation layer, and a matched-control campaign measurement engine. It also documents data-vintage corrections discovered during a full platform audit. All additions preserve the platform’s core compliance posture: 100% public, aggregate, PHI-free data.</w:t>
      </w:r>
    </w:p>
    <w:p>
      <w:pPr>
        <w:pStyle w:val="Heading2"/>
      </w:pPr>
      <w:r>
        <w:t xml:space="preserve">Percentile Scoring</w:t>
      </w:r>
    </w:p>
    <w:p>
      <w:pPr>
        <w:spacing w:after="140"/>
      </w:pPr>
      <w:r>
        <w:rPr>
          <w:rFonts w:ascii="Arial" w:cs="Arial" w:eastAsia="Arial" w:hAnsi="Arial"/>
          <w:sz w:val="22"/>
          <w:szCs w:val="22"/>
        </w:rPr>
        <w:t xml:space="preserve">Because dimension scores are min-max normalized within the national sample and no county leads on every component, the raw weighted composite tops out near 64 rather than 100. v2.0 therefore reports an Opportunity Percentile alongside the raw composite: a county at the 94th percentile outscores 94% of the 3,144 scored counties. The percentile is the recommended buyer-facing number; the raw composite remains available for auditing the underlying arithmetic. ZIP-level scores carry an equivalent percentile across 33,791 ZCTAs.</w:t>
      </w:r>
    </w:p>
    <w:p>
      <w:pPr>
        <w:pStyle w:val="Heading2"/>
      </w:pPr>
      <w:r>
        <w:t xml:space="preserve">Data Confidence Grades</w:t>
      </w:r>
    </w:p>
    <w:p>
      <w:pPr>
        <w:spacing w:after="140"/>
      </w:pPr>
      <w:r>
        <w:rPr>
          <w:rFonts w:ascii="Arial" w:cs="Arial" w:eastAsia="Arial" w:hAnsi="Arial"/>
          <w:sz w:val="22"/>
          <w:szCs w:val="22"/>
        </w:rPr>
        <w:t xml:space="preserve">Every county now carries a data confidence grade reflecting how many of the seven real sources actually observed it — measured before state-median imputation, because post-imputation the panel is complete by construction and coverage checks would report 100% everywhere. Grade A requires 6–7 sources, B requires 4–5, C fewer than 4. Current distribution: 3,123 counties grade A, 21 grade B, 0 grade C. Grades appear on county scorecards, ranking tables, and all CSV exports, so a low-coverage geography can never silently masquerade as a fully corroborated one.</w:t>
      </w:r>
    </w:p>
    <w:p>
      <w:pPr>
        <w:pStyle w:val="Heading2"/>
      </w:pPr>
      <w:r>
        <w:t xml:space="preserve">Automated Quality Assurance (QA Gates)</w:t>
      </w:r>
    </w:p>
    <w:p>
      <w:pPr>
        <w:spacing w:after="140"/>
      </w:pPr>
      <w:r>
        <w:rPr>
          <w:rFonts w:ascii="Arial" w:cs="Arial" w:eastAsia="Arial" w:hAnsi="Arial"/>
          <w:sz w:val="22"/>
          <w:szCs w:val="22"/>
        </w:rPr>
        <w:t xml:space="preserve">Every pipeline run now terminates in a QA gate: a set of fail-loudly data contracts that block the output write if any critical check fails. More than 60 checks run across the four pipeline outputs (county scores, ZIP scores, ZCTA crosswalk, HCP targets), covering row counts, geographic code formats, null shares, variance floors (a near-constant score column indicates a silently failed join), state coverage, weight normalization, and join match rates. The same checks re-run live on the dashboard’s Data Provenance page against the exact files powering the current session.</w:t>
      </w:r>
    </w:p>
    <w:p>
      <w:pPr>
        <w:spacing w:after="140"/>
      </w:pPr>
      <w:r>
        <w:rPr>
          <w:rFonts w:ascii="Arial" w:cs="Arial" w:eastAsia="Arial" w:hAnsi="Arial"/>
          <w:b/>
          <w:bCs/>
          <w:sz w:val="22"/>
          <w:b/>
          <w:bCs/>
          <w:szCs w:val="22"/>
        </w:rPr>
        <w:t xml:space="preserve">Why these checks: </w:t>
      </w:r>
      <w:r>
        <w:rPr>
          <w:rFonts w:ascii="Arial" w:cs="Arial" w:eastAsia="Arial" w:hAnsi="Arial"/>
          <w:sz w:val="22"/>
          <w:szCs w:val="22"/>
        </w:rPr>
        <w:t xml:space="preserve">The gate design is empirical: each check class corresponds to a real defect found and fixed during the July 2026 platform audit.</w:t>
      </w:r>
    </w:p>
    <w:tbl>
      <w:tblPr>
        <w:tblW w:type="dxa" w:w="9700"/>
        <w:tblLayout w:type="fixed"/>
      </w:tblPr>
      <w:tblGrid>
        <w:gridCol w:w="4850"/>
        <w:gridCol w:w="4850"/>
      </w:tblGrid>
      <w:tr>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Defect class (real example)</w:t>
            </w:r>
          </w:p>
        </w:tc>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Gate check that now catches it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Wrong column parsed from Census relationship file — ZCTA crosswalk reduced to 849 corrupt rows; 5 of 7 ZIP dimensions 100% null</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Code-format, row-count, and variance checks on the crosswalk and ZIP outputs</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Comma/percent-formatted CMS numerics coerced to null — MA penetration coverage silently fell to 236 of 3,128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Pre-imputation source-coverage check (WARN below 85% of counties with 4+ sources)</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CDC rolling dataset ID repointed to latest release — prior-year data identical to current; trajectory trend zero for all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Variance check on the trend column; identical-release rejection in the downloader</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Foreign-address prescribers with non-US postcodes in the CMS provider file</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5-digit ZIP format check on the HCP target list</w:t>
            </w:r>
          </w:p>
        </w:tc>
      </w:tr>
    </w:tbl>
    <w:p>
      <w:pPr>
        <w:spacing w:after="140"/>
      </w:pPr>
    </w:p>
    <w:p>
      <w:pPr>
        <w:pStyle w:val="Heading2"/>
      </w:pPr>
      <w:r>
        <w:t xml:space="preserve">Weight Sensitivity Analysis</w:t>
      </w:r>
    </w:p>
    <w:p>
      <w:pPr>
        <w:spacing w:after="140"/>
      </w:pPr>
      <w:r>
        <w:rPr>
          <w:rFonts w:ascii="Arial" w:cs="Arial" w:eastAsia="Arial" w:hAnsi="Arial"/>
          <w:sz w:val="22"/>
          <w:szCs w:val="22"/>
        </w:rPr>
        <w:t xml:space="preserve">The dashboard’s 7-Dimension view includes an interactive weight sensitivity panel: analysts can re-weight the seven dimensions and watch the composite recompute live, with three stability metrics — Spearman rank correlation against the default weighting, top-50 county overlap, and the largest individual rank move. Empirical results on the July 2026 panel: emphasizing any need-side dimension (e.g., raising Diagnosis Gap to 40%, or flat-equal weights) leaves the ranking essentially intact (Spearman 0.97–0.99, top-50 overlap 82–88%). Only inverting the framework’s philosophy toward execution-side dimensions (payer/commercial-heavy) materially reshuffles ranks — which is disclosed rather than hidden: the map is driven by where the patients are, not by the specific weight vector chosen.</w:t>
      </w:r>
    </w:p>
    <w:p>
      <w:pPr>
        <w:pStyle w:val="Heading2"/>
      </w:pPr>
      <w:r>
        <w:t xml:space="preserve">HCP Activation Layer</w:t>
      </w:r>
    </w:p>
    <w:p>
      <w:pPr>
        <w:spacing w:after="140"/>
      </w:pPr>
      <w:r>
        <w:rPr>
          <w:rFonts w:ascii="Arial" w:cs="Arial" w:eastAsia="Arial" w:hAnsi="Arial"/>
          <w:sz w:val="22"/>
          <w:szCs w:val="22"/>
        </w:rPr>
        <w:t xml:space="preserve">v2.0 adds a prescriber-level activation layer that converts geographic opportunity into a field-actionable call list. Source: the CMS Medicare Physician &amp; Other Practitioners by-Provider public use file (2024-12 release, 2023 data) — one row per NPI with specialty, practice location, Medicare panel size, and panel chronic-condition percentages. From 534,396 practitioners in target specialties, 411,115 US-based NPIs with panels of 50+ Medicare beneficiaries are scored.</w:t>
      </w:r>
    </w:p>
    <w:tbl>
      <w:tblPr>
        <w:tblW w:type="dxa" w:w="9700"/>
        <w:tblLayout w:type="fixed"/>
      </w:tblPr>
      <w:tblGrid>
        <w:gridCol w:w="3000"/>
        <w:gridCol w:w="1200"/>
        <w:gridCol w:w="5500"/>
      </w:tblGrid>
      <w:tr>
        <w:tc>
          <w:tcPr>
            <w:tcW w:type="dxa" w:w="30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Component</w:t>
            </w:r>
          </w:p>
        </w:tc>
        <w:tc>
          <w:tcPr>
            <w:tcW w:type="dxa" w:w="12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Weight</w:t>
            </w:r>
          </w:p>
        </w:tc>
        <w:tc>
          <w:tcPr>
            <w:tcW w:type="dxa" w:w="550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Signal</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Geography opportunity</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40%</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ZIP-level opportunity percentile at the prescriber’s practice ZIP (county fallback)</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Panel reach</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25%</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Medicare panel size percentile among scored NPIs</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Metabolic burden</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20%</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Share of the prescriber’s panel with diagnosed diabetes (percentile)</w:t>
            </w:r>
          </w:p>
        </w:tc>
      </w:tr>
      <w:tr>
        <w:tc>
          <w:tcPr>
            <w:tcW w:type="dxa" w:w="30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Specialty fit</w:t>
            </w:r>
          </w:p>
        </w:tc>
        <w:tc>
          <w:tcPr>
            <w:tcW w:type="dxa" w:w="12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15%</w:t>
            </w:r>
          </w:p>
        </w:tc>
        <w:tc>
          <w:tcPr>
            <w:tcW w:type="dxa" w:w="550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Primary care 0.90–1.00; endocrinology 0.75; cardiology 0.65; others lower</w:t>
            </w:r>
          </w:p>
        </w:tc>
      </w:tr>
    </w:tbl>
    <w:p>
      <w:pPr>
        <w:spacing w:after="140"/>
      </w:pPr>
    </w:p>
    <w:p>
      <w:pPr>
        <w:spacing w:after="140"/>
      </w:pPr>
      <w:r>
        <w:rPr>
          <w:rFonts w:ascii="Arial" w:cs="Arial" w:eastAsia="Arial" w:hAnsi="Arial"/>
          <w:sz w:val="22"/>
          <w:szCs w:val="22"/>
        </w:rPr>
        <w:t xml:space="preserve">The top 5% of scores form the Priority tier (20,612 NPIs). Each record carries a plain-language rationale for rep briefing, and the list exports as a CRM-loadable CSV. Interpretation boundary: the score ranks where a diagnosis-support conversation is most valuable given geography and panel profile — it makes no claim about the quality of any individual’s prescribing, and it uses no patient-level data of any kind.</w:t>
      </w:r>
    </w:p>
    <w:p>
      <w:pPr>
        <w:pStyle w:val="Heading2"/>
      </w:pPr>
      <w:r>
        <w:t xml:space="preserve">Campaign Measurement — Matched-Control Difference-in-Differences</w:t>
      </w:r>
    </w:p>
    <w:p>
      <w:pPr>
        <w:spacing w:after="140"/>
      </w:pPr>
      <w:r>
        <w:rPr>
          <w:rFonts w:ascii="Arial" w:cs="Arial" w:eastAsia="Arial" w:hAnsi="Arial"/>
          <w:sz w:val="22"/>
          <w:szCs w:val="22"/>
        </w:rPr>
        <w:t xml:space="preserve">v2.0 closes the loop from planning to outcomes. The measurement engine takes a set of campaign counties, matches each to its k most similar untouched counties (nearest-neighbor on standardized baseline covariates: prior diagnosed prevalence, obesity, poverty, income, uninsured rate, population, rurality), and estimates the campaign effect as a difference-in-differences: the change in diagnosed prevalence among campaign counties minus the change among matched controls, between the two most recent CDC PLACES releases. Confidence intervals come from a 2,000-resample bootstrap over counties; results are reported in percentage points. Because PLACES measures diagnosed prevalence, a successful find-the-undiagnosed campaign appears as diagnosed prevalence rising faster in campaign counties than in controls, net of the secular trend.</w:t>
      </w:r>
    </w:p>
    <w:p>
      <w:pPr>
        <w:spacing w:after="140"/>
      </w:pPr>
      <w:r>
        <w:rPr>
          <w:rFonts w:ascii="Arial" w:cs="Arial" w:eastAsia="Arial" w:hAnsi="Arial"/>
          <w:b/>
          <w:bCs/>
          <w:sz w:val="22"/>
          <w:b/>
          <w:bCs/>
          <w:szCs w:val="22"/>
        </w:rPr>
        <w:t xml:space="preserve">Pre-registration: </w:t>
      </w:r>
      <w:r>
        <w:rPr>
          <w:rFonts w:ascii="Arial" w:cs="Arial" w:eastAsia="Arial" w:hAnsi="Arial"/>
          <w:sz w:val="22"/>
          <w:szCs w:val="22"/>
        </w:rPr>
        <w:t xml:space="preserve">The dashboard exports a pre-registration file (campaign counties plus their matched controls) intended to be locked before launch. Pre-registration is what makes the post-campaign readout credible; selecting controls after outcomes are known invites bias.</w:t>
      </w:r>
    </w:p>
    <w:p>
      <w:pPr>
        <w:pStyle w:val="Heading3"/>
      </w:pPr>
      <w:r>
        <w:t xml:space="preserve">Validation</w:t>
      </w:r>
    </w:p>
    <w:tbl>
      <w:tblPr>
        <w:tblW w:type="dxa" w:w="9700"/>
        <w:tblLayout w:type="fixed"/>
      </w:tblPr>
      <w:tblGrid>
        <w:gridCol w:w="4850"/>
        <w:gridCol w:w="4850"/>
      </w:tblGrid>
      <w:tr>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Test</w:t>
            </w:r>
          </w:p>
        </w:tc>
        <w:tc>
          <w:tcPr>
            <w:tcW w:type="dxa" w:w="4850"/>
            <w:tcBorders>
              <w:top w:color="CCCCCC" w:sz="4" w:val="single"/>
              <w:left w:color="CCCCCC" w:sz="4" w:val="single"/>
              <w:bottom w:color="CCCCCC" w:sz="4" w:val="single"/>
              <w:right w:color="CCCCCC" w:sz="4" w:val="single"/>
            </w:tcBorders>
            <w:shd w:fill="EAEFF5" w:val="clear"/>
            <w:tcMar>
              <w:top w:type="dxa" w:w="80"/>
              <w:left w:type="dxa" w:w="120"/>
              <w:bottom w:type="dxa" w:w="80"/>
              <w:right w:type="dxa" w:w="120"/>
            </w:tcMar>
          </w:tcPr>
          <w:p>
            <w:pPr>
              <w:spacing w:after="0"/>
            </w:pPr>
            <w:r>
              <w:rPr>
                <w:rFonts w:ascii="Arial" w:cs="Arial" w:eastAsia="Arial" w:hAnsi="Arial"/>
                <w:b/>
                <w:bCs/>
                <w:sz w:val="22"/>
                <w:b/>
                <w:bCs/>
                <w:szCs w:val="22"/>
              </w:rPr>
              <w:t xml:space="preserve">Result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Synthetic recovery — inject a known +1.50pp lift into 40 of 800 synthetic counties</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Estimator recovers the lift within ±0.30pp; 95% CI covers the true value; effect flagged significant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Synthetic null — no lift injected</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Estimate near zero; CI straddles zero; correctly flagged not significant</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Real-data placebo — 8 Rio Grande Valley, TX counties treated as a fictional campaign (none ran)</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+0.17pp, 95% CI [−0.72, +1.07] — correctly not significant; treated drifted +0.62pp vs matched controls +0.45pp</w:t>
            </w:r>
          </w:p>
        </w:tc>
      </w:tr>
      <w:tr>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Balance check — high-poverty treated set</w:t>
            </w:r>
          </w:p>
        </w:tc>
        <w:tc>
          <w:tcPr>
            <w:tcW w:type="dxa" w:w="4850"/>
            <w:tcBorders>
              <w:top w:color="CCCCCC" w:sz="4" w:val="single"/>
              <w:left w:color="CCCCCC" w:sz="4" w:val="single"/>
              <w:bottom w:color="CCCCCC" w:sz="4" w:val="single"/>
              <w:right w:color="CCCCCC" w:sz="4" w:val="single"/>
            </w:tcBorders>
            <w:tcMar>
              <w:top w:type="dxa" w:w="80"/>
              <w:left w:type="dxa" w:w="120"/>
              <w:bottom w:type="dxa" w:w="80"/>
              <w:right w:type="dxa" w:w="120"/>
            </w:tcMar>
          </w:tcPr>
          <w:p>
            <w:pPr>
              <w:spacing w:after="0"/>
            </w:pPr>
            <w:r>
              <w:rPr>
                <w:rFonts w:ascii="Arial" w:cs="Arial" w:eastAsia="Arial" w:hAnsi="Arial"/>
                <w:sz w:val="22"/>
                <w:szCs w:val="22"/>
              </w:rPr>
              <w:t xml:space="preserve">Matched controls sit materially closer to treated means than the national pool on all covariates</w:t>
            </w:r>
          </w:p>
        </w:tc>
      </w:tr>
    </w:tbl>
    <w:p>
      <w:pPr>
        <w:spacing w:after="140"/>
      </w:pPr>
    </w:p>
    <w:p>
      <w:pPr>
        <w:pStyle w:val="Heading3"/>
      </w:pPr>
      <w:r>
        <w:t xml:space="preserve">Known Limitations</w:t>
      </w:r>
    </w:p>
    <w:p>
      <w:pPr>
        <w:spacing w:after="140"/>
      </w:pPr>
      <w:r>
        <w:rPr>
          <w:rFonts w:ascii="Arial" w:cs="Arial" w:eastAsia="Arial" w:hAnsi="Arial"/>
          <w:sz w:val="22"/>
          <w:szCs w:val="22"/>
        </w:rPr>
        <w:t xml:space="preserve">Outcome spacing follows PLACES releases (currently a 3-year window: 2020 BRFSS baseline to 2023 BRFSS follow-up), suiting multi-year campaigns rather than quarterly pulses. Matching is on observables only. PLACES model-based smoothing limits statistical power in small counties; campaigns spanning fewer than roughly five counties are unlikely to produce detectable effects. Claims-data integration is the roadmap path to tighter windows and narrower intervals.</w:t>
      </w:r>
    </w:p>
    <w:p>
      <w:pPr>
        <w:pStyle w:val="Heading2"/>
      </w:pPr>
      <w:r>
        <w:t xml:space="preserve">Data Vintage Corrections (v2.0)</w:t>
      </w:r>
    </w:p>
    <w:p>
      <w:pPr>
        <w:spacing w:after="140"/>
      </w:pPr>
      <w:r>
        <w:rPr>
          <w:rFonts w:ascii="Arial" w:cs="Arial" w:eastAsia="Arial" w:hAnsi="Arial"/>
          <w:sz w:val="22"/>
          <w:szCs w:val="22"/>
        </w:rPr>
        <w:t xml:space="preserve">A full audit corrected two vintage errors in Part I’s data description. First, the ’current’ CDC PLACES county file is the 2025 release (2023 BRFSS data), not the 2024 release. Second — and materially — the prior-release download had been using CDC’s rolling dataset identifier, which CDC repoints to the newest release each year; prior therefore equaled current, and the Trajectory dimension’s trend signal was silently zero for all counties. v2.0 pins archived release identifiers (2022 release, 2020 BRFSS; fallback 2020 release, 2018 BRFSS), rejects any prior download identical to the current release, and gates on trend variance. The restored real signal shows a national mean diabetes prevalence trend of +0.93pp (s.d. 0.81pp) between the 2020 and 2023 BRFSS survey waves. MA penetration now comes from the CMS county-level Market Penetration report with real values for 3,108 of 3,128 counties.</w:t>
      </w:r>
    </w:p>
    <w:p>
      <w:pPr>
        <w:spacing w:after="140"/>
      </w:pPr>
      <w:r>
        <w:rPr>
          <w:rFonts w:ascii="Arial" w:cs="Arial" w:eastAsia="Arial" w:hAnsi="Arial"/>
          <w:sz w:val="22"/>
          <w:szCs w:val="22"/>
        </w:rPr>
        <w:t xml:space="preserve">County opportunity scores, tiers, percentiles, and the Trajectory dimension were fully recomputed after these corrections; the current Priority tier comprises 24 counties led by Starr, TX; Presidio, TX; Oglala Lakota, SD; Greene, AL; and Hidalgo, TX.</w:t>
      </w:r>
    </w:p>
    <w:p>
      <w:pPr>
        <w:pStyle w:val="Heading2"/>
      </w:pPr>
      <w:r>
        <w:t xml:space="preserve">Disclosed Assumptions — Know Them Cold</w:t>
      </w:r>
    </w:p>
    <w:p>
      <w:pPr>
        <w:spacing w:after="140"/>
      </w:pPr>
      <w:r>
        <w:rPr>
          <w:rFonts w:ascii="Arial" w:cs="Arial" w:eastAsia="Arial" w:hAnsi="Arial"/>
          <w:sz w:val="22"/>
          <w:szCs w:val="22"/>
        </w:rPr>
        <w:t xml:space="preserve">SPPF’s credibility position is that every assumption is labeled in the product itself, not discovered by reviewers. The complete list of current assumptions, in the platform’s own words:</w:t>
      </w:r>
    </w:p>
    <w:p>
      <w:pPr>
        <w:spacing w:after="140"/>
      </w:pPr>
      <w:r>
        <w:rPr>
          <w:rFonts w:ascii="Arial" w:cs="Arial" w:eastAsia="Arial" w:hAnsi="Arial"/>
          <w:b/>
          <w:bCs/>
          <w:sz w:val="22"/>
          <w:b/>
          <w:bCs/>
          <w:szCs w:val="22"/>
        </w:rPr>
        <w:t xml:space="preserve">Pool estimates: </w:t>
      </w:r>
      <w:r>
        <w:rPr>
          <w:rFonts w:ascii="Arial" w:cs="Arial" w:eastAsia="Arial" w:hAnsi="Arial"/>
          <w:sz w:val="22"/>
          <w:szCs w:val="22"/>
        </w:rPr>
        <w:t xml:space="preserve">published national undiagnosis rates (T2D 23.1%, hypertension ~20%, hypothyroidism ~50%) are applied uniformly to county prevalence. Actual county-level undiagnosis rates vary with factors not captured in public data; estimates are for relative market sizing only.</w:t>
      </w:r>
    </w:p>
    <w:p>
      <w:pPr>
        <w:spacing w:after="140"/>
      </w:pPr>
      <w:r>
        <w:rPr>
          <w:rFonts w:ascii="Arial" w:cs="Arial" w:eastAsia="Arial" w:hAnsi="Arial"/>
          <w:b/>
          <w:bCs/>
          <w:sz w:val="22"/>
          <w:b/>
          <w:bCs/>
          <w:szCs w:val="22"/>
        </w:rPr>
        <w:t xml:space="preserve">Diagnosis Gap: </w:t>
      </w:r>
      <w:r>
        <w:rPr>
          <w:rFonts w:ascii="Arial" w:cs="Arial" w:eastAsia="Arial" w:hAnsi="Arial"/>
          <w:sz w:val="22"/>
          <w:szCs w:val="22"/>
        </w:rPr>
        <w:t xml:space="preserve">the dimension currently runs on its CDC-only fallback (prevalence, care-seeking, and affordability signals) because the full CMS Geographic Variation PUF endpoint is unavailable; only MA penetration is live CMS data. The scorer supports the Medicare detection-deficit signal the moment that download works — a data-refresh roadmap item, not a code change. The scorer also treats any zero-variance column as absent, so a filled national constant can never masquerade as a detection signal.</w:t>
      </w:r>
    </w:p>
    <w:p>
      <w:pPr>
        <w:spacing w:after="140"/>
      </w:pPr>
      <w:r>
        <w:rPr>
          <w:rFonts w:ascii="Arial" w:cs="Arial" w:eastAsia="Arial" w:hAnsi="Arial"/>
          <w:b/>
          <w:bCs/>
          <w:sz w:val="22"/>
          <w:b/>
          <w:bCs/>
          <w:szCs w:val="22"/>
        </w:rPr>
        <w:t xml:space="preserve">Payer mix: </w:t>
      </w:r>
      <w:r>
        <w:rPr>
          <w:rFonts w:ascii="Arial" w:cs="Arial" w:eastAsia="Arial" w:hAnsi="Arial"/>
          <w:sz w:val="22"/>
          <w:szCs w:val="22"/>
        </w:rPr>
        <w:t xml:space="preserve">Medicare Advantage penetration is real county-level CMS data (3,108 of 3,128 counties). Medicaid share, commercial share, and dual-eligible share are modeled estimates derived from SES signals and coverage arithmetic — directionally sound planning figures, labeled as modeled in the dashboard.</w:t>
      </w:r>
    </w:p>
    <w:p>
      <w:pPr>
        <w:spacing w:after="140"/>
      </w:pPr>
      <w:r>
        <w:rPr>
          <w:rFonts w:ascii="Arial" w:cs="Arial" w:eastAsia="Arial" w:hAnsi="Arial"/>
          <w:b/>
          <w:bCs/>
          <w:sz w:val="22"/>
          <w:b/>
          <w:bCs/>
          <w:szCs w:val="22"/>
        </w:rPr>
        <w:t xml:space="preserve">ZIP downscaling: </w:t>
      </w:r>
      <w:r>
        <w:rPr>
          <w:rFonts w:ascii="Arial" w:cs="Arial" w:eastAsia="Arial" w:hAnsi="Arial"/>
          <w:sz w:val="22"/>
          <w:szCs w:val="22"/>
        </w:rPr>
        <w:t xml:space="preserve">Payer Landscape, Commercial Readiness, and Trajectory at ZIP level are county scores downscaled via the Census crosswalk; only Disease Burden and Social Determinants use direct ZCTA-level source data.</w:t>
      </w:r>
    </w:p>
    <w:p>
      <w:pPr>
        <w:spacing w:after="140"/>
      </w:pPr>
      <w:r>
        <w:rPr>
          <w:rFonts w:ascii="Arial" w:cs="Arial" w:eastAsia="Arial" w:hAnsi="Arial"/>
          <w:b/>
          <w:bCs/>
          <w:sz w:val="22"/>
          <w:b/>
          <w:bCs/>
          <w:szCs w:val="22"/>
        </w:rPr>
        <w:t xml:space="preserve">Hypothyroidism: </w:t>
      </w:r>
      <w:r>
        <w:rPr>
          <w:rFonts w:ascii="Arial" w:cs="Arial" w:eastAsia="Arial" w:hAnsi="Arial"/>
          <w:sz w:val="22"/>
          <w:szCs w:val="22"/>
        </w:rPr>
        <w:t xml:space="preserve">no public dataset provides county-level thyroid measures, so the hypothyroidism geography ranking is a proxy blend of Diagnosis Gap (60%) and Access to Care (40%) — labeled as such in the condition tooltip. Lab-ordering data is the roadmap fix.</w:t>
      </w:r>
    </w:p>
    <w:p>
      <w:pPr>
        <w:spacing w:after="140"/>
      </w:pPr>
      <w:r>
        <w:rPr>
          <w:rFonts w:ascii="Arial" w:cs="Arial" w:eastAsia="Arial" w:hAnsi="Arial"/>
          <w:b/>
          <w:bCs/>
          <w:sz w:val="22"/>
          <w:b/>
          <w:bCs/>
          <w:szCs w:val="22"/>
        </w:rPr>
        <w:t xml:space="preserve">Weights: </w:t>
      </w:r>
      <w:r>
        <w:rPr>
          <w:rFonts w:ascii="Arial" w:cs="Arial" w:eastAsia="Arial" w:hAnsi="Arial"/>
          <w:sz w:val="22"/>
          <w:szCs w:val="22"/>
        </w:rPr>
        <w:t xml:space="preserve">dimension weights and HCP specialty-fit weights are judgment calls. They are defended empirically rather than asserted: the dashboard’s weight-sensitivity panel shows the ranking holds under any need-side re-weighting (Spearman 0.97–0.99, top-50 overlap 82–88%).</w:t>
      </w:r>
    </w:p>
    <w:p>
      <w:pPr>
        <w:spacing w:after="140"/>
      </w:pPr>
      <w:r>
        <w:rPr>
          <w:rFonts w:ascii="Arial" w:cs="Arial" w:eastAsia="Arial" w:hAnsi="Arial"/>
          <w:b/>
          <w:bCs/>
          <w:sz w:val="22"/>
          <w:b/>
          <w:bCs/>
          <w:szCs w:val="22"/>
        </w:rPr>
        <w:t xml:space="preserve">If asked what the weakest part of the data is: </w:t>
      </w:r>
      <w:r>
        <w:rPr>
          <w:rFonts w:ascii="Arial" w:cs="Arial" w:eastAsia="Arial" w:hAnsi="Arial"/>
          <w:sz w:val="22"/>
          <w:szCs w:val="22"/>
        </w:rPr>
        <w:t xml:space="preserve">“Payer mix beyond MA penetration is modeled, and hypothyroidism is a proxy — both labeled as such in the app. That is why the provenance page exists: we would rather show you the seams than have you find them.” Honesty as a feature.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2" w:space="4"/>
      </w:pBdr>
      <w:tabs>
        <w:tab w:val="right" w:pos="9026"/>
      </w:tabs>
      <w:spacing w:after="0" w:before="80"/>
    </w:pPr>
    <w:r>
      <w:rPr>
        <w:rFonts w:ascii="Arial" w:cs="Arial" w:eastAsia="Arial" w:hAnsi="Arial"/>
        <w:color w:val="7A8494"/>
        <w:sz w:val="17"/>
        <w:szCs w:val="17"/>
      </w:rPr>
      <w:t xml:space="preserve">Silent Patient Pool Finder  |  Market Access Intelligence Platform  |  © 2026</w:t>
    </w:r>
    <w:r>
      <w:rPr>
        <w:rFonts w:ascii="Arial" w:cs="Arial" w:eastAsia="Arial" w:hAnsi="Arial"/>
        <w:color w:val="7A8494"/>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2" w:space="4"/>
      </w:pBdr>
      <w:spacing w:after="80" w:before="0"/>
    </w:pPr>
    <w:r>
      <w:rPr>
        <w:rFonts w:ascii="Arial" w:cs="Arial" w:eastAsia="Arial" w:hAnsi="Arial"/>
        <w:color w:val="7A8494"/>
        <w:sz w:val="17"/>
        <w:szCs w:val="17"/>
      </w:rPr>
      <w:t xml:space="preserve">SILENT PATIENT POOL FINDER  |  Methodology &amp; Technical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7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2026-07-05T10:17:49.973Z</dcterms:created>
  <dcterms:modified xsi:type="dcterms:W3CDTF">2026-07-05T10:17:49.980Z</dcterms:modified>
</cp:coreProperties>
</file>

<file path=docProps/custom.xml><?xml version="1.0" encoding="utf-8"?>
<Properties xmlns="http://schemas.openxmlformats.org/officeDocument/2006/custom-properties" xmlns:vt="http://schemas.openxmlformats.org/officeDocument/2006/docPropsVTypes"/>
</file>