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96C4" w14:textId="77777777" w:rsidR="00473F2B" w:rsidRDefault="00473F2B" w:rsidP="00473F2B">
      <w:pPr>
        <w:jc w:val="center"/>
      </w:pPr>
      <w:r>
        <w:rPr>
          <w:b/>
          <w:sz w:val="24"/>
        </w:rPr>
        <w:t>Columbia University | Department of Biomedical Engineering</w:t>
      </w:r>
      <w:r>
        <w:rPr>
          <w:b/>
          <w:sz w:val="24"/>
        </w:rPr>
        <w:br/>
        <w:t>ECBM E4060 – Introduction to Genomic Information Science and Technology</w:t>
      </w:r>
    </w:p>
    <w:p w14:paraId="11ECB300" w14:textId="77777777" w:rsidR="00473F2B" w:rsidRDefault="00473F2B" w:rsidP="00473F2B">
      <w:pPr>
        <w:jc w:val="center"/>
      </w:pPr>
      <w:r>
        <w:t>Instructor: Dr. Tai‑Hsien Ou Yang    Student: Yanxuan Yu (UNI: yy3523, yy3523@columbia.edu)</w:t>
      </w:r>
    </w:p>
    <w:p w14:paraId="409BB9A7" w14:textId="77777777" w:rsidR="00473F2B" w:rsidRDefault="00473F2B" w:rsidP="00473F2B"/>
    <w:p w14:paraId="312E0D6A" w14:textId="77777777" w:rsidR="00473F2B" w:rsidRDefault="00473F2B" w:rsidP="00473F2B">
      <w:pPr>
        <w:jc w:val="center"/>
      </w:pPr>
      <w:r>
        <w:rPr>
          <w:b/>
          <w:sz w:val="28"/>
        </w:rPr>
        <w:t>Final Project Proposal (Individual)</w:t>
      </w:r>
    </w:p>
    <w:p w14:paraId="4EC57BDD" w14:textId="77777777" w:rsidR="00473F2B" w:rsidRDefault="00473F2B" w:rsidP="00473F2B">
      <w:pPr>
        <w:jc w:val="center"/>
      </w:pPr>
      <w:r>
        <w:rPr>
          <w:b/>
          <w:sz w:val="24"/>
        </w:rPr>
        <w:t>Comparative Modeling of Somatic Mutation Accumulation for Age‑Dependent Cancer Risk</w:t>
      </w:r>
    </w:p>
    <w:p w14:paraId="092DBDC2" w14:textId="77777777" w:rsidR="00473F2B" w:rsidRDefault="00473F2B" w:rsidP="00473F2B"/>
    <w:p w14:paraId="3AD5613E" w14:textId="77777777" w:rsidR="00473F2B" w:rsidRDefault="00473F2B" w:rsidP="00473F2B">
      <w:pPr>
        <w:pStyle w:val="21"/>
      </w:pPr>
      <w:r>
        <w:t>Goal and Scientific Background</w:t>
      </w:r>
    </w:p>
    <w:p w14:paraId="27004FFB" w14:textId="2546953D" w:rsidR="00473F2B" w:rsidRPr="00597EBF" w:rsidRDefault="00473F2B" w:rsidP="00473F2B">
      <w:pPr>
        <w:spacing w:line="312" w:lineRule="auto"/>
        <w:rPr>
          <w:rFonts w:eastAsia="宋体" w:hint="eastAsia"/>
          <w:lang w:eastAsia="zh-CN"/>
        </w:rPr>
      </w:pPr>
      <w:r w:rsidRPr="00597EBF">
        <w:t>Cancer risk increases with the accumulation of somatic mutations. Building on the September 29 lecture, the baseline model expresses the probability of malignancy as P = 1 − (1 − p^N)^M. To reflect biological heterogeneity, the project adopts a comparative design that includes: (i) a probabilistic framework with mutation‑rate variation (p ~ LogNormal), DNA repair efficiency (r), and a clonal threshold (C); and (ii) at least one alternative baseline (deterministic rate/hazard or empirical regression). In line with Tomasetti &amp; Vogelstein (Science 2015), tissue‑specific lifetime stem cell divisions (LSCD) will be incorporated as a replicative‑risk covariate to explain cross‑tissue variation. Recent studies further motivate these extensions by documenting driver‑mutation accumulation in normal tissues and tissue/individual variability in cancer risk (Lawson et al., 2025; Imaoka, 2025).</w:t>
      </w:r>
    </w:p>
    <w:p w14:paraId="52091C76" w14:textId="77777777" w:rsidR="00473F2B" w:rsidRDefault="00473F2B" w:rsidP="00473F2B"/>
    <w:p w14:paraId="1C5A74FA" w14:textId="30D0987A" w:rsidR="00B802D3" w:rsidRPr="00CC29C6" w:rsidRDefault="00B802D3" w:rsidP="00473F2B">
      <w:pPr>
        <w:rPr>
          <w:rFonts w:hint="eastAsia"/>
          <w:i/>
        </w:rPr>
      </w:pPr>
      <w:r w:rsidRPr="00CC29C6">
        <w:rPr>
          <w:i/>
        </w:rPr>
        <w:t>Figure 1. Inputs upstream (LSCD per tissue; SEER age×tissue incidence; TCGA mutation burden/driver panels; 1000G±Kaggle) → parallel models (A/B/C) → model comparison &amp; calibration → outputs (age–repair surface, calibration/discrimination/fit, external validation).</w:t>
      </w:r>
    </w:p>
    <w:p w14:paraId="03BE1B61" w14:textId="0DEAC88E" w:rsidR="00473F2B" w:rsidRDefault="00473F2B" w:rsidP="00473F2B">
      <w:pPr>
        <w:jc w:val="center"/>
      </w:pPr>
      <w:r>
        <w:rPr>
          <w:noProof/>
        </w:rPr>
        <w:drawing>
          <wp:inline distT="0" distB="0" distL="0" distR="0" wp14:anchorId="031CA8E9" wp14:editId="0DE58075">
            <wp:extent cx="4540670" cy="2787650"/>
            <wp:effectExtent l="0" t="0" r="0" b="0"/>
            <wp:docPr id="1719370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70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211" cy="279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0905" w14:textId="77777777" w:rsidR="00473F2B" w:rsidRDefault="00473F2B" w:rsidP="00473F2B">
      <w:pPr>
        <w:pStyle w:val="21"/>
      </w:pPr>
      <w:r>
        <w:t>Proposed Method (multiple models &amp; multiple validation sets)</w:t>
      </w:r>
    </w:p>
    <w:p w14:paraId="56811C9A" w14:textId="77777777" w:rsidR="00A51E5E" w:rsidRDefault="00473F2B" w:rsidP="00473F2B">
      <w:pPr>
        <w:spacing w:line="312" w:lineRule="auto"/>
        <w:rPr>
          <w:rFonts w:eastAsia="宋体"/>
          <w:lang w:eastAsia="zh-CN"/>
        </w:rPr>
      </w:pPr>
      <w:r>
        <w:t>Models:</w:t>
      </w:r>
    </w:p>
    <w:p w14:paraId="21529DFD" w14:textId="78E75F01" w:rsidR="00A51E5E" w:rsidRPr="00A51E5E" w:rsidRDefault="00473F2B" w:rsidP="00473F2B">
      <w:pPr>
        <w:spacing w:line="312" w:lineRule="auto"/>
        <w:rPr>
          <w:rFonts w:eastAsia="宋体" w:hint="eastAsia"/>
          <w:lang w:eastAsia="zh-CN"/>
        </w:rPr>
      </w:pPr>
      <w:r>
        <w:lastRenderedPageBreak/>
        <w:t>(A) Probabilistic model with p ~ LogNormal(μ,σ), repair r ∈ [0,1] (effective p(1−r)) and clonal threshold C</w:t>
      </w:r>
    </w:p>
    <w:p w14:paraId="74EC06F3" w14:textId="77777777" w:rsidR="00997DA1" w:rsidRDefault="00473F2B" w:rsidP="00473F2B">
      <w:pPr>
        <w:spacing w:line="312" w:lineRule="auto"/>
        <w:rPr>
          <w:rFonts w:eastAsia="宋体"/>
          <w:lang w:eastAsia="zh-CN"/>
        </w:rPr>
      </w:pPr>
      <w:r>
        <w:t xml:space="preserve">(B) </w:t>
      </w:r>
      <w:r w:rsidR="000C16BC" w:rsidRPr="000C16BC">
        <w:t>Replicative-risk baseline relating log-incidence to log-LSCD (Science 2015; slope estimated via log-linear regression with tissue fixed effects)</w:t>
      </w:r>
    </w:p>
    <w:p w14:paraId="6DBFC1CE" w14:textId="7EE6BCF5" w:rsidR="00473F2B" w:rsidRDefault="00473F2B" w:rsidP="00473F2B">
      <w:pPr>
        <w:spacing w:line="312" w:lineRule="auto"/>
      </w:pPr>
      <w:r>
        <w:t>(C) Deterministic hazard model and/or empirical Cox regression. Simulation: Monte Carlo (10^6 cells, 0–80 years) to generate age‑incidence curves and examine Poisson limits for small p. Datasets &amp; Validation: SEER incidence for population curves (SEER*Stat download); TCGA for tumor mutation burden and driver panels (GDC API); 1000 Genomes for germline background; optional Kaggle benchmarks for reproducibility. Evaluation: calibration (Brier at 10‑year intervals), discrimination (time‑dependent AUC), and fit (NLL/AIC), with external validation across SEER tissues. Ablations: remove r, fix C, or replace LogNormal p with Gamma to quantify component contributions.</w:t>
      </w:r>
    </w:p>
    <w:p w14:paraId="707AF67E" w14:textId="77777777" w:rsidR="00473F2B" w:rsidRDefault="00473F2B" w:rsidP="00473F2B">
      <w:pPr>
        <w:pStyle w:val="21"/>
      </w:pPr>
      <w:r>
        <w:t>Expected Outcome</w:t>
      </w:r>
    </w:p>
    <w:p w14:paraId="384F26F3" w14:textId="77777777" w:rsidR="00473F2B" w:rsidRDefault="00473F2B" w:rsidP="00473F2B">
      <w:pPr>
        <w:spacing w:line="312" w:lineRule="auto"/>
      </w:pPr>
      <w:r>
        <w:t>Hypothesis: after accounting for LSCD, the probabilistic framework with p, r, and C will provide superior calibration and interpretable residual structure compared with LSCD‑based and deterministic baselines. Outputs include an age–repair‑efficiency surface, cross‑tissue residual plots vs LSCD, and sensitivity analyses over r and C, yielding data‑driven hypotheses that connect mutation burden and repair performance to incidence trends.</w:t>
      </w:r>
    </w:p>
    <w:p w14:paraId="4F9616C3" w14:textId="77777777" w:rsidR="00473F2B" w:rsidRDefault="00473F2B" w:rsidP="00473F2B"/>
    <w:p w14:paraId="4BF4128D" w14:textId="77777777" w:rsidR="00473F2B" w:rsidRDefault="00473F2B" w:rsidP="00473F2B">
      <w:r>
        <w:rPr>
          <w:sz w:val="20"/>
        </w:rPr>
        <w:t>Note on computational resources: SEER, TCGA, and 1000 Genomes can be sizable; if local compute/storage limits are reached, the plan uses stratified downsampling (by age bin × tissue), sparse year grids, and staged per‑tissue processing. Any adjustments will follow the methodology and be documented during implementation.</w:t>
      </w:r>
    </w:p>
    <w:p w14:paraId="6D7891A6" w14:textId="77777777" w:rsidR="00473F2B" w:rsidRDefault="00473F2B" w:rsidP="00473F2B">
      <w:pPr>
        <w:pStyle w:val="21"/>
      </w:pPr>
      <w:r>
        <w:t>References (recent &amp; public data portals)</w:t>
      </w:r>
    </w:p>
    <w:p w14:paraId="3B7D9ABD" w14:textId="1FDDE249" w:rsidR="00750375" w:rsidRPr="00A147EA" w:rsidRDefault="00473F2B">
      <w:pPr>
        <w:rPr>
          <w:rFonts w:eastAsia="宋体"/>
          <w:lang w:eastAsia="zh-CN"/>
        </w:rPr>
      </w:pPr>
      <w:r>
        <w:t>Tomasetti C., Vogelstein B. Variation in cancer risk among tissues can be explained by the number of stem cell divisions. Science. 2015;347(6217):78‑81. https://www.science.org/doi/10.1126/science.1260825</w:t>
      </w:r>
      <w:r>
        <w:br/>
        <w:t>Lawson A.R.J. et al. Somatic mutation and selection at population scale. Nature. 2025. https://www.nature.com/articles/s41586-025-09584-w</w:t>
      </w:r>
      <w:r>
        <w:br/>
        <w:t>Imaoka T. Trans‑Scale Insights into Variability in Radiation Cancer Risk Across Tissues, Individuals, and Species. Biology. 2025;14(8):1025. https://doi.org/10.3390/biology14081025</w:t>
      </w:r>
      <w:r>
        <w:br/>
        <w:t>SEER Research Data and SEER*Stat: https://seer.cancer.gov/data/</w:t>
      </w:r>
      <w:r>
        <w:br/>
        <w:t>TCGA Program (GDC): https://www.cancer.gov/tcga</w:t>
      </w:r>
      <w:r>
        <w:br/>
        <w:t>1000 Genomes Project: https://www.internationalgenome.org/</w:t>
      </w:r>
    </w:p>
    <w:sectPr w:rsidR="00750375" w:rsidRPr="00A147EA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4E8B6" w14:textId="77777777" w:rsidR="00CA3FE6" w:rsidRDefault="00CA3FE6" w:rsidP="00C65025">
      <w:pPr>
        <w:spacing w:after="0" w:line="240" w:lineRule="auto"/>
      </w:pPr>
      <w:r>
        <w:separator/>
      </w:r>
    </w:p>
  </w:endnote>
  <w:endnote w:type="continuationSeparator" w:id="0">
    <w:p w14:paraId="4A3DE40B" w14:textId="77777777" w:rsidR="00CA3FE6" w:rsidRDefault="00CA3FE6" w:rsidP="00C65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E26A5" w14:textId="77777777" w:rsidR="00CA3FE6" w:rsidRDefault="00CA3FE6" w:rsidP="00C65025">
      <w:pPr>
        <w:spacing w:after="0" w:line="240" w:lineRule="auto"/>
      </w:pPr>
      <w:r>
        <w:separator/>
      </w:r>
    </w:p>
  </w:footnote>
  <w:footnote w:type="continuationSeparator" w:id="0">
    <w:p w14:paraId="0906AC01" w14:textId="77777777" w:rsidR="00CA3FE6" w:rsidRDefault="00CA3FE6" w:rsidP="00C650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831250">
    <w:abstractNumId w:val="8"/>
  </w:num>
  <w:num w:numId="2" w16cid:durableId="1660040199">
    <w:abstractNumId w:val="6"/>
  </w:num>
  <w:num w:numId="3" w16cid:durableId="1066151147">
    <w:abstractNumId w:val="5"/>
  </w:num>
  <w:num w:numId="4" w16cid:durableId="374499900">
    <w:abstractNumId w:val="4"/>
  </w:num>
  <w:num w:numId="5" w16cid:durableId="760299616">
    <w:abstractNumId w:val="7"/>
  </w:num>
  <w:num w:numId="6" w16cid:durableId="192111126">
    <w:abstractNumId w:val="3"/>
  </w:num>
  <w:num w:numId="7" w16cid:durableId="1986935825">
    <w:abstractNumId w:val="2"/>
  </w:num>
  <w:num w:numId="8" w16cid:durableId="1299382679">
    <w:abstractNumId w:val="1"/>
  </w:num>
  <w:num w:numId="9" w16cid:durableId="106915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BB"/>
    <w:rsid w:val="00034616"/>
    <w:rsid w:val="0006063C"/>
    <w:rsid w:val="000B1331"/>
    <w:rsid w:val="000C16BC"/>
    <w:rsid w:val="000F7185"/>
    <w:rsid w:val="0015074B"/>
    <w:rsid w:val="0029639D"/>
    <w:rsid w:val="00326F90"/>
    <w:rsid w:val="00360A9E"/>
    <w:rsid w:val="00473F2B"/>
    <w:rsid w:val="00597EBF"/>
    <w:rsid w:val="00602ACC"/>
    <w:rsid w:val="0070369C"/>
    <w:rsid w:val="00750375"/>
    <w:rsid w:val="00756967"/>
    <w:rsid w:val="007D29B9"/>
    <w:rsid w:val="007F7957"/>
    <w:rsid w:val="0096797A"/>
    <w:rsid w:val="00997DA1"/>
    <w:rsid w:val="009E7AD1"/>
    <w:rsid w:val="00A147EA"/>
    <w:rsid w:val="00A51E5E"/>
    <w:rsid w:val="00AA1D8D"/>
    <w:rsid w:val="00B47730"/>
    <w:rsid w:val="00B802D3"/>
    <w:rsid w:val="00BA32C4"/>
    <w:rsid w:val="00BA37BA"/>
    <w:rsid w:val="00BD136E"/>
    <w:rsid w:val="00C65025"/>
    <w:rsid w:val="00CA3FE6"/>
    <w:rsid w:val="00CB0664"/>
    <w:rsid w:val="00CC29C6"/>
    <w:rsid w:val="00E2357F"/>
    <w:rsid w:val="00FB7D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50093E"/>
  <w14:defaultImageDpi w14:val="300"/>
  <w15:docId w15:val="{2104CDB1-53B7-431A-A206-CF161418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518</Words>
  <Characters>3533</Characters>
  <Application>Microsoft Office Word</Application>
  <DocSecurity>0</DocSecurity>
  <Lines>53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Zorina</cp:lastModifiedBy>
  <cp:revision>21</cp:revision>
  <dcterms:created xsi:type="dcterms:W3CDTF">2013-12-23T23:15:00Z</dcterms:created>
  <dcterms:modified xsi:type="dcterms:W3CDTF">2025-11-13T02:32:00Z</dcterms:modified>
  <cp:category/>
</cp:coreProperties>
</file>