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 Proposal: Evaluating Hallucination Mitigation in Academic RAG</w:t>
      </w:r>
    </w:p>
    <w:p>
      <w:r>
        <w:t>Principal Investigator: Dr. Marcus Chen, Stanford AI Lab</w:t>
      </w:r>
    </w:p>
    <w:p>
      <w:r>
        <w:t>Grant Category: Intelligent Educational Technologies</w:t>
        <w:br/>
      </w:r>
    </w:p>
    <w:p>
      <w:pPr>
        <w:pStyle w:val="Heading1"/>
      </w:pPr>
      <w:r>
        <w:t>1. Project Rationale &amp; Objectives</w:t>
      </w:r>
    </w:p>
    <w:p>
      <w:r>
        <w:t>Modern university students grapple with information overload when surveying vast academic corpora. Generative AI tools promise automated literature synthesis, but their tendency to fabricate citations and misattribute theoretical findings poses a severe hazard to academic rigor. This project aims to deploy an open-access, browser-based RAG application that guarantees strict provenance tracking.</w:t>
      </w:r>
    </w:p>
    <w:p>
      <w:pPr>
        <w:pStyle w:val="Heading1"/>
      </w:pPr>
      <w:r>
        <w:t>2. Technical Milestones and Deliverables</w:t>
      </w:r>
    </w:p>
    <w:p>
      <w:r>
        <w:t>Milestone 1: Multi-format parsing pipeline supporting PDF and Word (.docx) documents with page number retention.</w:t>
        <w:br/>
        <w:t>Milestone 2: Sub-second vector retrieval using ChromaDB persistence with cosine indexing.</w:t>
        <w:br/>
        <w:t>Milestone 3: Strict grounding prompts conditioned on Google Gemini API to eliminate hallucinated answers.</w:t>
        <w:br/>
        <w:t>Milestone 4: Cloud deployment on Vercel and Render for universal student access.</w:t>
      </w:r>
    </w:p>
    <w:p>
      <w:pPr>
        <w:pStyle w:val="Heading1"/>
      </w:pPr>
      <w:r>
        <w:t>3. Expected Outcomes and Benchmarking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Objective</w:t>
            </w:r>
          </w:p>
        </w:tc>
        <w:tc>
          <w:tcPr>
            <w:tcW w:type="dxa" w:w="2880"/>
          </w:tcPr>
          <w:p>
            <w:r>
              <w:t>Target Accuracy</w:t>
            </w:r>
          </w:p>
        </w:tc>
      </w:tr>
      <w:tr>
        <w:tc>
          <w:tcPr>
            <w:tcW w:type="dxa" w:w="2880"/>
          </w:tcPr>
          <w:p>
            <w:r>
              <w:t>Phase A</w:t>
            </w:r>
          </w:p>
        </w:tc>
        <w:tc>
          <w:tcPr>
            <w:tcW w:type="dxa" w:w="2880"/>
          </w:tcPr>
          <w:p>
            <w:r>
              <w:t>Document Extraction &amp; Chunking</w:t>
            </w:r>
          </w:p>
        </w:tc>
        <w:tc>
          <w:tcPr>
            <w:tcW w:type="dxa" w:w="2880"/>
          </w:tcPr>
          <w:p>
            <w:r>
              <w:t>99.5% text retention</w:t>
            </w:r>
          </w:p>
        </w:tc>
      </w:tr>
      <w:tr>
        <w:tc>
          <w:tcPr>
            <w:tcW w:type="dxa" w:w="2880"/>
          </w:tcPr>
          <w:p>
            <w:r>
              <w:t>Phase B</w:t>
            </w:r>
          </w:p>
        </w:tc>
        <w:tc>
          <w:tcPr>
            <w:tcW w:type="dxa" w:w="2880"/>
          </w:tcPr>
          <w:p>
            <w:r>
              <w:t>Vector Similarity Retrieval</w:t>
            </w:r>
          </w:p>
        </w:tc>
        <w:tc>
          <w:tcPr>
            <w:tcW w:type="dxa" w:w="2880"/>
          </w:tcPr>
          <w:p>
            <w:r>
              <w:t>Top-4 Recall &gt; 92%</w:t>
            </w:r>
          </w:p>
        </w:tc>
      </w:tr>
      <w:tr>
        <w:tc>
          <w:tcPr>
            <w:tcW w:type="dxa" w:w="2880"/>
          </w:tcPr>
          <w:p>
            <w:r>
              <w:t>Phase C</w:t>
            </w:r>
          </w:p>
        </w:tc>
        <w:tc>
          <w:tcPr>
            <w:tcW w:type="dxa" w:w="2880"/>
          </w:tcPr>
          <w:p>
            <w:r>
              <w:t>Grounded Synthesis</w:t>
            </w:r>
          </w:p>
        </w:tc>
        <w:tc>
          <w:tcPr>
            <w:tcW w:type="dxa" w:w="2880"/>
          </w:tcPr>
          <w:p>
            <w:r>
              <w:t>Hallucination &lt; 3%</w:t>
            </w:r>
          </w:p>
        </w:tc>
      </w:tr>
    </w:tbl>
    <w:p>
      <w:r>
        <w:br w:type="page"/>
      </w:r>
    </w:p>
    <w:p>
      <w:pPr>
        <w:pStyle w:val="Heading1"/>
      </w:pPr>
      <w:r>
        <w:t>4. Budget and Resource Allocation</w:t>
      </w:r>
    </w:p>
    <w:p>
      <w:r>
        <w:t>Total requested funding is $45,000 distributed over cloud computing credits, vector storage bandwidth, and graduate researcher compensation. The application will be released open-source under the MIT license.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