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55136" w14:textId="77777777" w:rsidR="00EC2725" w:rsidRDefault="0003706E" w:rsidP="00961D80">
      <w:pPr>
        <w:pStyle w:val="a4"/>
        <w:jc w:val="both"/>
      </w:pPr>
      <w:r>
        <w:t>Local Thermal Conductivity: cross correlation</w:t>
      </w:r>
    </w:p>
    <w:p w14:paraId="3F3973E3" w14:textId="77777777" w:rsidR="00EC2725" w:rsidRPr="00D42990" w:rsidRDefault="0003706E" w:rsidP="00961D80">
      <w:pPr>
        <w:pStyle w:val="a4"/>
        <w:jc w:val="both"/>
      </w:pPr>
      <w:bookmarkStart w:id="0" w:name="abstract"/>
      <w:r w:rsidRPr="00D42990">
        <w:t>Abstract</w:t>
      </w:r>
    </w:p>
    <w:p w14:paraId="1A1F9B31" w14:textId="77777777" w:rsidR="00EC2725" w:rsidRDefault="0003706E" w:rsidP="00961D80">
      <w:pPr>
        <w:pStyle w:val="FirstParagraph"/>
        <w:jc w:val="both"/>
      </w:pPr>
      <w:r>
        <w:t xml:space="preserve">This study aims to analysis the intra-residue heat conductivity and inter residue conductivity, determine the </w:t>
      </w:r>
      <w:proofErr w:type="gramStart"/>
      <w:r>
        <w:t>cross correlation</w:t>
      </w:r>
      <w:proofErr w:type="gramEnd"/>
      <w:r>
        <w:t xml:space="preserve"> coefficient.</w:t>
      </w:r>
    </w:p>
    <w:p w14:paraId="49916477" w14:textId="77777777" w:rsidR="00EC2725" w:rsidRPr="00D42990" w:rsidRDefault="0003706E" w:rsidP="00961D80">
      <w:pPr>
        <w:pStyle w:val="a4"/>
        <w:jc w:val="both"/>
      </w:pPr>
      <w:bookmarkStart w:id="1" w:name="introduction"/>
      <w:bookmarkEnd w:id="0"/>
      <w:r w:rsidRPr="00D42990">
        <w:t>1 Introduction</w:t>
      </w:r>
    </w:p>
    <w:p w14:paraId="69C815E0" w14:textId="77777777" w:rsidR="00EC2725" w:rsidRPr="00D42990" w:rsidRDefault="0003706E" w:rsidP="00961D80">
      <w:pPr>
        <w:pStyle w:val="a4"/>
        <w:jc w:val="both"/>
      </w:pPr>
      <w:bookmarkStart w:id="2" w:name="materials-and-methods"/>
      <w:bookmarkEnd w:id="1"/>
      <w:r w:rsidRPr="00D42990">
        <w:t>2 Materials and Methods</w:t>
      </w:r>
    </w:p>
    <w:p w14:paraId="3BFC1AC0" w14:textId="77777777" w:rsidR="00EC2725" w:rsidRDefault="0003706E" w:rsidP="00961D80">
      <w:pPr>
        <w:pStyle w:val="2"/>
        <w:jc w:val="both"/>
      </w:pPr>
      <w:bookmarkStart w:id="3" w:name="Xb235f502876910885cd4ef8e065de3e5c61e4d9"/>
      <w:r>
        <w:t>2.1 Thermal conductivity and Inter-atomic heat current</w:t>
      </w:r>
    </w:p>
    <w:p w14:paraId="519B1290" w14:textId="77777777" w:rsidR="00EC2725" w:rsidRDefault="0003706E" w:rsidP="00961D80">
      <w:pPr>
        <w:pStyle w:val="FirstParagraph"/>
        <w:jc w:val="both"/>
      </w:pPr>
      <w:r>
        <w:t xml:space="preserve">Based on linear response theory, the heat thermal conductivity in isotropic homogeneous systems can be expressed in terms of equilibrium time autocorrelation function of the heat current, </w:t>
      </w:r>
      <m:oMath>
        <m:r>
          <m:rPr>
            <m:sty m:val="b"/>
          </m:rPr>
          <w:rPr>
            <w:rFonts w:ascii="Cambria Math" w:hAnsi="Cambria Math"/>
          </w:rPr>
          <m:t>h</m:t>
        </m:r>
      </m:oMath>
      <w:r>
        <w:t>,</w:t>
      </w:r>
    </w:p>
    <w:p w14:paraId="4523FDD9" w14:textId="77777777" w:rsidR="00EC2725" w:rsidRDefault="00EC2725" w:rsidP="00961D80">
      <w:pPr>
        <w:pStyle w:val="a0"/>
        <w:jc w:val="both"/>
      </w:pPr>
    </w:p>
    <w:p w14:paraId="10CE3804" w14:textId="77777777" w:rsidR="00EC2725" w:rsidRDefault="0003706E" w:rsidP="00961D80">
      <w:pPr>
        <w:pStyle w:val="a0"/>
        <w:jc w:val="both"/>
      </w:pPr>
      <w:r>
        <w:t xml:space="preserve">where </w:t>
      </w:r>
      <m:oMath>
        <m:r>
          <w:rPr>
            <w:rFonts w:ascii="Cambria Math" w:hAnsi="Cambria Math"/>
          </w:rPr>
          <m:t>λ</m:t>
        </m:r>
      </m:oMath>
      <w:r>
        <w:t xml:space="preserve"> is the thermal conductivity of a protein, </w:t>
      </w:r>
      <m:oMath>
        <m:r>
          <w:rPr>
            <w:rFonts w:ascii="Cambria Math" w:hAnsi="Cambria Math"/>
          </w:rPr>
          <m:t>V</m:t>
        </m:r>
      </m:oMath>
      <w:r>
        <w:t xml:space="preserve"> is the volume of a protein, </w:t>
      </w:r>
      <m:oMath>
        <m:sSub>
          <m:sSubPr>
            <m:ctrlPr>
              <w:rPr>
                <w:rFonts w:ascii="Cambria Math" w:hAnsi="Cambria Math"/>
              </w:rPr>
            </m:ctrlPr>
          </m:sSubPr>
          <m:e>
            <m:r>
              <w:rPr>
                <w:rFonts w:ascii="Cambria Math" w:hAnsi="Cambria Math"/>
              </w:rPr>
              <m:t>k</m:t>
            </m:r>
          </m:e>
          <m:sub>
            <m:r>
              <w:rPr>
                <w:rFonts w:ascii="Cambria Math" w:hAnsi="Cambria Math"/>
              </w:rPr>
              <m:t>B</m:t>
            </m:r>
          </m:sub>
        </m:sSub>
      </m:oMath>
      <w:r>
        <w:t xml:space="preserve"> is Boltzmann constant, </w:t>
      </w:r>
      <m:oMath>
        <m:r>
          <w:rPr>
            <w:rFonts w:ascii="Cambria Math" w:hAnsi="Cambria Math"/>
          </w:rPr>
          <m:t>T</m:t>
        </m:r>
      </m:oMath>
      <w:r>
        <w:t xml:space="preserve"> is the absoulute temperature of a sysetm, </w:t>
      </w:r>
      <m:oMath>
        <m:r>
          <m:rPr>
            <m:sty m:val="p"/>
          </m:rPr>
          <w:rPr>
            <w:rFonts w:ascii="Cambria Math" w:hAnsi="Cambria Math"/>
          </w:rPr>
          <m:t>⟨</m:t>
        </m:r>
        <m:r>
          <m:rPr>
            <m:sty m:val="b"/>
          </m:rPr>
          <w:rPr>
            <w:rFonts w:ascii="Cambria Math" w:hAnsi="Cambria Math"/>
          </w:rPr>
          <m:t>h</m:t>
        </m:r>
        <m:d>
          <m:dPr>
            <m:ctrlPr>
              <w:rPr>
                <w:rFonts w:ascii="Cambria Math" w:hAnsi="Cambria Math"/>
              </w:rPr>
            </m:ctrlPr>
          </m:dPr>
          <m:e>
            <m:r>
              <w:rPr>
                <w:rFonts w:ascii="Cambria Math" w:hAnsi="Cambria Math"/>
              </w:rPr>
              <m:t>t</m:t>
            </m:r>
          </m:e>
        </m:d>
        <m:r>
          <m:rPr>
            <m:sty m:val="p"/>
          </m:rPr>
          <w:rPr>
            <w:rFonts w:ascii="Cambria Math" w:hAnsi="Cambria Math"/>
          </w:rPr>
          <m:t>⋅</m:t>
        </m:r>
        <m:r>
          <m:rPr>
            <m:sty m:val="b"/>
          </m:rPr>
          <w:rPr>
            <w:rFonts w:ascii="Cambria Math" w:hAnsi="Cambria Math"/>
          </w:rPr>
          <m:t>h</m:t>
        </m:r>
        <m:d>
          <m:dPr>
            <m:ctrlPr>
              <w:rPr>
                <w:rFonts w:ascii="Cambria Math" w:hAnsi="Cambria Math"/>
              </w:rPr>
            </m:ctrlPr>
          </m:dPr>
          <m:e>
            <m:r>
              <w:rPr>
                <w:rFonts w:ascii="Cambria Math" w:hAnsi="Cambria Math"/>
              </w:rPr>
              <m:t>0</m:t>
            </m:r>
          </m:e>
        </m:d>
        <m:r>
          <m:rPr>
            <m:sty m:val="p"/>
          </m:rPr>
          <w:rPr>
            <w:rFonts w:ascii="Cambria Math" w:hAnsi="Cambria Math"/>
          </w:rPr>
          <m:t>⟩</m:t>
        </m:r>
      </m:oMath>
      <w:r>
        <w:t xml:space="preserve"> is the ensemble averaging term.</w:t>
      </w:r>
      <w:hyperlink w:anchor="ref-mcquarrie2000">
        <w:r>
          <w:rPr>
            <w:rStyle w:val="ad"/>
            <w:vertAlign w:val="superscript"/>
          </w:rPr>
          <w:t>1</w:t>
        </w:r>
      </w:hyperlink>
    </w:p>
    <w:p w14:paraId="52479E2F" w14:textId="77777777" w:rsidR="00EC2725" w:rsidRDefault="0003706E" w:rsidP="00961D80">
      <w:pPr>
        <w:pStyle w:val="a0"/>
        <w:jc w:val="both"/>
      </w:pPr>
      <w:r>
        <w:t xml:space="preserve">The instantaneous heat conductivity in a protein, </w:t>
      </w:r>
      <m:oMath>
        <m:r>
          <m:rPr>
            <m:sty m:val="b"/>
          </m:rPr>
          <w:rPr>
            <w:rFonts w:ascii="Cambria Math" w:hAnsi="Cambria Math"/>
          </w:rPr>
          <m:t>h</m:t>
        </m:r>
      </m:oMath>
      <w:r>
        <w:t>, is given by</w:t>
      </w:r>
      <w:hyperlink w:anchor="ref-yamato2022">
        <w:r>
          <w:rPr>
            <w:rStyle w:val="ad"/>
            <w:vertAlign w:val="superscript"/>
          </w:rPr>
          <w:t>2</w:t>
        </w:r>
      </w:hyperlink>
    </w:p>
    <w:p w14:paraId="208C5BC6" w14:textId="77777777" w:rsidR="00EC2725" w:rsidRDefault="00EC2725" w:rsidP="00961D80">
      <w:pPr>
        <w:pStyle w:val="a0"/>
        <w:jc w:val="both"/>
      </w:pPr>
    </w:p>
    <w:p w14:paraId="43A98795" w14:textId="77777777" w:rsidR="00EC2725" w:rsidRDefault="0003706E" w:rsidP="00961D80">
      <w:pPr>
        <w:pStyle w:val="a0"/>
        <w:jc w:val="bot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i</m:t>
            </m:r>
          </m:sub>
        </m:sSub>
      </m:oMath>
      <w:r>
        <w:t xml:space="preserve"> is the miscroscopic energy, </w:t>
      </w:r>
      <m:oMath>
        <m:sSub>
          <m:sSubPr>
            <m:ctrlPr>
              <w:rPr>
                <w:rFonts w:ascii="Cambria Math" w:hAnsi="Cambria Math"/>
              </w:rPr>
            </m:ctrlPr>
          </m:sSubPr>
          <m:e>
            <m:r>
              <m:rPr>
                <m:sty m:val="b"/>
              </m:rPr>
              <w:rPr>
                <w:rFonts w:ascii="Cambria Math" w:hAnsi="Cambria Math"/>
              </w:rPr>
              <m:t>r</m:t>
            </m:r>
          </m:e>
          <m:sub>
            <m:r>
              <w:rPr>
                <w:rFonts w:ascii="Cambria Math" w:hAnsi="Cambria Math"/>
              </w:rPr>
              <m:t>i</m:t>
            </m:r>
          </m:sub>
        </m:sSub>
      </m:oMath>
      <w:r>
        <w:t xml:space="preserve"> is the position vector for each atom, and </w:t>
      </w:r>
      <m:oMath>
        <m:r>
          <w:rPr>
            <w:rFonts w:ascii="Cambria Math" w:hAnsi="Cambria Math"/>
          </w:rPr>
          <m:t>N</m:t>
        </m:r>
      </m:oMath>
      <w:r>
        <w:t xml:space="preserve"> is the total number of atoms.</w:t>
      </w:r>
    </w:p>
    <w:p w14:paraId="59C33200" w14:textId="77777777" w:rsidR="00EC2725" w:rsidRDefault="0003706E" w:rsidP="00961D80">
      <w:pPr>
        <w:pStyle w:val="a0"/>
        <w:jc w:val="both"/>
      </w:pPr>
      <w:r>
        <w:t xml:space="preserve">For the right hand side of the equation , it can be refered to two parts: “convective” term, </w:t>
      </w:r>
      <m:oMath>
        <m:sSub>
          <m:sSubPr>
            <m:ctrlPr>
              <w:rPr>
                <w:rFonts w:ascii="Cambria Math" w:hAnsi="Cambria Math"/>
              </w:rPr>
            </m:ctrlPr>
          </m:sSubPr>
          <m:e>
            <m:r>
              <w:rPr>
                <w:rFonts w:ascii="Cambria Math" w:hAnsi="Cambria Math"/>
              </w:rPr>
              <m:t>E</m:t>
            </m:r>
          </m:e>
          <m:sub>
            <m:r>
              <w:rPr>
                <w:rFonts w:ascii="Cambria Math" w:hAnsi="Cambria Math"/>
              </w:rPr>
              <m:t>i</m:t>
            </m:r>
          </m:sub>
        </m:sSub>
        <m:f>
          <m:fPr>
            <m:ctrlPr>
              <w:rPr>
                <w:rFonts w:ascii="Cambria Math" w:hAnsi="Cambria Math"/>
              </w:rPr>
            </m:ctrlPr>
          </m:fPr>
          <m:num>
            <m:r>
              <w:rPr>
                <w:rFonts w:ascii="Cambria Math" w:hAnsi="Cambria Math"/>
              </w:rPr>
              <m:t>d</m:t>
            </m:r>
            <m:sSub>
              <m:sSubPr>
                <m:ctrlPr>
                  <w:rPr>
                    <w:rFonts w:ascii="Cambria Math" w:hAnsi="Cambria Math"/>
                  </w:rPr>
                </m:ctrlPr>
              </m:sSubPr>
              <m:e>
                <m:r>
                  <m:rPr>
                    <m:sty m:val="b"/>
                  </m:rPr>
                  <w:rPr>
                    <w:rFonts w:ascii="Cambria Math" w:hAnsi="Cambria Math"/>
                  </w:rPr>
                  <m:t>r</m:t>
                </m:r>
              </m:e>
              <m:sub>
                <m:r>
                  <w:rPr>
                    <w:rFonts w:ascii="Cambria Math" w:hAnsi="Cambria Math"/>
                  </w:rPr>
                  <m:t>i</m:t>
                </m:r>
              </m:sub>
            </m:sSub>
          </m:num>
          <m:den>
            <m:r>
              <w:rPr>
                <w:rFonts w:ascii="Cambria Math" w:hAnsi="Cambria Math"/>
              </w:rPr>
              <m:t>dt</m:t>
            </m:r>
          </m:den>
        </m:f>
      </m:oMath>
      <w:r>
        <w:t xml:space="preserve">, and “interaction” term, </w:t>
      </w:r>
      <m:oMath>
        <m:sSub>
          <m:sSubPr>
            <m:ctrlPr>
              <w:rPr>
                <w:rFonts w:ascii="Cambria Math" w:hAnsi="Cambria Math"/>
              </w:rPr>
            </m:ctrlPr>
          </m:sSubPr>
          <m:e>
            <m:r>
              <m:rPr>
                <m:sty m:val="b"/>
              </m:rPr>
              <w:rPr>
                <w:rFonts w:ascii="Cambria Math" w:hAnsi="Cambria Math"/>
              </w:rPr>
              <m:t>r</m:t>
            </m:r>
          </m:e>
          <m:sub>
            <m:r>
              <w:rPr>
                <w:rFonts w:ascii="Cambria Math" w:hAnsi="Cambria Math"/>
              </w:rPr>
              <m:t>i</m:t>
            </m:r>
          </m:sub>
        </m:sSub>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i</m:t>
                </m:r>
              </m:sub>
            </m:sSub>
          </m:num>
          <m:den>
            <m:r>
              <w:rPr>
                <w:rFonts w:ascii="Cambria Math" w:hAnsi="Cambria Math"/>
              </w:rPr>
              <m:t>dt</m:t>
            </m:r>
          </m:den>
        </m:f>
      </m:oMath>
      <w:r>
        <w:t>. It is widely accepted that “convective” term is the dominant term for gases and “interaction” term is the dominant term for solids, also applicable to biomolecular materials.</w:t>
      </w:r>
      <w:hyperlink w:anchor="ref-babaei2012">
        <w:r>
          <w:rPr>
            <w:rStyle w:val="ad"/>
            <w:vertAlign w:val="superscript"/>
          </w:rPr>
          <w:t>3</w:t>
        </w:r>
      </w:hyperlink>
    </w:p>
    <w:p w14:paraId="3061FFCB" w14:textId="77777777" w:rsidR="00EC2725" w:rsidRDefault="0003706E" w:rsidP="00961D80">
      <w:pPr>
        <w:pStyle w:val="a0"/>
        <w:jc w:val="both"/>
      </w:pPr>
      <w:r>
        <w:t>In relatively rigid objects such as protein, the heat conductivity can be therefore be approximated as:</w:t>
      </w:r>
    </w:p>
    <w:p w14:paraId="3A9EE7C3" w14:textId="77777777" w:rsidR="00EC2725" w:rsidRDefault="00EC2725" w:rsidP="00961D80">
      <w:pPr>
        <w:pStyle w:val="a0"/>
        <w:jc w:val="both"/>
      </w:pPr>
    </w:p>
    <w:p w14:paraId="7D2DF595" w14:textId="77777777" w:rsidR="00EC2725" w:rsidRDefault="0003706E" w:rsidP="00961D80">
      <w:pPr>
        <w:pStyle w:val="a0"/>
        <w:jc w:val="both"/>
      </w:pPr>
      <w:r>
        <w:t xml:space="preserve">A general defination of the total energy of the sysetm, </w:t>
      </w:r>
      <m:oMath>
        <m:r>
          <w:rPr>
            <w:rFonts w:ascii="Cambria Math" w:hAnsi="Cambria Math"/>
          </w:rPr>
          <m:t>E</m:t>
        </m:r>
      </m:oMath>
      <w:r>
        <w:t>,</w:t>
      </w:r>
    </w:p>
    <w:p w14:paraId="67335BD9" w14:textId="77777777" w:rsidR="00EC2725" w:rsidRDefault="00EC2725" w:rsidP="00961D80">
      <w:pPr>
        <w:pStyle w:val="a0"/>
        <w:jc w:val="both"/>
      </w:pPr>
    </w:p>
    <w:p w14:paraId="38578473" w14:textId="77777777" w:rsidR="00EC2725" w:rsidRDefault="0003706E" w:rsidP="00961D80">
      <w:pPr>
        <w:pStyle w:val="a0"/>
        <w:jc w:val="both"/>
      </w:pPr>
      <w:r>
        <w:t xml:space="preserve">where </w:t>
      </w:r>
      <m:oMath>
        <m:sSubSup>
          <m:sSubSupPr>
            <m:ctrlPr>
              <w:rPr>
                <w:rFonts w:ascii="Cambria Math" w:hAnsi="Cambria Math"/>
              </w:rPr>
            </m:ctrlPr>
          </m:sSubSupPr>
          <m:e>
            <m:r>
              <m:rPr>
                <m:sty m:val="b"/>
              </m:rPr>
              <w:rPr>
                <w:rFonts w:ascii="Cambria Math" w:hAnsi="Cambria Math"/>
              </w:rPr>
              <m:t>∑</m:t>
            </m:r>
          </m:e>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sSubSup>
        <m:f>
          <m:fPr>
            <m:ctrlPr>
              <w:rPr>
                <w:rFonts w:ascii="Cambria Math" w:hAnsi="Cambria Math"/>
              </w:rPr>
            </m:ctrlPr>
          </m:fPr>
          <m:num>
            <m:sSubSup>
              <m:sSubSupPr>
                <m:ctrlPr>
                  <w:rPr>
                    <w:rFonts w:ascii="Cambria Math" w:hAnsi="Cambria Math"/>
                  </w:rPr>
                </m:ctrlPr>
              </m:sSubSupPr>
              <m:e>
                <m:r>
                  <m:rPr>
                    <m:sty m:val="b"/>
                  </m:rPr>
                  <w:rPr>
                    <w:rFonts w:ascii="Cambria Math" w:hAnsi="Cambria Math"/>
                  </w:rPr>
                  <m:t>p</m:t>
                </m:r>
              </m:e>
              <m:sub>
                <m:r>
                  <w:rPr>
                    <w:rFonts w:ascii="Cambria Math" w:hAnsi="Cambria Math"/>
                  </w:rPr>
                  <m:t>i</m:t>
                </m:r>
              </m:sub>
              <m:sup>
                <m:r>
                  <w:rPr>
                    <w:rFonts w:ascii="Cambria Math" w:hAnsi="Cambria Math"/>
                  </w:rPr>
                  <m:t>2</m:t>
                </m:r>
              </m:sup>
            </m:sSubSup>
          </m:num>
          <m:den>
            <m:r>
              <w:rPr>
                <w:rFonts w:ascii="Cambria Math" w:hAnsi="Cambria Math"/>
              </w:rPr>
              <m:t>2</m:t>
            </m:r>
            <m:sSub>
              <m:sSubPr>
                <m:ctrlPr>
                  <w:rPr>
                    <w:rFonts w:ascii="Cambria Math" w:hAnsi="Cambria Math"/>
                  </w:rPr>
                </m:ctrlPr>
              </m:sSubPr>
              <m:e>
                <m:r>
                  <w:rPr>
                    <w:rFonts w:ascii="Cambria Math" w:hAnsi="Cambria Math"/>
                  </w:rPr>
                  <m:t>m</m:t>
                </m:r>
              </m:e>
              <m:sub>
                <m:r>
                  <w:rPr>
                    <w:rFonts w:ascii="Cambria Math" w:hAnsi="Cambria Math"/>
                  </w:rPr>
                  <m:t>i</m:t>
                </m:r>
              </m:sub>
            </m:sSub>
          </m:den>
        </m:f>
      </m:oMath>
      <w:r>
        <w:t xml:space="preserve"> is the kinetic energy term, </w:t>
      </w:r>
      <m:oMath>
        <m:sSubSup>
          <m:sSubSupPr>
            <m:ctrlPr>
              <w:rPr>
                <w:rFonts w:ascii="Cambria Math" w:hAnsi="Cambria Math"/>
              </w:rPr>
            </m:ctrlPr>
          </m:sSubSupPr>
          <m:e>
            <m:r>
              <m:rPr>
                <m:sty m:val="b"/>
              </m:rPr>
              <w:rPr>
                <w:rFonts w:ascii="Cambria Math" w:hAnsi="Cambria Math"/>
              </w:rPr>
              <m:t>∑</m:t>
            </m:r>
          </m:e>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V</m:t>
        </m:r>
        <m:d>
          <m:dPr>
            <m:ctrlPr>
              <w:rPr>
                <w:rFonts w:ascii="Cambria Math" w:hAnsi="Cambria Math"/>
              </w:rPr>
            </m:ctrlPr>
          </m:dPr>
          <m:e>
            <m:sSub>
              <m:sSubPr>
                <m:ctrlPr>
                  <w:rPr>
                    <w:rFonts w:ascii="Cambria Math" w:hAnsi="Cambria Math"/>
                  </w:rPr>
                </m:ctrlPr>
              </m:sSubPr>
              <m:e>
                <m:r>
                  <m:rPr>
                    <m:sty m:val="b"/>
                  </m:rPr>
                  <w:rPr>
                    <w:rFonts w:ascii="Cambria Math" w:hAnsi="Cambria Math"/>
                  </w:rPr>
                  <m:t>r</m:t>
                </m:r>
              </m:e>
              <m:sub>
                <m:r>
                  <w:rPr>
                    <w:rFonts w:ascii="Cambria Math" w:hAnsi="Cambria Math"/>
                  </w:rPr>
                  <m:t>i</m:t>
                </m:r>
              </m:sub>
            </m:sSub>
          </m:e>
        </m:d>
      </m:oMath>
      <w:r>
        <w:t xml:space="preserve"> is the potential energy term position, </w:t>
      </w:r>
      <m:oMath>
        <m:sSub>
          <m:sSubPr>
            <m:ctrlPr>
              <w:rPr>
                <w:rFonts w:ascii="Cambria Math" w:hAnsi="Cambria Math"/>
              </w:rPr>
            </m:ctrlPr>
          </m:sSubPr>
          <m:e>
            <m:r>
              <m:rPr>
                <m:sty m:val="b"/>
              </m:rPr>
              <w:rPr>
                <w:rFonts w:ascii="Cambria Math" w:hAnsi="Cambria Math"/>
              </w:rPr>
              <m:t>p</m:t>
            </m:r>
          </m:e>
          <m:sub>
            <m:r>
              <w:rPr>
                <w:rFonts w:ascii="Cambria Math" w:hAnsi="Cambria Math"/>
              </w:rPr>
              <m:t>i</m:t>
            </m:r>
          </m:sub>
        </m:sSub>
      </m:oMath>
      <w:r>
        <w:t xml:space="preserve"> is the momentum, = </w:t>
      </w:r>
      <m:oMath>
        <m:sSub>
          <m:sSubPr>
            <m:ctrlPr>
              <w:rPr>
                <w:rFonts w:ascii="Cambria Math" w:hAnsi="Cambria Math"/>
              </w:rPr>
            </m:ctrlPr>
          </m:sSubPr>
          <m:e>
            <m:r>
              <w:rPr>
                <w:rFonts w:ascii="Cambria Math" w:hAnsi="Cambria Math"/>
              </w:rPr>
              <m:t>m</m:t>
            </m:r>
          </m:e>
          <m:sub>
            <m:r>
              <w:rPr>
                <w:rFonts w:ascii="Cambria Math" w:hAnsi="Cambria Math"/>
              </w:rPr>
              <m:t>i</m:t>
            </m:r>
          </m:sub>
        </m:sSub>
        <m:sSub>
          <m:sSubPr>
            <m:ctrlPr>
              <w:rPr>
                <w:rFonts w:ascii="Cambria Math" w:hAnsi="Cambria Math"/>
              </w:rPr>
            </m:ctrlPr>
          </m:sSubPr>
          <m:e>
            <m:r>
              <m:rPr>
                <m:sty m:val="b"/>
              </m:rPr>
              <w:rPr>
                <w:rFonts w:ascii="Cambria Math" w:hAnsi="Cambria Math"/>
              </w:rPr>
              <m:t>v</m:t>
            </m:r>
          </m:e>
          <m:sub>
            <m:r>
              <w:rPr>
                <w:rFonts w:ascii="Cambria Math" w:hAnsi="Cambria Math"/>
              </w:rPr>
              <m:t>i</m:t>
            </m:r>
          </m:sub>
        </m:sSub>
      </m:oMath>
      <w:r>
        <w:t>.</w:t>
      </w:r>
    </w:p>
    <w:p w14:paraId="108109D8" w14:textId="77777777" w:rsidR="00EC2725" w:rsidRDefault="0003706E" w:rsidP="00961D80">
      <w:pPr>
        <w:pStyle w:val="a0"/>
        <w:jc w:val="both"/>
      </w:pPr>
      <w:r>
        <w:t xml:space="preserve">Then, the time derivative of </w:t>
      </w:r>
      <m:oMath>
        <m:sSub>
          <m:sSubPr>
            <m:ctrlPr>
              <w:rPr>
                <w:rFonts w:ascii="Cambria Math" w:hAnsi="Cambria Math"/>
              </w:rPr>
            </m:ctrlPr>
          </m:sSubPr>
          <m:e>
            <m:r>
              <w:rPr>
                <w:rFonts w:ascii="Cambria Math" w:hAnsi="Cambria Math"/>
              </w:rPr>
              <m:t>E</m:t>
            </m:r>
          </m:e>
          <m:sub>
            <m:r>
              <w:rPr>
                <w:rFonts w:ascii="Cambria Math" w:hAnsi="Cambria Math"/>
              </w:rPr>
              <m:t>i</m:t>
            </m:r>
          </m:sub>
        </m:sSub>
      </m:oMath>
      <w:r>
        <w:t xml:space="preserve"> for arbitrary atom </w:t>
      </w:r>
      <m:oMath>
        <m:r>
          <w:rPr>
            <w:rFonts w:ascii="Cambria Math" w:hAnsi="Cambria Math"/>
          </w:rPr>
          <m:t>i</m:t>
        </m:r>
      </m:oMath>
      <w:r>
        <w:t xml:space="preserve"> can be expressed as </w:t>
      </w:r>
    </w:p>
    <w:p w14:paraId="416363AF" w14:textId="77777777" w:rsidR="00EC2725" w:rsidRDefault="0003706E" w:rsidP="00961D80">
      <w:pPr>
        <w:pStyle w:val="a0"/>
        <w:jc w:val="both"/>
      </w:pPr>
      <w:r>
        <w:t xml:space="preserve">where </w:t>
      </w:r>
      <m:oMath>
        <m:sSub>
          <m:sSubPr>
            <m:ctrlPr>
              <w:rPr>
                <w:rFonts w:ascii="Cambria Math" w:hAnsi="Cambria Math"/>
              </w:rPr>
            </m:ctrlPr>
          </m:sSubPr>
          <m:e>
            <m:r>
              <m:rPr>
                <m:sty m:val="b"/>
              </m:rPr>
              <w:rPr>
                <w:rFonts w:ascii="Cambria Math" w:hAnsi="Cambria Math"/>
              </w:rPr>
              <m:t>F</m:t>
            </m:r>
          </m:e>
          <m:sub>
            <m:r>
              <w:rPr>
                <w:rFonts w:ascii="Cambria Math" w:hAnsi="Cambria Math"/>
              </w:rPr>
              <m:t>ij</m:t>
            </m:r>
          </m:sub>
        </m:sSub>
      </m:oMath>
      <w:r>
        <w:t xml:space="preserve"> is the force applied on atom </w:t>
      </w:r>
      <m:oMath>
        <m:r>
          <w:rPr>
            <w:rFonts w:ascii="Cambria Math" w:hAnsi="Cambria Math"/>
          </w:rPr>
          <m:t>i</m:t>
        </m:r>
      </m:oMath>
      <w:r>
        <w:t xml:space="preserve"> from every other atom </w:t>
      </w:r>
      <m:oMath>
        <m:r>
          <w:rPr>
            <w:rFonts w:ascii="Cambria Math" w:hAnsi="Cambria Math"/>
          </w:rPr>
          <m:t>j</m:t>
        </m:r>
      </m:oMath>
      <w:r>
        <w:t>.</w:t>
      </w:r>
    </w:p>
    <w:p w14:paraId="1CF3FD9A" w14:textId="77777777" w:rsidR="00EC2725" w:rsidRDefault="0003706E" w:rsidP="00961D80">
      <w:pPr>
        <w:pStyle w:val="a0"/>
        <w:jc w:val="both"/>
      </w:pPr>
      <w:r>
        <w:t>Then, heat conductivity in equation  can be expressed as</w:t>
      </w:r>
    </w:p>
    <w:p w14:paraId="5754CC4B" w14:textId="77777777" w:rsidR="00EC2725" w:rsidRDefault="00415418" w:rsidP="00961D80">
      <w:pPr>
        <w:pStyle w:val="a0"/>
        <w:tabs>
          <w:tab w:val="left" w:pos="2496"/>
        </w:tabs>
        <w:jc w:val="both"/>
      </w:pPr>
      <w:r>
        <w:tab/>
      </w:r>
    </w:p>
    <w:p w14:paraId="6B2E40CB" w14:textId="77777777" w:rsidR="00EC2725" w:rsidRDefault="0003706E" w:rsidP="00961D80">
      <w:pPr>
        <w:pStyle w:val="a0"/>
        <w:jc w:val="both"/>
      </w:pPr>
      <w:r>
        <w:t xml:space="preserve">Here, we define inter-atomic heat current between atoms </w:t>
      </w:r>
      <m:oMath>
        <m:r>
          <w:rPr>
            <w:rFonts w:ascii="Cambria Math" w:hAnsi="Cambria Math"/>
          </w:rPr>
          <m:t>i</m:t>
        </m:r>
      </m:oMath>
      <w:r>
        <w:t xml:space="preserve"> and </w:t>
      </w:r>
      <m:oMath>
        <m:r>
          <w:rPr>
            <w:rFonts w:ascii="Cambria Math" w:hAnsi="Cambria Math"/>
          </w:rPr>
          <m:t>j</m:t>
        </m:r>
      </m:oMath>
      <w:r>
        <w:t xml:space="preserve">,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ij</m:t>
            </m:r>
          </m:sub>
        </m:sSub>
      </m:oMath>
    </w:p>
    <w:p w14:paraId="6878ACFF" w14:textId="77777777" w:rsidR="00EC2725" w:rsidRDefault="00EC2725" w:rsidP="00961D80">
      <w:pPr>
        <w:pStyle w:val="a0"/>
        <w:jc w:val="both"/>
      </w:pPr>
    </w:p>
    <w:p w14:paraId="78919936" w14:textId="77777777" w:rsidR="00EC2725" w:rsidRDefault="0003706E" w:rsidP="00961D80">
      <w:pPr>
        <w:pStyle w:val="2"/>
        <w:jc w:val="both"/>
      </w:pPr>
      <w:bookmarkStart w:id="4" w:name="local-thermal-transport."/>
      <w:bookmarkEnd w:id="3"/>
      <w:r>
        <w:t>2.2 Local Thermal Transport.</w:t>
      </w:r>
    </w:p>
    <w:p w14:paraId="04AFA003" w14:textId="77777777" w:rsidR="00EC2725" w:rsidRDefault="0003706E" w:rsidP="00961D80">
      <w:pPr>
        <w:pStyle w:val="CaptionedFigure"/>
        <w:jc w:val="both"/>
      </w:pPr>
      <w:r>
        <w:rPr>
          <w:noProof/>
        </w:rPr>
        <w:drawing>
          <wp:inline distT="0" distB="0" distL="0" distR="0" wp14:anchorId="1A813D83" wp14:editId="6B2181A9">
            <wp:extent cx="5334000" cy="1002270"/>
            <wp:effectExtent l="0" t="0" r="0" b="0"/>
            <wp:docPr id="24" name="Picture" descr="Model of linear homopolymer consisted of n units of monomers (amino acid here). Each unit contains m atoms. "/>
            <wp:cNvGraphicFramePr/>
            <a:graphic xmlns:a="http://schemas.openxmlformats.org/drawingml/2006/main">
              <a:graphicData uri="http://schemas.openxmlformats.org/drawingml/2006/picture">
                <pic:pic xmlns:pic="http://schemas.openxmlformats.org/drawingml/2006/picture">
                  <pic:nvPicPr>
                    <pic:cNvPr id="25" name="Picture" descr="figure/divided_model.png"/>
                    <pic:cNvPicPr>
                      <a:picLocks noChangeAspect="1" noChangeArrowheads="1"/>
                    </pic:cNvPicPr>
                  </pic:nvPicPr>
                  <pic:blipFill>
                    <a:blip r:embed="rId8"/>
                    <a:stretch>
                      <a:fillRect/>
                    </a:stretch>
                  </pic:blipFill>
                  <pic:spPr bwMode="auto">
                    <a:xfrm>
                      <a:off x="0" y="0"/>
                      <a:ext cx="5334000" cy="1002270"/>
                    </a:xfrm>
                    <a:prstGeom prst="rect">
                      <a:avLst/>
                    </a:prstGeom>
                    <a:noFill/>
                    <a:ln w="9525">
                      <a:noFill/>
                      <a:headEnd/>
                      <a:tailEnd/>
                    </a:ln>
                  </pic:spPr>
                </pic:pic>
              </a:graphicData>
            </a:graphic>
          </wp:inline>
        </w:drawing>
      </w:r>
    </w:p>
    <w:p w14:paraId="609A3C13" w14:textId="77777777" w:rsidR="00EC2725" w:rsidRDefault="0003706E" w:rsidP="00961D80">
      <w:pPr>
        <w:pStyle w:val="ImageCaption"/>
        <w:jc w:val="both"/>
      </w:pPr>
      <w:r>
        <w:t xml:space="preserve">Model of linear homopolymer consisted of </w:t>
      </w:r>
      <m:oMath>
        <m:r>
          <w:rPr>
            <w:rFonts w:ascii="Cambria Math" w:hAnsi="Cambria Math"/>
          </w:rPr>
          <m:t>n</m:t>
        </m:r>
      </m:oMath>
      <w:r>
        <w:t xml:space="preserve"> units of monomers (amino acid here). Each unit contains </w:t>
      </w:r>
      <m:oMath>
        <m:r>
          <w:rPr>
            <w:rFonts w:ascii="Cambria Math" w:hAnsi="Cambria Math"/>
          </w:rPr>
          <m:t>m</m:t>
        </m:r>
      </m:oMath>
      <w:r>
        <w:t xml:space="preserve"> atoms. </w:t>
      </w:r>
    </w:p>
    <w:p w14:paraId="17FF8C75" w14:textId="77777777" w:rsidR="00EC2725" w:rsidRDefault="0003706E" w:rsidP="00961D80">
      <w:pPr>
        <w:pStyle w:val="a0"/>
        <w:jc w:val="both"/>
      </w:pPr>
      <w:r>
        <w:t>The biomolecules is constrcted by connected amino acids with peptide bonds. In this study, we are considering the protein molecules as a linear homopolymer model and grouping the atoms in terms of amino acid residues. The dividing rule is shown in Figure . The total heat conductivity of a protein can be divided into two kinds of local heat conductivity: intra residue (</w:t>
      </w:r>
      <m:oMath>
        <m:sSub>
          <m:sSubPr>
            <m:ctrlPr>
              <w:rPr>
                <w:rFonts w:ascii="Cambria Math" w:hAnsi="Cambria Math"/>
              </w:rPr>
            </m:ctrlPr>
          </m:sSubPr>
          <m:e>
            <m:r>
              <m:rPr>
                <m:sty m:val="b"/>
              </m:rPr>
              <w:rPr>
                <w:rFonts w:ascii="Cambria Math" w:hAnsi="Cambria Math"/>
              </w:rPr>
              <m:t>h</m:t>
            </m:r>
          </m:e>
          <m:sub>
            <m:r>
              <w:rPr>
                <w:rFonts w:ascii="Cambria Math" w:hAnsi="Cambria Math"/>
              </w:rPr>
              <m:t>α</m:t>
            </m:r>
            <m:r>
              <m:rPr>
                <m:sty m:val="p"/>
              </m:rPr>
              <w:rPr>
                <w:rFonts w:ascii="Cambria Math" w:hAnsi="Cambria Math"/>
              </w:rPr>
              <m:t>,</m:t>
            </m:r>
            <m:r>
              <w:rPr>
                <w:rFonts w:ascii="Cambria Math" w:hAnsi="Cambria Math"/>
              </w:rPr>
              <m:t>α</m:t>
            </m:r>
          </m:sub>
        </m:sSub>
      </m:oMath>
      <w:r>
        <w:t>) and inter residue (</w:t>
      </w:r>
      <m:oMath>
        <m:sSub>
          <m:sSubPr>
            <m:ctrlPr>
              <w:rPr>
                <w:rFonts w:ascii="Cambria Math" w:hAnsi="Cambria Math"/>
              </w:rPr>
            </m:ctrlPr>
          </m:sSubPr>
          <m:e>
            <m:r>
              <m:rPr>
                <m:sty m:val="b"/>
              </m:rPr>
              <w:rPr>
                <w:rFonts w:ascii="Cambria Math" w:hAnsi="Cambria Math"/>
              </w:rPr>
              <m:t>h</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If we assume that the heat transport only occurs along the amino acid chain, then we can neglect the heat transport between residue pairs which are not adjacent.</w:t>
      </w:r>
    </w:p>
    <w:p w14:paraId="41BC1907" w14:textId="77777777" w:rsidR="00EC2725" w:rsidRDefault="0003706E" w:rsidP="00961D80">
      <w:pPr>
        <w:pStyle w:val="a0"/>
        <w:jc w:val="both"/>
      </w:pPr>
      <w:r>
        <w:t>Then, the total heat current can be expressed as,</w:t>
      </w:r>
    </w:p>
    <w:p w14:paraId="6819080B" w14:textId="77777777" w:rsidR="00EC2725" w:rsidRDefault="00EC2725" w:rsidP="00961D80">
      <w:pPr>
        <w:pStyle w:val="a0"/>
        <w:jc w:val="both"/>
      </w:pPr>
    </w:p>
    <w:p w14:paraId="23567A6B" w14:textId="77777777" w:rsidR="00EC2725" w:rsidRDefault="0003706E" w:rsidP="00961D80">
      <w:pPr>
        <w:pStyle w:val="a0"/>
        <w:jc w:val="both"/>
      </w:pPr>
      <w:r>
        <w:t xml:space="preserve">where </w:t>
      </w:r>
      <m:oMath>
        <m:sSub>
          <m:sSubPr>
            <m:ctrlPr>
              <w:rPr>
                <w:rFonts w:ascii="Cambria Math" w:hAnsi="Cambria Math"/>
              </w:rPr>
            </m:ctrlPr>
          </m:sSubPr>
          <m:e>
            <m:r>
              <m:rPr>
                <m:sty m:val="b"/>
              </m:rPr>
              <w:rPr>
                <w:rFonts w:ascii="Cambria Math" w:hAnsi="Cambria Math"/>
              </w:rPr>
              <m:t>h</m:t>
            </m:r>
          </m:e>
          <m:sub>
            <m:r>
              <w:rPr>
                <w:rFonts w:ascii="Cambria Math" w:hAnsi="Cambria Math"/>
              </w:rPr>
              <m:t>α</m:t>
            </m:r>
            <m:r>
              <m:rPr>
                <m:sty m:val="p"/>
              </m:rPr>
              <w:rPr>
                <w:rFonts w:ascii="Cambria Math" w:hAnsi="Cambria Math"/>
              </w:rPr>
              <m:t>,</m:t>
            </m:r>
            <m:r>
              <w:rPr>
                <w:rFonts w:ascii="Cambria Math" w:hAnsi="Cambria Math"/>
              </w:rPr>
              <m:t>α</m:t>
            </m:r>
          </m:sub>
        </m:sSub>
      </m:oMath>
      <w:r>
        <w:t xml:space="preserve"> is the local heat current within number A residue (intra residue), </w:t>
      </w:r>
      <m:oMath>
        <m:r>
          <m:rPr>
            <m:sty m:val="p"/>
          </m:rPr>
          <w:rPr>
            <w:rFonts w:ascii="Cambria Math" w:hAnsi="Cambria Math"/>
          </w:rPr>
          <m:t>=</m:t>
        </m:r>
        <m:sSubSup>
          <m:sSubSupPr>
            <m:ctrlPr>
              <w:rPr>
                <w:rFonts w:ascii="Cambria Math" w:hAnsi="Cambria Math"/>
              </w:rPr>
            </m:ctrlPr>
          </m:sSubSupPr>
          <m:e>
            <m:r>
              <m:rPr>
                <m:sty m:val="b"/>
              </m:rPr>
              <w:rPr>
                <w:rFonts w:ascii="Cambria Math" w:hAnsi="Cambria Math"/>
              </w:rPr>
              <m:t>∑</m:t>
            </m:r>
          </m:e>
          <m:sub>
            <m:r>
              <w:rPr>
                <w:rFonts w:ascii="Cambria Math" w:hAnsi="Cambria Math"/>
              </w:rPr>
              <m:t>i</m:t>
            </m:r>
          </m:sub>
          <m:sup>
            <m:sSub>
              <m:sSubPr>
                <m:ctrlPr>
                  <w:rPr>
                    <w:rFonts w:ascii="Cambria Math" w:hAnsi="Cambria Math"/>
                  </w:rPr>
                </m:ctrlPr>
              </m:sSubPr>
              <m:e>
                <m:r>
                  <w:rPr>
                    <w:rFonts w:ascii="Cambria Math" w:hAnsi="Cambria Math"/>
                  </w:rPr>
                  <m:t>N</m:t>
                </m:r>
              </m:e>
              <m:sub>
                <m:r>
                  <w:rPr>
                    <w:rFonts w:ascii="Cambria Math" w:hAnsi="Cambria Math"/>
                  </w:rPr>
                  <m:t>A</m:t>
                </m:r>
              </m:sub>
            </m:sSub>
          </m:sup>
        </m:sSubSup>
        <m:sSubSup>
          <m:sSubSupPr>
            <m:ctrlPr>
              <w:rPr>
                <w:rFonts w:ascii="Cambria Math" w:hAnsi="Cambria Math"/>
              </w:rPr>
            </m:ctrlPr>
          </m:sSubSupPr>
          <m:e>
            <m:r>
              <m:rPr>
                <m:sty m:val="b"/>
              </m:rPr>
              <w:rPr>
                <w:rFonts w:ascii="Cambria Math" w:hAnsi="Cambria Math"/>
              </w:rPr>
              <m:t>∑</m:t>
            </m:r>
          </m:e>
          <m:sub>
            <m:r>
              <w:rPr>
                <w:rFonts w:ascii="Cambria Math" w:hAnsi="Cambria Math"/>
              </w:rPr>
              <m:t>j</m:t>
            </m:r>
          </m:sub>
          <m:sup>
            <m:sSub>
              <m:sSubPr>
                <m:ctrlPr>
                  <w:rPr>
                    <w:rFonts w:ascii="Cambria Math" w:hAnsi="Cambria Math"/>
                  </w:rPr>
                </m:ctrlPr>
              </m:sSubPr>
              <m:e>
                <m:r>
                  <w:rPr>
                    <w:rFonts w:ascii="Cambria Math" w:hAnsi="Cambria Math"/>
                  </w:rPr>
                  <m:t>N</m:t>
                </m:r>
              </m:e>
              <m:sub>
                <m:r>
                  <w:rPr>
                    <w:rFonts w:ascii="Cambria Math" w:hAnsi="Cambria Math"/>
                  </w:rPr>
                  <m:t>A</m:t>
                </m:r>
              </m:sub>
            </m:sSub>
          </m:sup>
        </m:sSubSup>
        <m:sSub>
          <m:sSubPr>
            <m:ctrlPr>
              <w:rPr>
                <w:rFonts w:ascii="Cambria Math" w:hAnsi="Cambria Math"/>
              </w:rPr>
            </m:ctrlPr>
          </m:sSubPr>
          <m:e>
            <m:r>
              <m:rPr>
                <m:sty m:val="b"/>
              </m:rPr>
              <w:rPr>
                <w:rFonts w:ascii="Cambria Math" w:hAnsi="Cambria Math"/>
              </w:rPr>
              <m:t>h</m:t>
            </m:r>
          </m:e>
          <m:sub>
            <m:r>
              <w:rPr>
                <w:rFonts w:ascii="Cambria Math" w:hAnsi="Cambria Math"/>
              </w:rPr>
              <m:t>ij</m:t>
            </m:r>
          </m:sub>
        </m:sSub>
      </m:oMath>
      <w:r>
        <w:t xml:space="preserve">, and atom </w:t>
      </w:r>
      <m:oMath>
        <m:r>
          <w:rPr>
            <w:rFonts w:ascii="Cambria Math" w:hAnsi="Cambria Math"/>
          </w:rPr>
          <m:t>i</m:t>
        </m:r>
      </m:oMath>
      <w:r>
        <w:t xml:space="preserve"> and </w:t>
      </w:r>
      <m:oMath>
        <m:r>
          <w:rPr>
            <w:rFonts w:ascii="Cambria Math" w:hAnsi="Cambria Math"/>
          </w:rPr>
          <m:t>j</m:t>
        </m:r>
      </m:oMath>
      <w:r>
        <w:t xml:space="preserve"> belong to residue </w:t>
      </w:r>
      <m:oMath>
        <m:r>
          <w:rPr>
            <w:rFonts w:ascii="Cambria Math" w:hAnsi="Cambria Math"/>
          </w:rPr>
          <m:t>A</m:t>
        </m:r>
      </m:oMath>
      <w:r>
        <w:t xml:space="preserve">;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α,α+1</m:t>
            </m:r>
          </m:sub>
        </m:sSub>
      </m:oMath>
      <w:r>
        <w:t xml:space="preserve"> is the local heat current between adjacent residues (inter residue), </w:t>
      </w:r>
      <m:oMath>
        <m:r>
          <m:rPr>
            <m:sty m:val="p"/>
          </m:rPr>
          <w:rPr>
            <w:rFonts w:ascii="Cambria Math" w:hAnsi="Cambria Math"/>
          </w:rPr>
          <m:t>=</m:t>
        </m:r>
        <m:sSubSup>
          <m:sSubSupPr>
            <m:ctrlPr>
              <w:rPr>
                <w:rFonts w:ascii="Cambria Math" w:hAnsi="Cambria Math"/>
              </w:rPr>
            </m:ctrlPr>
          </m:sSubSupPr>
          <m:e>
            <m:r>
              <m:rPr>
                <m:sty m:val="b"/>
              </m:rPr>
              <w:rPr>
                <w:rFonts w:ascii="Cambria Math" w:hAnsi="Cambria Math"/>
              </w:rPr>
              <m:t>∑</m:t>
            </m:r>
          </m:e>
          <m:sub>
            <m:r>
              <w:rPr>
                <w:rFonts w:ascii="Cambria Math" w:hAnsi="Cambria Math"/>
              </w:rPr>
              <m:t>i</m:t>
            </m:r>
          </m:sub>
          <m:sup>
            <m:sSub>
              <m:sSubPr>
                <m:ctrlPr>
                  <w:rPr>
                    <w:rFonts w:ascii="Cambria Math" w:hAnsi="Cambria Math"/>
                  </w:rPr>
                </m:ctrlPr>
              </m:sSubPr>
              <m:e>
                <m:r>
                  <w:rPr>
                    <w:rFonts w:ascii="Cambria Math" w:hAnsi="Cambria Math"/>
                  </w:rPr>
                  <m:t>N</m:t>
                </m:r>
              </m:e>
              <m:sub>
                <m:r>
                  <w:rPr>
                    <w:rFonts w:ascii="Cambria Math" w:hAnsi="Cambria Math"/>
                  </w:rPr>
                  <m:t>A</m:t>
                </m:r>
              </m:sub>
            </m:sSub>
          </m:sup>
        </m:sSubSup>
        <m:sSubSup>
          <m:sSubSupPr>
            <m:ctrlPr>
              <w:rPr>
                <w:rFonts w:ascii="Cambria Math" w:hAnsi="Cambria Math"/>
              </w:rPr>
            </m:ctrlPr>
          </m:sSubSupPr>
          <m:e>
            <m:r>
              <m:rPr>
                <m:sty m:val="b"/>
              </m:rPr>
              <w:rPr>
                <w:rFonts w:ascii="Cambria Math" w:hAnsi="Cambria Math"/>
              </w:rPr>
              <m:t>∑</m:t>
            </m:r>
          </m:e>
          <m:sub>
            <m:r>
              <w:rPr>
                <w:rFonts w:ascii="Cambria Math" w:hAnsi="Cambria Math"/>
              </w:rPr>
              <m:t>j</m:t>
            </m:r>
          </m:sub>
          <m:sup>
            <m:sSub>
              <m:sSubPr>
                <m:ctrlPr>
                  <w:rPr>
                    <w:rFonts w:ascii="Cambria Math" w:hAnsi="Cambria Math"/>
                  </w:rPr>
                </m:ctrlPr>
              </m:sSubPr>
              <m:e>
                <m:r>
                  <w:rPr>
                    <w:rFonts w:ascii="Cambria Math" w:hAnsi="Cambria Math"/>
                  </w:rPr>
                  <m:t>N</m:t>
                </m:r>
              </m:e>
              <m:sub>
                <m:r>
                  <w:rPr>
                    <w:rFonts w:ascii="Cambria Math" w:hAnsi="Cambria Math"/>
                  </w:rPr>
                  <m:t>A</m:t>
                </m:r>
                <m:r>
                  <m:rPr>
                    <m:sty m:val="p"/>
                  </m:rPr>
                  <w:rPr>
                    <w:rFonts w:ascii="Cambria Math" w:hAnsi="Cambria Math"/>
                  </w:rPr>
                  <m:t>+</m:t>
                </m:r>
                <m:r>
                  <w:rPr>
                    <w:rFonts w:ascii="Cambria Math" w:hAnsi="Cambria Math"/>
                  </w:rPr>
                  <m:t>1</m:t>
                </m:r>
              </m:sub>
            </m:sSub>
          </m:sup>
        </m:sSubSup>
        <m:sSub>
          <m:sSubPr>
            <m:ctrlPr>
              <w:rPr>
                <w:rFonts w:ascii="Cambria Math" w:hAnsi="Cambria Math"/>
              </w:rPr>
            </m:ctrlPr>
          </m:sSubPr>
          <m:e>
            <m:r>
              <m:rPr>
                <m:sty m:val="b"/>
              </m:rPr>
              <w:rPr>
                <w:rFonts w:ascii="Cambria Math" w:hAnsi="Cambria Math"/>
              </w:rPr>
              <m:t>h</m:t>
            </m:r>
          </m:e>
          <m:sub>
            <m:r>
              <w:rPr>
                <w:rFonts w:ascii="Cambria Math" w:hAnsi="Cambria Math"/>
              </w:rPr>
              <m:t>ij</m:t>
            </m:r>
          </m:sub>
        </m:sSub>
      </m:oMath>
      <w:r>
        <w:t xml:space="preserve">, and atom </w:t>
      </w:r>
      <m:oMath>
        <m:r>
          <w:rPr>
            <w:rFonts w:ascii="Cambria Math" w:hAnsi="Cambria Math"/>
          </w:rPr>
          <m:t>i</m:t>
        </m:r>
      </m:oMath>
      <w:r>
        <w:t xml:space="preserve"> and </w:t>
      </w:r>
      <m:oMath>
        <m:r>
          <w:rPr>
            <w:rFonts w:ascii="Cambria Math" w:hAnsi="Cambria Math"/>
          </w:rPr>
          <m:t>j</m:t>
        </m:r>
      </m:oMath>
      <w:r>
        <w:t xml:space="preserve"> belongs to residue </w:t>
      </w:r>
      <m:oMath>
        <m:r>
          <w:rPr>
            <w:rFonts w:ascii="Cambria Math" w:hAnsi="Cambria Math"/>
          </w:rPr>
          <m:t>A</m:t>
        </m:r>
      </m:oMath>
      <w:r>
        <w:t xml:space="preserve"> and residue </w:t>
      </w:r>
      <m:oMath>
        <m:r>
          <w:rPr>
            <w:rFonts w:ascii="Cambria Math" w:hAnsi="Cambria Math"/>
          </w:rPr>
          <m:t>A</m:t>
        </m:r>
        <m:r>
          <m:rPr>
            <m:sty m:val="p"/>
          </m:rPr>
          <w:rPr>
            <w:rFonts w:ascii="Cambria Math" w:hAnsi="Cambria Math"/>
          </w:rPr>
          <m:t>+</m:t>
        </m:r>
        <m:r>
          <w:rPr>
            <w:rFonts w:ascii="Cambria Math" w:hAnsi="Cambria Math"/>
          </w:rPr>
          <m:t>1</m:t>
        </m:r>
      </m:oMath>
      <w:r>
        <w:t xml:space="preserve">, respecitively and residue </w:t>
      </w:r>
      <m:oMath>
        <m:r>
          <w:rPr>
            <w:rFonts w:ascii="Cambria Math" w:hAnsi="Cambria Math"/>
          </w:rPr>
          <m:t>α</m:t>
        </m:r>
      </m:oMath>
      <w:r>
        <w:t xml:space="preserve"> and </w:t>
      </w:r>
      <m:oMath>
        <m:r>
          <w:rPr>
            <w:rFonts w:ascii="Cambria Math" w:hAnsi="Cambria Math"/>
          </w:rPr>
          <m:t>α</m:t>
        </m:r>
        <m:r>
          <m:rPr>
            <m:sty m:val="p"/>
          </m:rPr>
          <w:rPr>
            <w:rFonts w:ascii="Cambria Math" w:hAnsi="Cambria Math"/>
          </w:rPr>
          <m:t>+</m:t>
        </m:r>
        <m:r>
          <w:rPr>
            <w:rFonts w:ascii="Cambria Math" w:hAnsi="Cambria Math"/>
          </w:rPr>
          <m:t>1</m:t>
        </m:r>
      </m:oMath>
      <w:r>
        <w:t xml:space="preserve"> are adjacent.</w:t>
      </w:r>
    </w:p>
    <w:p w14:paraId="47A32E57" w14:textId="77777777" w:rsidR="00EC2725" w:rsidRDefault="0003706E" w:rsidP="00961D80">
      <w:pPr>
        <w:pStyle w:val="a0"/>
        <w:jc w:val="both"/>
      </w:pPr>
      <w:r>
        <w:lastRenderedPageBreak/>
        <w:t xml:space="preserve">Likewise, base on equation , the local thermal conductivity of </w:t>
      </w:r>
      <m:oMath>
        <m:sSub>
          <m:sSubPr>
            <m:ctrlPr>
              <w:rPr>
                <w:rFonts w:ascii="Cambria Math" w:hAnsi="Cambria Math"/>
              </w:rPr>
            </m:ctrlPr>
          </m:sSubPr>
          <m:e>
            <m:r>
              <w:rPr>
                <w:rFonts w:ascii="Cambria Math" w:hAnsi="Cambria Math"/>
              </w:rPr>
              <m:t>Λ</m:t>
            </m:r>
          </m:e>
          <m:sub>
            <m:r>
              <w:rPr>
                <w:rFonts w:ascii="Cambria Math" w:hAnsi="Cambria Math"/>
              </w:rPr>
              <m:t>α</m:t>
            </m:r>
            <m:r>
              <m:rPr>
                <m:sty m:val="p"/>
              </m:rPr>
              <w:rPr>
                <w:rFonts w:ascii="Cambria Math" w:hAnsi="Cambria Math"/>
              </w:rPr>
              <m:t>,</m:t>
            </m:r>
            <m:r>
              <w:rPr>
                <w:rFonts w:ascii="Cambria Math" w:hAnsi="Cambria Math"/>
              </w:rPr>
              <m:t>α</m:t>
            </m:r>
          </m:sub>
        </m:sSub>
      </m:oMath>
      <w:r>
        <w:t xml:space="preserve"> and </w:t>
      </w:r>
      <m:oMath>
        <m:sSub>
          <m:sSubPr>
            <m:ctrlPr>
              <w:rPr>
                <w:rFonts w:ascii="Cambria Math" w:hAnsi="Cambria Math"/>
              </w:rPr>
            </m:ctrlPr>
          </m:sSubPr>
          <m:e>
            <m:r>
              <w:rPr>
                <w:rFonts w:ascii="Cambria Math" w:hAnsi="Cambria Math"/>
              </w:rPr>
              <m:t>Λ</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can be calculated by integrating the heat current autocorrelation function over time,  Ideally, the summation of local heat conductivity of each piece should equal to the total heat conductivity.</w:t>
      </w:r>
      <w:r>
        <w:br/>
      </w:r>
    </w:p>
    <w:p w14:paraId="5A35A6C8" w14:textId="77777777" w:rsidR="00EC2725" w:rsidRDefault="0003706E" w:rsidP="00961D80">
      <w:pPr>
        <w:pStyle w:val="a0"/>
        <w:jc w:val="both"/>
      </w:pPr>
      <w:r>
        <w:t xml:space="preserve">where </w:t>
      </w:r>
      <m:oMath>
        <m:r>
          <w:rPr>
            <w:rFonts w:ascii="Cambria Math" w:hAnsi="Cambria Math"/>
          </w:rPr>
          <m:t>Λ</m:t>
        </m:r>
      </m:oMath>
      <w:r>
        <w:t xml:space="preserve"> is the total heat conductivity, </w:t>
      </w:r>
      <m:oMath>
        <m:r>
          <w:rPr>
            <w:rFonts w:ascii="Cambria Math" w:hAnsi="Cambria Math"/>
          </w:rPr>
          <m:t>Λ</m:t>
        </m:r>
        <m:r>
          <m:rPr>
            <m:sty m:val="p"/>
          </m:rPr>
          <w:rPr>
            <w:rFonts w:ascii="Cambria Math" w:hAnsi="Cambria Math"/>
          </w:rPr>
          <m:t>=</m:t>
        </m:r>
        <m:nary>
          <m:naryPr>
            <m:limLoc m:val="subSup"/>
            <m:ctrlPr>
              <w:rPr>
                <w:rFonts w:ascii="Cambria Math" w:hAnsi="Cambria Math"/>
              </w:rPr>
            </m:ctrlPr>
          </m:naryPr>
          <m:sub>
            <m:r>
              <m:rPr>
                <m:sty m:val="b"/>
              </m:rPr>
              <w:rPr>
                <w:rFonts w:ascii="Cambria Math" w:hAnsi="Cambria Math"/>
              </w:rPr>
              <m:t>0</m:t>
            </m:r>
          </m:sub>
          <m:sup>
            <m:r>
              <m:rPr>
                <m:sty m:val="b"/>
              </m:rPr>
              <w:rPr>
                <w:rFonts w:ascii="Cambria Math" w:hAnsi="Cambria Math"/>
              </w:rPr>
              <m:t>∞</m:t>
            </m:r>
          </m:sup>
          <m:e>
            <m:r>
              <m:rPr>
                <m:sty m:val="b"/>
              </m:rPr>
              <w:rPr>
                <w:rFonts w:ascii="Cambria Math" w:hAnsi="Cambria Math"/>
              </w:rPr>
              <m:t>​</m:t>
            </m:r>
          </m:e>
        </m:nary>
        <m:r>
          <m:rPr>
            <m:sty m:val="p"/>
          </m:rPr>
          <w:rPr>
            <w:rFonts w:ascii="Cambria Math" w:hAnsi="Cambria Math"/>
          </w:rPr>
          <m:t>⟨</m:t>
        </m:r>
        <m:r>
          <m:rPr>
            <m:sty m:val="b"/>
          </m:rPr>
          <w:rPr>
            <w:rFonts w:ascii="Cambria Math" w:hAnsi="Cambria Math"/>
          </w:rPr>
          <m:t>h</m:t>
        </m:r>
        <m:d>
          <m:dPr>
            <m:ctrlPr>
              <w:rPr>
                <w:rFonts w:ascii="Cambria Math" w:hAnsi="Cambria Math"/>
              </w:rPr>
            </m:ctrlPr>
          </m:dPr>
          <m:e>
            <m:r>
              <w:rPr>
                <w:rFonts w:ascii="Cambria Math" w:hAnsi="Cambria Math"/>
              </w:rPr>
              <m:t>t</m:t>
            </m:r>
          </m:e>
        </m:d>
        <m:r>
          <m:rPr>
            <m:sty m:val="p"/>
          </m:rPr>
          <w:rPr>
            <w:rFonts w:ascii="Cambria Math" w:hAnsi="Cambria Math"/>
          </w:rPr>
          <m:t>⋅</m:t>
        </m:r>
        <m:r>
          <m:rPr>
            <m:sty m:val="b"/>
          </m:rPr>
          <w:rPr>
            <w:rFonts w:ascii="Cambria Math" w:hAnsi="Cambria Math"/>
          </w:rPr>
          <m:t>h</m:t>
        </m:r>
        <m:d>
          <m:dPr>
            <m:ctrlPr>
              <w:rPr>
                <w:rFonts w:ascii="Cambria Math" w:hAnsi="Cambria Math"/>
              </w:rPr>
            </m:ctrlPr>
          </m:dPr>
          <m:e>
            <m:r>
              <w:rPr>
                <w:rFonts w:ascii="Cambria Math" w:hAnsi="Cambria Math"/>
              </w:rPr>
              <m:t>0</m:t>
            </m:r>
          </m:e>
        </m:d>
        <m:r>
          <m:rPr>
            <m:sty m:val="p"/>
          </m:rPr>
          <w:rPr>
            <w:rFonts w:ascii="Cambria Math" w:hAnsi="Cambria Math"/>
          </w:rPr>
          <m:t>⟩</m:t>
        </m:r>
        <m:r>
          <w:rPr>
            <w:rFonts w:ascii="Cambria Math" w:hAnsi="Cambria Math"/>
          </w:rPr>
          <m:t>dt</m:t>
        </m:r>
      </m:oMath>
      <w:r>
        <w:t>.</w:t>
      </w:r>
    </w:p>
    <w:p w14:paraId="574C2511" w14:textId="77777777" w:rsidR="00EC2725" w:rsidRDefault="0003706E" w:rsidP="00961D80">
      <w:pPr>
        <w:pStyle w:val="a0"/>
        <w:jc w:val="both"/>
      </w:pPr>
      <w:r>
        <w:t>All heat currents and heat conductivity calculations are conducted by our CURP program</w:t>
      </w:r>
      <w:hyperlink w:anchor="ref-yamato2022">
        <w:r>
          <w:rPr>
            <w:rStyle w:val="ad"/>
            <w:vertAlign w:val="superscript"/>
          </w:rPr>
          <w:t>2</w:t>
        </w:r>
      </w:hyperlink>
      <w:r>
        <w:rPr>
          <w:vertAlign w:val="superscript"/>
        </w:rPr>
        <w:t>,</w:t>
      </w:r>
      <w:hyperlink w:anchor="ref-takahisayamato2021">
        <w:r>
          <w:rPr>
            <w:rStyle w:val="ad"/>
            <w:vertAlign w:val="superscript"/>
          </w:rPr>
          <w:t>4</w:t>
        </w:r>
      </w:hyperlink>
      <w:r>
        <w:t xml:space="preserve"> based on the trajectories of </w:t>
      </w:r>
      <m:oMath>
        <m:r>
          <w:rPr>
            <w:rFonts w:ascii="Cambria Math" w:hAnsi="Cambria Math"/>
          </w:rPr>
          <m:t>NVE</m:t>
        </m:r>
      </m:oMath>
      <w:r>
        <w:t xml:space="preserve"> MD simulations.</w:t>
      </w:r>
    </w:p>
    <w:p w14:paraId="1F36D1EC" w14:textId="77777777" w:rsidR="00EC2725" w:rsidRDefault="0003706E" w:rsidP="00961D80">
      <w:pPr>
        <w:pStyle w:val="2"/>
        <w:jc w:val="both"/>
      </w:pPr>
      <w:bookmarkStart w:id="5" w:name="Xe0d88c5002b6cf7664052f1fc7d652cbdadccec"/>
      <w:bookmarkEnd w:id="4"/>
      <w:r>
        <w:t>2.3 Cross-correlation term calculation and local heat conductivity correction</w:t>
      </w:r>
    </w:p>
    <w:p w14:paraId="15200EEC" w14:textId="77777777" w:rsidR="00EC2725" w:rsidRDefault="0003706E" w:rsidP="00961D80">
      <w:pPr>
        <w:pStyle w:val="FirstParagraph"/>
        <w:jc w:val="both"/>
      </w:pPr>
      <w:r>
        <w:t xml:space="preserve">Unfortunately, after preliminary calculation and analysis, equation  does not hold, </w:t>
      </w:r>
      <m:oMath>
        <m:r>
          <w:rPr>
            <w:rFonts w:ascii="Cambria Math" w:hAnsi="Cambria Math"/>
          </w:rPr>
          <m:t>Λ</m:t>
        </m:r>
        <m:r>
          <m:rPr>
            <m:sty m:val="p"/>
          </m:rPr>
          <w:rPr>
            <w:rFonts w:ascii="Cambria Math" w:hAnsi="Cambria Math"/>
          </w:rPr>
          <m:t>≠</m:t>
        </m:r>
        <m:sSubSup>
          <m:sSubSupPr>
            <m:ctrlPr>
              <w:rPr>
                <w:rFonts w:ascii="Cambria Math" w:hAnsi="Cambria Math"/>
              </w:rPr>
            </m:ctrlPr>
          </m:sSubSupPr>
          <m:e>
            <m:r>
              <m:rPr>
                <m:sty m:val="b"/>
              </m:rPr>
              <w:rPr>
                <w:rFonts w:ascii="Cambria Math" w:hAnsi="Cambria Math"/>
              </w:rPr>
              <m:t>∑</m:t>
            </m:r>
          </m:e>
          <m:sub>
            <m:r>
              <w:rPr>
                <w:rFonts w:ascii="Cambria Math" w:hAnsi="Cambria Math"/>
              </w:rPr>
              <m:t>α</m:t>
            </m:r>
            <m:r>
              <m:rPr>
                <m:sty m:val="p"/>
              </m:rPr>
              <w:rPr>
                <w:rFonts w:ascii="Cambria Math" w:hAnsi="Cambria Math"/>
              </w:rPr>
              <m:t>=</m:t>
            </m:r>
            <m: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1</m:t>
            </m:r>
          </m:sup>
        </m:sSubSup>
        <m:sSub>
          <m:sSubPr>
            <m:ctrlPr>
              <w:rPr>
                <w:rFonts w:ascii="Cambria Math" w:hAnsi="Cambria Math"/>
              </w:rPr>
            </m:ctrlPr>
          </m:sSubPr>
          <m:e>
            <m:r>
              <w:rPr>
                <w:rFonts w:ascii="Cambria Math" w:hAnsi="Cambria Math"/>
              </w:rPr>
              <m:t>Λ</m:t>
            </m:r>
          </m:e>
          <m:sub>
            <m:r>
              <w:rPr>
                <w:rFonts w:ascii="Cambria Math" w:hAnsi="Cambria Math"/>
              </w:rPr>
              <m:t>α</m:t>
            </m:r>
            <m:r>
              <m:rPr>
                <m:sty m:val="p"/>
              </m:rPr>
              <w:rPr>
                <w:rFonts w:ascii="Cambria Math" w:hAnsi="Cambria Math"/>
              </w:rPr>
              <m:t>,</m:t>
            </m:r>
            <m:r>
              <w:rPr>
                <w:rFonts w:ascii="Cambria Math" w:hAnsi="Cambria Math"/>
              </w:rPr>
              <m:t>α</m:t>
            </m:r>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m:t>
            </m:r>
          </m:e>
          <m:sub>
            <m:r>
              <w:rPr>
                <w:rFonts w:ascii="Cambria Math" w:hAnsi="Cambria Math"/>
              </w:rPr>
              <m:t>α</m:t>
            </m:r>
            <m:r>
              <m:rPr>
                <m:sty m:val="p"/>
              </m:rPr>
              <w:rPr>
                <w:rFonts w:ascii="Cambria Math" w:hAnsi="Cambria Math"/>
              </w:rPr>
              <m:t>=</m:t>
            </m:r>
            <m: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1</m:t>
            </m:r>
          </m:sup>
        </m:sSubSup>
        <m:sSub>
          <m:sSubPr>
            <m:ctrlPr>
              <w:rPr>
                <w:rFonts w:ascii="Cambria Math" w:hAnsi="Cambria Math"/>
              </w:rPr>
            </m:ctrlPr>
          </m:sSubPr>
          <m:e>
            <m:r>
              <w:rPr>
                <w:rFonts w:ascii="Cambria Math" w:hAnsi="Cambria Math"/>
              </w:rPr>
              <m:t>Λ</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see section </w:t>
      </w:r>
      <w:hyperlink w:anchor="X7ffd93865bc60f6431831db2605565dffbb7509">
        <w:r>
          <w:rPr>
            <w:rStyle w:val="ad"/>
          </w:rPr>
          <w:t>3.2</w:t>
        </w:r>
      </w:hyperlink>
      <w:r>
        <w:t>. This may be because the cross-correlation effect among local heat currents from different parts.</w:t>
      </w:r>
    </w:p>
    <w:p w14:paraId="09E93274" w14:textId="77777777" w:rsidR="00EC2725" w:rsidRDefault="0003706E" w:rsidP="00961D80">
      <w:pPr>
        <w:pStyle w:val="CaptionedFigure"/>
        <w:jc w:val="both"/>
      </w:pPr>
      <w:r>
        <w:rPr>
          <w:noProof/>
        </w:rPr>
        <w:drawing>
          <wp:inline distT="0" distB="0" distL="0" distR="0" wp14:anchorId="7F781DA3" wp14:editId="3E15F020">
            <wp:extent cx="5334000" cy="792891"/>
            <wp:effectExtent l="0" t="0" r="0" b="0"/>
            <wp:docPr id="28" name="Picture" descr="Assume that the cross correlation effect only happens between adjacent residues."/>
            <wp:cNvGraphicFramePr/>
            <a:graphic xmlns:a="http://schemas.openxmlformats.org/drawingml/2006/main">
              <a:graphicData uri="http://schemas.openxmlformats.org/drawingml/2006/picture">
                <pic:pic xmlns:pic="http://schemas.openxmlformats.org/drawingml/2006/picture">
                  <pic:nvPicPr>
                    <pic:cNvPr id="29" name="Picture" descr="figure/cross-correlation.png"/>
                    <pic:cNvPicPr>
                      <a:picLocks noChangeAspect="1" noChangeArrowheads="1"/>
                    </pic:cNvPicPr>
                  </pic:nvPicPr>
                  <pic:blipFill>
                    <a:blip r:embed="rId9"/>
                    <a:stretch>
                      <a:fillRect/>
                    </a:stretch>
                  </pic:blipFill>
                  <pic:spPr bwMode="auto">
                    <a:xfrm>
                      <a:off x="0" y="0"/>
                      <a:ext cx="5334000" cy="792891"/>
                    </a:xfrm>
                    <a:prstGeom prst="rect">
                      <a:avLst/>
                    </a:prstGeom>
                    <a:noFill/>
                    <a:ln w="9525">
                      <a:noFill/>
                      <a:headEnd/>
                      <a:tailEnd/>
                    </a:ln>
                  </pic:spPr>
                </pic:pic>
              </a:graphicData>
            </a:graphic>
          </wp:inline>
        </w:drawing>
      </w:r>
    </w:p>
    <w:p w14:paraId="524140E4" w14:textId="77777777" w:rsidR="00EC2725" w:rsidRDefault="0003706E" w:rsidP="00961D80">
      <w:pPr>
        <w:pStyle w:val="ImageCaption"/>
        <w:jc w:val="both"/>
      </w:pPr>
      <w:r>
        <w:t>Assume that the cross correlation effect only happens between adjacent residues.</w:t>
      </w:r>
    </w:p>
    <w:p w14:paraId="2C633FE0" w14:textId="77777777" w:rsidR="00EC2725" w:rsidRDefault="0003706E" w:rsidP="00961D80">
      <w:pPr>
        <w:pStyle w:val="a0"/>
        <w:jc w:val="both"/>
      </w:pPr>
      <w:r>
        <w:t xml:space="preserve">For correcting local heat conductivity, we introduced a cross-correlation term, </w:t>
      </w:r>
      <m:oMath>
        <m:r>
          <w:rPr>
            <w:rFonts w:ascii="Cambria Math" w:hAnsi="Cambria Math"/>
          </w:rPr>
          <m:t>ξ</m:t>
        </m:r>
      </m:oMath>
      <w:r>
        <w:t xml:space="preserve">. We assume that the cross correlation only occurs between adjacent local heat currents, as illustrated in Figure . We considered a dimer, which consisting of two adjacent residues </w:t>
      </w:r>
      <w:r>
        <w:lastRenderedPageBreak/>
        <w:t xml:space="preserve">numbered </w:t>
      </w:r>
      <m:oMath>
        <m:r>
          <w:rPr>
            <w:rFonts w:ascii="Cambria Math" w:hAnsi="Cambria Math"/>
          </w:rPr>
          <m:t>A</m:t>
        </m:r>
      </m:oMath>
      <w:r>
        <w:t xml:space="preserve"> and </w:t>
      </w:r>
      <m:oMath>
        <m:r>
          <w:rPr>
            <w:rFonts w:ascii="Cambria Math" w:hAnsi="Cambria Math"/>
          </w:rPr>
          <m:t>A</m:t>
        </m:r>
        <m:r>
          <m:rPr>
            <m:sty m:val="p"/>
          </m:rPr>
          <w:rPr>
            <w:rFonts w:ascii="Cambria Math" w:hAnsi="Cambria Math"/>
          </w:rPr>
          <m:t>+</m:t>
        </m:r>
        <m:r>
          <w:rPr>
            <w:rFonts w:ascii="Cambria Math" w:hAnsi="Cambria Math"/>
          </w:rPr>
          <m:t>1</m:t>
        </m:r>
      </m:oMath>
      <w:r>
        <w:t xml:space="preserve">. The local heat conductivity of dimer, </w:t>
      </w:r>
      <m:oMath>
        <m:sSub>
          <m:sSubPr>
            <m:ctrlPr>
              <w:rPr>
                <w:rFonts w:ascii="Cambria Math" w:hAnsi="Cambria Math"/>
              </w:rPr>
            </m:ctrlPr>
          </m:sSubPr>
          <m:e>
            <m:r>
              <w:rPr>
                <w:rFonts w:ascii="Cambria Math" w:hAnsi="Cambria Math"/>
              </w:rPr>
              <m:t>Λ</m:t>
            </m:r>
          </m:e>
          <m:sub>
            <m:r>
              <w:rPr>
                <w:rFonts w:ascii="Cambria Math" w:hAnsi="Cambria Math"/>
              </w:rPr>
              <m:t>α</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α</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1</m:t>
                </m:r>
              </m:e>
            </m:d>
          </m:sub>
        </m:sSub>
      </m:oMath>
      <w:r>
        <w:t>, is expressed as</w:t>
      </w:r>
    </w:p>
    <w:p w14:paraId="76962E11" w14:textId="77777777" w:rsidR="00EC2725" w:rsidRDefault="00EC2725" w:rsidP="00961D80">
      <w:pPr>
        <w:pStyle w:val="a0"/>
        <w:jc w:val="both"/>
      </w:pPr>
    </w:p>
    <w:p w14:paraId="7A723D21" w14:textId="77777777" w:rsidR="00EC2725" w:rsidRDefault="0003706E" w:rsidP="00961D80">
      <w:pPr>
        <w:pStyle w:val="a0"/>
        <w:jc w:val="both"/>
      </w:pPr>
      <w:r>
        <w:t>The cross-correlation of heat conductivity between two adjacent residues can be expressed as</w:t>
      </w:r>
    </w:p>
    <w:p w14:paraId="0BA01E0B" w14:textId="77777777" w:rsidR="00EC2725" w:rsidRDefault="00EC2725" w:rsidP="00961D80">
      <w:pPr>
        <w:pStyle w:val="a0"/>
        <w:jc w:val="both"/>
      </w:pPr>
    </w:p>
    <w:p w14:paraId="18AD33A3" w14:textId="77777777" w:rsidR="00EC2725" w:rsidRDefault="0003706E" w:rsidP="00961D80">
      <w:pPr>
        <w:pStyle w:val="a0"/>
        <w:jc w:val="both"/>
      </w:pPr>
      <w:r>
        <w:t xml:space="preserve">We assume that the influence of cross-correlation term </w:t>
      </w:r>
      <m:oMath>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only ends within two postions starting from </w:t>
      </w:r>
      <m:oMath>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shown in Figure , the contribution of </w:t>
      </w:r>
      <m:oMath>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to </w:t>
      </w:r>
      <m:oMath>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α</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α</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sub>
        </m:sSub>
      </m:oMath>
      <w:r>
        <w:t xml:space="preserve"> are considered as the same, marked as </w:t>
      </w:r>
      <m:oMath>
        <m:r>
          <w:rPr>
            <w:rFonts w:ascii="Cambria Math" w:hAnsi="Cambria Math"/>
          </w:rPr>
          <m:t>A </m:t>
        </m:r>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to </w:t>
      </w:r>
      <m:oMath>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α</m:t>
            </m:r>
            <m:r>
              <m:rPr>
                <m:sty m:val="p"/>
              </m:rPr>
              <w:rPr>
                <w:rFonts w:ascii="Cambria Math" w:hAnsi="Cambria Math"/>
              </w:rPr>
              <m:t>,</m:t>
            </m:r>
            <m:r>
              <w:rPr>
                <w:rFonts w:ascii="Cambria Math" w:hAnsi="Cambria Math"/>
              </w:rPr>
              <m:t>α</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α</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are also considered as the same, marked as </w:t>
      </w:r>
      <m:oMath>
        <m:r>
          <w:rPr>
            <w:rFonts w:ascii="Cambria Math" w:hAnsi="Cambria Math"/>
          </w:rPr>
          <m:t>B </m:t>
        </m:r>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and the contribution of </w:t>
      </w:r>
      <m:oMath>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to </w:t>
      </w:r>
      <m:oMath>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is marked as </w:t>
      </w:r>
      <m:oMath>
        <m:r>
          <w:rPr>
            <w:rFonts w:ascii="Cambria Math" w:hAnsi="Cambria Math"/>
          </w:rPr>
          <m:t>C </m:t>
        </m:r>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coeffient, after included the influence of cross-correlation in the local thermal conductivity, the local thermal conductivity within residue and those between residue can be expressed as</w:t>
      </w:r>
    </w:p>
    <w:p w14:paraId="47A2AB10" w14:textId="77777777" w:rsidR="00EC2725" w:rsidRDefault="0003706E" w:rsidP="00961D80">
      <w:pPr>
        <w:pStyle w:val="CaptionedFigure"/>
        <w:jc w:val="both"/>
      </w:pPr>
      <w:r>
        <w:rPr>
          <w:noProof/>
        </w:rPr>
        <w:drawing>
          <wp:inline distT="0" distB="0" distL="0" distR="0" wp14:anchorId="6AA9C37B" wp14:editId="0DBD26F2">
            <wp:extent cx="5334000" cy="2070600"/>
            <wp:effectExtent l="0" t="0" r="0" b="0"/>
            <wp:docPr id="31" name="Picture" descr="Allocation of cross-correlation term "/>
            <wp:cNvGraphicFramePr/>
            <a:graphic xmlns:a="http://schemas.openxmlformats.org/drawingml/2006/main">
              <a:graphicData uri="http://schemas.openxmlformats.org/drawingml/2006/picture">
                <pic:pic xmlns:pic="http://schemas.openxmlformats.org/drawingml/2006/picture">
                  <pic:nvPicPr>
                    <pic:cNvPr id="32" name="Picture" descr="figure/allocation_principle.png"/>
                    <pic:cNvPicPr>
                      <a:picLocks noChangeAspect="1" noChangeArrowheads="1"/>
                    </pic:cNvPicPr>
                  </pic:nvPicPr>
                  <pic:blipFill>
                    <a:blip r:embed="rId10"/>
                    <a:stretch>
                      <a:fillRect/>
                    </a:stretch>
                  </pic:blipFill>
                  <pic:spPr bwMode="auto">
                    <a:xfrm>
                      <a:off x="0" y="0"/>
                      <a:ext cx="5334000" cy="2070600"/>
                    </a:xfrm>
                    <a:prstGeom prst="rect">
                      <a:avLst/>
                    </a:prstGeom>
                    <a:noFill/>
                    <a:ln w="9525">
                      <a:noFill/>
                      <a:headEnd/>
                      <a:tailEnd/>
                    </a:ln>
                  </pic:spPr>
                </pic:pic>
              </a:graphicData>
            </a:graphic>
          </wp:inline>
        </w:drawing>
      </w:r>
    </w:p>
    <w:p w14:paraId="46895D27" w14:textId="77777777" w:rsidR="00EC2725" w:rsidRDefault="0003706E" w:rsidP="00961D80">
      <w:pPr>
        <w:pStyle w:val="ImageCaption"/>
        <w:jc w:val="both"/>
      </w:pPr>
      <w:r>
        <w:t xml:space="preserve">Allocation of cross-correlation term </w:t>
      </w:r>
    </w:p>
    <w:p w14:paraId="1EC780EE" w14:textId="77777777" w:rsidR="00EC2725" w:rsidRDefault="00EC2725" w:rsidP="00961D80">
      <w:pPr>
        <w:pStyle w:val="a0"/>
        <w:jc w:val="both"/>
      </w:pPr>
    </w:p>
    <w:p w14:paraId="66A9E32E" w14:textId="77777777" w:rsidR="00EC2725" w:rsidRDefault="0003706E" w:rsidP="00961D80">
      <w:pPr>
        <w:pStyle w:val="a0"/>
        <w:jc w:val="both"/>
      </w:pPr>
      <w:r>
        <w:t xml:space="preserve">According to Figure ,  and if we assume that the influence of </w:t>
      </w:r>
      <m:oMath>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on </w:t>
      </w:r>
      <m:oMath>
        <m:sSub>
          <m:sSubPr>
            <m:ctrlPr>
              <w:rPr>
                <w:rFonts w:ascii="Cambria Math" w:hAnsi="Cambria Math"/>
              </w:rPr>
            </m:ctrlPr>
          </m:sSubPr>
          <m:e>
            <m:r>
              <w:rPr>
                <w:rFonts w:ascii="Cambria Math" w:hAnsi="Cambria Math"/>
              </w:rPr>
              <m:t>Λ</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is greater than that of either of </w:t>
      </w:r>
      <m:oMath>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sub>
        </m:sSub>
      </m:oMath>
      <w:r>
        <w:t xml:space="preserve"> or </w:t>
      </w:r>
      <m:oMath>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sub>
        </m:sSub>
      </m:oMath>
      <w:r>
        <w:t xml:space="preserve">, and let  In the meantime, if we assume that the total weight of arbitrarily relevant </w:t>
      </w:r>
      <m:oMath>
        <m:r>
          <w:rPr>
            <w:rFonts w:ascii="Cambria Math" w:hAnsi="Cambria Math"/>
          </w:rPr>
          <m:t>ξ</m:t>
        </m:r>
      </m:oMath>
      <w:r>
        <w:t xml:space="preserve"> in </w:t>
      </w:r>
      <m:oMath>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is equal to that in </w:t>
      </w:r>
      <m:oMath>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α</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then </w:t>
      </w:r>
    </w:p>
    <w:p w14:paraId="1E7D48CF" w14:textId="77777777" w:rsidR="00EC2725" w:rsidRDefault="0003706E" w:rsidP="00961D80">
      <w:pPr>
        <w:pStyle w:val="a0"/>
        <w:jc w:val="both"/>
      </w:pPr>
      <w:r>
        <w:t xml:space="preserve">combining equations , , and , </w:t>
      </w:r>
      <m:oMath>
        <m:r>
          <w:rPr>
            <w:rFonts w:ascii="Cambria Math" w:hAnsi="Cambria Math"/>
          </w:rPr>
          <m:t>A</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8</m:t>
            </m:r>
          </m:den>
        </m:f>
      </m:oMath>
      <w:r>
        <w:t xml:space="preserve">, </w:t>
      </w:r>
      <m:oMath>
        <m:r>
          <w:rPr>
            <w:rFonts w:ascii="Cambria Math" w:hAnsi="Cambria Math"/>
          </w:rPr>
          <m:t>B</m:t>
        </m:r>
        <m:r>
          <m:rPr>
            <m:sty m:val="p"/>
          </m:rPr>
          <w:rPr>
            <w:rFonts w:ascii="Cambria Math" w:hAnsi="Cambria Math"/>
          </w:rPr>
          <m:t>=</m:t>
        </m:r>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oMath>
      <w:r>
        <w:t xml:space="preserve"> The quation  and  will become to </w:t>
      </w:r>
      <m:oMath>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α</m:t>
            </m:r>
            <m:r>
              <m:rPr>
                <m:sty m:val="p"/>
              </m:rPr>
              <w:rPr>
                <w:rFonts w:ascii="Cambria Math" w:hAnsi="Cambria Math"/>
              </w:rPr>
              <m:t>,</m:t>
            </m:r>
            <m:r>
              <w:rPr>
                <w:rFonts w:ascii="Cambria Math" w:hAnsi="Cambria Math"/>
              </w:rPr>
              <m:t>α</m:t>
            </m:r>
          </m:sub>
        </m:sSub>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 </m:t>
        </m:r>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α</m:t>
            </m:r>
            <m:r>
              <m:rPr>
                <m:sty m:val="p"/>
              </m:rPr>
              <w:rPr>
                <w:rFonts w:ascii="Cambria Math" w:hAnsi="Cambria Math"/>
              </w:rPr>
              <m:t>,</m:t>
            </m:r>
            <m:r>
              <w:rPr>
                <w:rFonts w:ascii="Cambria Math" w:hAnsi="Cambria Math"/>
              </w:rPr>
              <m:t>α</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 </m:t>
        </m:r>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Λ</m:t>
                </m:r>
              </m:e>
            </m:acc>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r>
              <w:rPr>
                <w:rFonts w:ascii="Cambria Math" w:hAnsi="Cambria Math"/>
              </w:rPr>
              <m:t>1</m:t>
            </m:r>
          </m:num>
          <m:den>
            <m:r>
              <w:rPr>
                <w:rFonts w:ascii="Cambria Math" w:hAnsi="Cambria Math"/>
              </w:rPr>
              <m:t>8</m:t>
            </m:r>
          </m:den>
        </m:f>
        <m:r>
          <w:rPr>
            <w:rFonts w:ascii="Cambria Math" w:hAnsi="Cambria Math"/>
          </w:rPr>
          <m:t> </m:t>
        </m:r>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 </m:t>
        </m:r>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8</m:t>
            </m:r>
          </m:den>
        </m:f>
        <m:r>
          <w:rPr>
            <w:rFonts w:ascii="Cambria Math" w:hAnsi="Cambria Math"/>
          </w:rPr>
          <m:t> </m:t>
        </m:r>
        <m:sSub>
          <m:sSubPr>
            <m:ctrlPr>
              <w:rPr>
                <w:rFonts w:ascii="Cambria Math" w:hAnsi="Cambria Math"/>
              </w:rPr>
            </m:ctrlPr>
          </m:sSubPr>
          <m:e>
            <m:r>
              <w:rPr>
                <w:rFonts w:ascii="Cambria Math" w:hAnsi="Cambria Math"/>
              </w:rPr>
              <m:t>ξ</m:t>
            </m:r>
          </m:e>
          <m:sub>
            <m:r>
              <w:rPr>
                <w:rFonts w:ascii="Cambria Math" w:hAnsi="Cambria Math"/>
              </w:rPr>
              <m:t>α</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2</m:t>
            </m:r>
          </m:sub>
        </m:sSub>
      </m:oMath>
      <w:r>
        <w:t>.</w:t>
      </w:r>
    </w:p>
    <w:p w14:paraId="475EF2A8" w14:textId="77777777" w:rsidR="00EC2725" w:rsidRDefault="0003706E" w:rsidP="00961D80">
      <w:pPr>
        <w:pStyle w:val="2"/>
        <w:jc w:val="both"/>
      </w:pPr>
      <w:bookmarkStart w:id="6" w:name="Xa375a2e27b31b61363901e4eabb5fa2168d01e4"/>
      <w:bookmarkEnd w:id="5"/>
      <w:r>
        <w:t>2.4 Contribution of Partial Heat Current to the Overall Heat Current.</w:t>
      </w:r>
    </w:p>
    <w:p w14:paraId="208FFF7C" w14:textId="77777777" w:rsidR="00EC2725" w:rsidRDefault="0003706E" w:rsidP="00961D80">
      <w:pPr>
        <w:pStyle w:val="FirstParagraph"/>
        <w:jc w:val="both"/>
      </w:pPr>
      <w:r>
        <w:t xml:space="preserve">The contribution of partial heat current to the overall heat current can be evaluated by a contribution factor, </w:t>
      </w:r>
      <m:oMath>
        <m:r>
          <w:rPr>
            <w:rFonts w:ascii="Cambria Math" w:hAnsi="Cambria Math"/>
          </w:rPr>
          <m:t>c</m:t>
        </m:r>
      </m:oMath>
      <w:r>
        <w:t>, as follows:</w:t>
      </w:r>
    </w:p>
    <w:p w14:paraId="4F48F377" w14:textId="77777777" w:rsidR="00EC2725" w:rsidRDefault="00EC2725" w:rsidP="00961D80">
      <w:pPr>
        <w:pStyle w:val="a0"/>
        <w:jc w:val="both"/>
      </w:pPr>
    </w:p>
    <w:p w14:paraId="3CB0F7A5" w14:textId="77777777" w:rsidR="00EC2725" w:rsidRDefault="0003706E" w:rsidP="00961D80">
      <w:pPr>
        <w:pStyle w:val="a0"/>
        <w:jc w:val="both"/>
      </w:pPr>
      <w:r>
        <w:t xml:space="preserve">We donated the contribution factor of intra-residue heat current to overall heat current as </w:t>
      </w:r>
      <m:oMath>
        <m:sSub>
          <m:sSubPr>
            <m:ctrlPr>
              <w:rPr>
                <w:rFonts w:ascii="Cambria Math" w:hAnsi="Cambria Math"/>
              </w:rPr>
            </m:ctrlPr>
          </m:sSubPr>
          <m:e>
            <m:r>
              <w:rPr>
                <w:rFonts w:ascii="Cambria Math" w:hAnsi="Cambria Math"/>
              </w:rPr>
              <m:t>c</m:t>
            </m:r>
          </m:e>
          <m:sub>
            <m:r>
              <w:rPr>
                <w:rFonts w:ascii="Cambria Math" w:hAnsi="Cambria Math"/>
              </w:rPr>
              <m:t>α</m:t>
            </m:r>
            <m:r>
              <m:rPr>
                <m:sty m:val="p"/>
              </m:rPr>
              <w:rPr>
                <w:rFonts w:ascii="Cambria Math" w:hAnsi="Cambria Math"/>
              </w:rPr>
              <m:t>,</m:t>
            </m:r>
            <m:r>
              <w:rPr>
                <w:rFonts w:ascii="Cambria Math" w:hAnsi="Cambria Math"/>
              </w:rPr>
              <m:t>α</m:t>
            </m:r>
          </m:sub>
        </m:sSub>
      </m:oMath>
      <w:r>
        <w:t xml:space="preserve"> and of inter-residue heat current of adjacent residues as </w:t>
      </w:r>
      <m:oMath>
        <m:sSub>
          <m:sSubPr>
            <m:ctrlPr>
              <w:rPr>
                <w:rFonts w:ascii="Cambria Math" w:hAnsi="Cambria Math"/>
              </w:rPr>
            </m:ctrlPr>
          </m:sSubPr>
          <m:e>
            <m:r>
              <w:rPr>
                <w:rFonts w:ascii="Cambria Math" w:hAnsi="Cambria Math"/>
              </w:rPr>
              <m:t>c</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respectively.</w:t>
      </w:r>
    </w:p>
    <w:p w14:paraId="6C193F7E" w14:textId="77777777" w:rsidR="00EC2725" w:rsidRDefault="0003706E" w:rsidP="00961D80">
      <w:pPr>
        <w:pStyle w:val="2"/>
        <w:jc w:val="both"/>
      </w:pPr>
      <w:bookmarkStart w:id="7" w:name="Xf0c8e0900a236e866027d12f5327e5c2b11ec13"/>
      <w:bookmarkEnd w:id="6"/>
      <w:r>
        <w:t>2.5 Equilibrium Molecular Dynamics Simulations</w:t>
      </w:r>
    </w:p>
    <w:p w14:paraId="1FA5BAB6" w14:textId="77777777" w:rsidR="00EC2725" w:rsidRDefault="0003706E" w:rsidP="00961D80">
      <w:pPr>
        <w:pStyle w:val="3"/>
        <w:jc w:val="both"/>
      </w:pPr>
      <w:bookmarkStart w:id="8" w:name="simulation-system-building"/>
      <w:r>
        <w:rPr>
          <w:i/>
          <w:iCs/>
        </w:rPr>
        <w:t>2.5.1 Simulation system building</w:t>
      </w:r>
    </w:p>
    <w:p w14:paraId="33F8AE5C" w14:textId="77777777" w:rsidR="00EC2725" w:rsidRDefault="0003706E" w:rsidP="00961D80">
      <w:pPr>
        <w:pStyle w:val="FirstParagraph"/>
        <w:jc w:val="both"/>
      </w:pPr>
      <w:r>
        <w:t>For the computation of the local thermal conductivity, the equilibrium molecular dynamics simulations are carried out with AMBER 19 package</w:t>
      </w:r>
      <w:hyperlink w:anchor="ref-d.a.case2019">
        <w:r>
          <w:rPr>
            <w:rStyle w:val="ad"/>
            <w:vertAlign w:val="superscript"/>
          </w:rPr>
          <w:t>5</w:t>
        </w:r>
      </w:hyperlink>
      <w:r>
        <w:t xml:space="preserve"> based on the the nuclear magnetic resonace (NMR) crystal structure of villin headpiece protein, HP36 (PDB code: 1VII</w:t>
      </w:r>
      <w:hyperlink w:anchor="ref-mcknight1997">
        <w:r>
          <w:rPr>
            <w:rStyle w:val="ad"/>
            <w:vertAlign w:val="superscript"/>
          </w:rPr>
          <w:t>6</w:t>
        </w:r>
      </w:hyperlink>
      <w:r>
        <w:t>). The protein is immersed in a octahedral TIP3P model water solvent box of 2329 water molecules using LEaP program of AmberTools19. Amber ff19SB force field</w:t>
      </w:r>
      <w:hyperlink w:anchor="ref-tian2020">
        <w:r>
          <w:rPr>
            <w:rStyle w:val="ad"/>
            <w:vertAlign w:val="superscript"/>
          </w:rPr>
          <w:t>7</w:t>
        </w:r>
      </w:hyperlink>
      <w:r>
        <w:t xml:space="preserve"> are </w:t>
      </w:r>
      <w:r>
        <w:lastRenderedPageBreak/>
        <w:t>used for protein HP36. All charged residues were considered in their standard protonation state at pH = 7.0. 4 chloride and 2 sodium ions are added to neutralize the simulation box and achieve a salt concentration of ~ 0.15 M. The periodic boundary condition was applied to the simulation system. Nonbonded particle-particle interactions</w:t>
      </w:r>
      <w:hyperlink w:anchor="ref-duan2001">
        <w:r>
          <w:rPr>
            <w:rStyle w:val="ad"/>
            <w:vertAlign w:val="superscript"/>
          </w:rPr>
          <w:t>8</w:t>
        </w:r>
      </w:hyperlink>
      <w:r>
        <w:t xml:space="preserve"> are considered using a distance cutoff of 9  and the long-range electrostatic interactions are treated with the particle mesh Ewald (PME) method</w:t>
      </w:r>
      <w:hyperlink w:anchor="ref-salomon-ferrer2013">
        <w:r>
          <w:rPr>
            <w:rStyle w:val="ad"/>
            <w:vertAlign w:val="superscript"/>
          </w:rPr>
          <w:t>9</w:t>
        </w:r>
      </w:hyperlink>
      <w:r>
        <w:t>.</w:t>
      </w:r>
    </w:p>
    <w:p w14:paraId="6645DBE2" w14:textId="77777777" w:rsidR="00EC2725" w:rsidRDefault="0003706E" w:rsidP="00961D80">
      <w:pPr>
        <w:pStyle w:val="3"/>
        <w:jc w:val="both"/>
      </w:pPr>
      <w:bookmarkStart w:id="9" w:name="minimization-and-equilibration"/>
      <w:bookmarkEnd w:id="8"/>
      <w:r>
        <w:rPr>
          <w:i/>
          <w:iCs/>
        </w:rPr>
        <w:t>2.5.2 Minimization and Equilibration</w:t>
      </w:r>
    </w:p>
    <w:p w14:paraId="21114C7D" w14:textId="77777777" w:rsidR="00EC2725" w:rsidRDefault="0003706E" w:rsidP="00961D80">
      <w:pPr>
        <w:pStyle w:val="FirstParagraph"/>
        <w:jc w:val="both"/>
      </w:pPr>
      <w:r>
        <w:t>Energy minimization of simulation system is conducted in three steps: (1) relaxation only on hydrogen atoms while the heavy atoms fixed, (2) relaxation on sidechain while the main chain atoms fixed, (3) relaxation on whole protein. Starting with the minimization conformation, 5 different Maxwell-Boltzmann velocity distributions at 0.1K are generated to perform equilibrium MD simulations which contains three steps: (1) heating system from 0.1 K to 300 K with positional restraints on the main chain atoms, (2) constant temperature, constant volume (</w:t>
      </w:r>
      <m:oMath>
        <m:r>
          <w:rPr>
            <w:rFonts w:ascii="Cambria Math" w:hAnsi="Cambria Math"/>
          </w:rPr>
          <m:t>NVT</m:t>
        </m:r>
      </m:oMath>
      <w:r>
        <w:t>) ensemble MD simulation at 300K for 200 ps without positional restraints, (3) constant temperature, constant pressure (</w:t>
      </w:r>
      <m:oMath>
        <m:r>
          <w:rPr>
            <w:rFonts w:ascii="Cambria Math" w:hAnsi="Cambria Math"/>
          </w:rPr>
          <m:t>NPT</m:t>
        </m:r>
      </m:oMath>
      <w:r>
        <w:t>) ensemble MD simulation at 300K for 700 ps.</w:t>
      </w:r>
    </w:p>
    <w:p w14:paraId="2FB013A7" w14:textId="77777777" w:rsidR="00EC2725" w:rsidRDefault="0003706E" w:rsidP="00961D80">
      <w:pPr>
        <w:pStyle w:val="3"/>
        <w:jc w:val="both"/>
        <w:rPr>
          <w:lang w:eastAsia="zh-CN"/>
        </w:rPr>
      </w:pPr>
      <w:bookmarkStart w:id="10" w:name="sampling-md-simulations"/>
      <w:bookmarkEnd w:id="9"/>
      <w:r>
        <w:rPr>
          <w:i/>
          <w:iCs/>
        </w:rPr>
        <w:t>2.5.3 Sampling MD simulations</w:t>
      </w:r>
    </w:p>
    <w:p w14:paraId="10EEC902" w14:textId="77777777" w:rsidR="00EC2725" w:rsidRDefault="0003706E" w:rsidP="00961D80">
      <w:pPr>
        <w:pStyle w:val="FirstParagraph"/>
        <w:jc w:val="both"/>
      </w:pPr>
      <w:r>
        <w:t xml:space="preserve">5 independent </w:t>
      </w:r>
      <m:oMath>
        <m:r>
          <w:rPr>
            <w:rFonts w:ascii="Cambria Math" w:hAnsi="Cambria Math"/>
          </w:rPr>
          <m:t>NPT</m:t>
        </m:r>
      </m:oMath>
      <w:r>
        <w:t xml:space="preserve"> ensemble MD simulations, starting from the last frame of 5 MD simulation in equilibration, are performed for another 56 ns, which includes (1) 50 ns run with time a step of 2 fs, (SHAKE constraints is on for whole sysetm) (2) 1 ns run with time a step of 0.5 fs, (SHAKE constraint is off only for protein) (3) 5 ns run with time a step of 0.5 fs. (SHAKE constraint is off only for protein)</w:t>
      </w:r>
    </w:p>
    <w:p w14:paraId="33A21550" w14:textId="77777777" w:rsidR="00EC2725" w:rsidRDefault="0003706E" w:rsidP="00961D80">
      <w:pPr>
        <w:pStyle w:val="3"/>
        <w:jc w:val="both"/>
      </w:pPr>
      <w:bookmarkStart w:id="11" w:name="nve-md-simulations"/>
      <w:bookmarkEnd w:id="10"/>
      <w:r>
        <w:rPr>
          <w:i/>
          <w:iCs/>
        </w:rPr>
        <w:lastRenderedPageBreak/>
        <w:t>2.5.4 NVE MD simulations</w:t>
      </w:r>
    </w:p>
    <w:p w14:paraId="6C1871C1" w14:textId="77777777" w:rsidR="00EC2725" w:rsidRDefault="0003706E" w:rsidP="00961D80">
      <w:pPr>
        <w:pStyle w:val="FirstParagraph"/>
        <w:jc w:val="both"/>
      </w:pPr>
      <w:r>
        <w:t>Snapshots with atomic coordinates and velocites are saved from every 500 ps in each of the last 5-ns sampling MD simualtions. With these snapshots, 50 sets of independent constant volumem, constant energy (</w:t>
      </w:r>
      <m:oMath>
        <m:r>
          <w:rPr>
            <w:rFonts w:ascii="Cambria Math" w:hAnsi="Cambria Math"/>
          </w:rPr>
          <m:t>NVE</m:t>
        </m:r>
      </m:oMath>
      <w:r>
        <w:t>) ensemble MD simulations are conducted for 1ns with a time step of 0.5 fs and velocities were saved every 0.5 fs, while coordinates were saved every 1 fs.</w:t>
      </w:r>
    </w:p>
    <w:p w14:paraId="00D0F533" w14:textId="77777777" w:rsidR="00EC2725" w:rsidRPr="00D42990" w:rsidRDefault="0003706E" w:rsidP="00961D80">
      <w:pPr>
        <w:pStyle w:val="a4"/>
        <w:jc w:val="both"/>
      </w:pPr>
      <w:bookmarkStart w:id="12" w:name="results-and-discussion"/>
      <w:bookmarkEnd w:id="2"/>
      <w:bookmarkEnd w:id="7"/>
      <w:bookmarkEnd w:id="11"/>
      <w:r w:rsidRPr="00D42990">
        <w:t>3 Results and Discussion</w:t>
      </w:r>
    </w:p>
    <w:p w14:paraId="6B5B5135" w14:textId="77777777" w:rsidR="00EC2725" w:rsidRDefault="0003706E" w:rsidP="00961D80">
      <w:pPr>
        <w:pStyle w:val="2"/>
        <w:jc w:val="both"/>
      </w:pPr>
      <w:bookmarkStart w:id="13" w:name="X16a3b37862d25c71eb7293f7b653e91636f92a7"/>
      <w:r>
        <w:t>3.1 The overall thermal conductivity of HP36 protein.</w:t>
      </w:r>
    </w:p>
    <w:p w14:paraId="29475A7D" w14:textId="77777777" w:rsidR="00EC2725" w:rsidRDefault="0003706E" w:rsidP="00961D80">
      <w:pPr>
        <w:pStyle w:val="CaptionedFigure"/>
        <w:jc w:val="both"/>
      </w:pPr>
      <w:r>
        <w:rPr>
          <w:noProof/>
        </w:rPr>
        <w:drawing>
          <wp:inline distT="0" distB="0" distL="0" distR="0" wp14:anchorId="2C8BBC8D" wp14:editId="07CD2E44">
            <wp:extent cx="5334000" cy="3062851"/>
            <wp:effectExtent l="0" t="0" r="0" b="0"/>
            <wp:docPr id="42" name="Picture" descr="Overall thermal conductivity of HP36 protein. Blue curve: The time evolution of ensemble averaged heat current autocorrelation function. The inset in blue is a drawing of partial enlargement of time 0-0.2ps. Yellow curve: The integral of heat current autocorrelation function with respect to time using trapezoidal rule. Red line: 100 fs running means. "/>
            <wp:cNvGraphicFramePr/>
            <a:graphic xmlns:a="http://schemas.openxmlformats.org/drawingml/2006/main">
              <a:graphicData uri="http://schemas.openxmlformats.org/drawingml/2006/picture">
                <pic:pic xmlns:pic="http://schemas.openxmlformats.org/drawingml/2006/picture">
                  <pic:nvPicPr>
                    <pic:cNvPr id="43" name="Picture" descr="figure/hcacf-100ps.png"/>
                    <pic:cNvPicPr>
                      <a:picLocks noChangeAspect="1" noChangeArrowheads="1"/>
                    </pic:cNvPicPr>
                  </pic:nvPicPr>
                  <pic:blipFill>
                    <a:blip r:embed="rId11"/>
                    <a:stretch>
                      <a:fillRect/>
                    </a:stretch>
                  </pic:blipFill>
                  <pic:spPr bwMode="auto">
                    <a:xfrm>
                      <a:off x="0" y="0"/>
                      <a:ext cx="5334000" cy="3062851"/>
                    </a:xfrm>
                    <a:prstGeom prst="rect">
                      <a:avLst/>
                    </a:prstGeom>
                    <a:noFill/>
                    <a:ln w="9525">
                      <a:noFill/>
                      <a:headEnd/>
                      <a:tailEnd/>
                    </a:ln>
                  </pic:spPr>
                </pic:pic>
              </a:graphicData>
            </a:graphic>
          </wp:inline>
        </w:drawing>
      </w:r>
    </w:p>
    <w:p w14:paraId="31673292" w14:textId="77777777" w:rsidR="00EC2725" w:rsidRDefault="0003706E" w:rsidP="00961D80">
      <w:pPr>
        <w:pStyle w:val="ImageCaption"/>
        <w:jc w:val="both"/>
      </w:pPr>
      <w:r>
        <w:t xml:space="preserve">Overall thermal conductivity of HP36 protein. Blue curve: The time evolution of ensemble averaged heat current autocorrelation function. The inset in blue is a drawing of partial enlargement of time 0-0.2ps. Yellow curve: The integral of heat current </w:t>
      </w:r>
      <w:r>
        <w:lastRenderedPageBreak/>
        <w:t xml:space="preserve">autocorrelation function with respect to time using trapezoidal rule. Red line: 100 fs running means. </w:t>
      </w:r>
    </w:p>
    <w:p w14:paraId="5F0BD79D" w14:textId="77777777" w:rsidR="00EC2725" w:rsidRDefault="0003706E" w:rsidP="00961D80">
      <w:pPr>
        <w:pStyle w:val="a0"/>
        <w:jc w:val="both"/>
      </w:pPr>
      <w:r>
        <w:t xml:space="preserve">The overall thermal conductivity, </w:t>
      </w:r>
      <m:oMath>
        <m:r>
          <w:rPr>
            <w:rFonts w:ascii="Cambria Math" w:hAnsi="Cambria Math"/>
          </w:rPr>
          <m:t>λ</m:t>
        </m:r>
      </m:oMath>
      <w:r>
        <w:t>, of the HP36 protein was calculated based on equation . The volume of HP36 protein used in equation  is 4845.447 $\AA^3$, same as the value in our previous paper</w:t>
      </w:r>
      <w:hyperlink w:anchor="ref-yamato2022">
        <w:r>
          <w:rPr>
            <w:rStyle w:val="ad"/>
            <w:vertAlign w:val="superscript"/>
          </w:rPr>
          <w:t>2</w:t>
        </w:r>
      </w:hyperlink>
      <w:r>
        <w:t xml:space="preserve"> where the calcuation details can be found. The time evolution of ensemble averaged heat current autocorrelation function and value of </w:t>
      </w:r>
      <m:oMath>
        <m:r>
          <w:rPr>
            <w:rFonts w:ascii="Cambria Math" w:hAnsi="Cambria Math"/>
          </w:rPr>
          <m:t>λ</m:t>
        </m:r>
      </m:oMath>
      <w:r>
        <w:t xml:space="preserve"> are shown in Figure . Although the upper limit of integration time was set as 100ps, an integration time of 60 ps is long enough for </w:t>
      </w:r>
      <m:oMath>
        <m:r>
          <w:rPr>
            <w:rFonts w:ascii="Cambria Math" w:hAnsi="Cambria Math"/>
          </w:rPr>
          <m:t>λ</m:t>
        </m:r>
      </m:oMath>
      <w:r>
        <w:t xml:space="preserve"> to reach convergence with a regular fluctuations. </w:t>
      </w:r>
      <m:oMath>
        <m:r>
          <w:rPr>
            <w:rFonts w:ascii="Cambria Math" w:hAnsi="Cambria Math"/>
          </w:rPr>
          <m:t>λ</m:t>
        </m:r>
      </m:oMath>
      <w:r>
        <w:t xml:space="preserve"> was calculated as 0.26 </w:t>
      </w:r>
      <m:oMath>
        <m:r>
          <m:rPr>
            <m:sty m:val="p"/>
          </m:rPr>
          <w:rPr>
            <w:rFonts w:ascii="Cambria Math" w:hAnsi="Cambria Math"/>
          </w:rPr>
          <m:t>±</m:t>
        </m:r>
      </m:oMath>
      <w:r>
        <w:t xml:space="preserve"> 0.01 </w:t>
      </w:r>
      <m:oMath>
        <m:r>
          <m:rPr>
            <m:sty m:val="p"/>
          </m:rPr>
          <w:rPr>
            <w:rFonts w:ascii="Cambria Math" w:hAnsi="Cambria Math"/>
          </w:rPr>
          <m:t>W/</m:t>
        </m:r>
        <m:d>
          <m:dPr>
            <m:ctrlPr>
              <w:rPr>
                <w:rFonts w:ascii="Cambria Math" w:hAnsi="Cambria Math"/>
              </w:rPr>
            </m:ctrlPr>
          </m:dPr>
          <m:e>
            <m:r>
              <m:rPr>
                <m:sty m:val="p"/>
              </m:rPr>
              <w:rPr>
                <w:rFonts w:ascii="Cambria Math" w:hAnsi="Cambria Math"/>
              </w:rPr>
              <m:t>m⋅K</m:t>
            </m:r>
          </m:e>
        </m:d>
      </m:oMath>
      <w:r>
        <w:t xml:space="preserve"> with the integration time of 60 ps. In the followings, the integration time of 60 ps was used in the calculation of local thermal conductivity of HP36 when calculating contribution factors from of local heat current to the overal thermal conductivity.</w:t>
      </w:r>
    </w:p>
    <w:p w14:paraId="645B944D" w14:textId="77777777" w:rsidR="00EC2725" w:rsidRDefault="0003706E" w:rsidP="00961D80">
      <w:pPr>
        <w:pStyle w:val="2"/>
        <w:jc w:val="both"/>
      </w:pPr>
      <w:bookmarkStart w:id="14" w:name="X7ffd93865bc60f6431831db2605565dffbb7509"/>
      <w:bookmarkEnd w:id="13"/>
      <w:r>
        <w:lastRenderedPageBreak/>
        <w:t>3.2 Local heat conductivity</w:t>
      </w:r>
    </w:p>
    <w:p w14:paraId="285527E3" w14:textId="77777777" w:rsidR="00EC2725" w:rsidRDefault="0003706E" w:rsidP="00961D80">
      <w:pPr>
        <w:pStyle w:val="CaptionedFigure"/>
        <w:jc w:val="both"/>
      </w:pPr>
      <w:r>
        <w:rPr>
          <w:noProof/>
        </w:rPr>
        <w:drawing>
          <wp:inline distT="0" distB="0" distL="0" distR="0" wp14:anchorId="65748D4A" wp14:editId="435D3EA0">
            <wp:extent cx="5334000" cy="3081114"/>
            <wp:effectExtent l="0" t="0" r="0" b="0"/>
            <wp:docPr id="46" name="Picture" descr="Contribution factors of intra-residue (c_{\alpha, \alpha}, red) and inter-residue (c_{\alpha, \alpha+1}, green) heat current to overall heat current in HP36 protein. The gray colored parts are residues in \alpha helices secondary structure. "/>
            <wp:cNvGraphicFramePr/>
            <a:graphic xmlns:a="http://schemas.openxmlformats.org/drawingml/2006/main">
              <a:graphicData uri="http://schemas.openxmlformats.org/drawingml/2006/picture">
                <pic:pic xmlns:pic="http://schemas.openxmlformats.org/drawingml/2006/picture">
                  <pic:nvPicPr>
                    <pic:cNvPr id="47" name="Picture" descr="figure/heat-conductivity-before-corrected.png"/>
                    <pic:cNvPicPr>
                      <a:picLocks noChangeAspect="1" noChangeArrowheads="1"/>
                    </pic:cNvPicPr>
                  </pic:nvPicPr>
                  <pic:blipFill>
                    <a:blip r:embed="rId12"/>
                    <a:stretch>
                      <a:fillRect/>
                    </a:stretch>
                  </pic:blipFill>
                  <pic:spPr bwMode="auto">
                    <a:xfrm>
                      <a:off x="0" y="0"/>
                      <a:ext cx="5334000" cy="3081114"/>
                    </a:xfrm>
                    <a:prstGeom prst="rect">
                      <a:avLst/>
                    </a:prstGeom>
                    <a:noFill/>
                    <a:ln w="9525">
                      <a:noFill/>
                      <a:headEnd/>
                      <a:tailEnd/>
                    </a:ln>
                  </pic:spPr>
                </pic:pic>
              </a:graphicData>
            </a:graphic>
          </wp:inline>
        </w:drawing>
      </w:r>
    </w:p>
    <w:p w14:paraId="65E8081A" w14:textId="77777777" w:rsidR="00EC2725" w:rsidRDefault="0003706E" w:rsidP="00961D80">
      <w:pPr>
        <w:pStyle w:val="ImageCaption"/>
        <w:jc w:val="both"/>
      </w:pPr>
      <w:r>
        <w:t>Contribution factors of intra-residue (</w:t>
      </w:r>
      <m:oMath>
        <m:sSub>
          <m:sSubPr>
            <m:ctrlPr>
              <w:rPr>
                <w:rFonts w:ascii="Cambria Math" w:hAnsi="Cambria Math"/>
              </w:rPr>
            </m:ctrlPr>
          </m:sSubPr>
          <m:e>
            <m:r>
              <w:rPr>
                <w:rFonts w:ascii="Cambria Math" w:hAnsi="Cambria Math"/>
              </w:rPr>
              <m:t>c</m:t>
            </m:r>
          </m:e>
          <m:sub>
            <m:r>
              <w:rPr>
                <w:rFonts w:ascii="Cambria Math" w:hAnsi="Cambria Math"/>
              </w:rPr>
              <m:t>α,α</m:t>
            </m:r>
          </m:sub>
        </m:sSub>
      </m:oMath>
      <w:r>
        <w:t>, red) and inter-residue (</w:t>
      </w:r>
      <m:oMath>
        <m:sSub>
          <m:sSubPr>
            <m:ctrlPr>
              <w:rPr>
                <w:rFonts w:ascii="Cambria Math" w:hAnsi="Cambria Math"/>
              </w:rPr>
            </m:ctrlPr>
          </m:sSubPr>
          <m:e>
            <m:r>
              <w:rPr>
                <w:rFonts w:ascii="Cambria Math" w:hAnsi="Cambria Math"/>
              </w:rPr>
              <m:t>c</m:t>
            </m:r>
          </m:e>
          <m:sub>
            <m:r>
              <w:rPr>
                <w:rFonts w:ascii="Cambria Math" w:hAnsi="Cambria Math"/>
              </w:rPr>
              <m:t>α,α+1</m:t>
            </m:r>
          </m:sub>
        </m:sSub>
      </m:oMath>
      <w:r>
        <w:t xml:space="preserve">, green) heat current to overall heat current in HP36 protein. The gray colored parts are residues in </w:t>
      </w:r>
      <m:oMath>
        <m:r>
          <w:rPr>
            <w:rFonts w:ascii="Cambria Math" w:hAnsi="Cambria Math"/>
          </w:rPr>
          <m:t>α</m:t>
        </m:r>
      </m:oMath>
      <w:r>
        <w:t xml:space="preserve"> helices secondary structure. </w:t>
      </w:r>
    </w:p>
    <w:p w14:paraId="118BC915" w14:textId="77777777" w:rsidR="00EC2725" w:rsidRDefault="0003706E" w:rsidP="00961D80">
      <w:pPr>
        <w:pStyle w:val="a0"/>
        <w:jc w:val="both"/>
      </w:pPr>
      <w:r>
        <w:t>The contribution factors of partial heat current of 36 intra-residue and 35 inter-residue heat current are plotted in Figure . Overall, the contribution factor of intra-residue is greater than that of inter-residue for two adjacent residue (</w:t>
      </w:r>
      <m:oMath>
        <m:sSub>
          <m:sSubPr>
            <m:ctrlPr>
              <w:rPr>
                <w:rFonts w:ascii="Cambria Math" w:hAnsi="Cambria Math"/>
              </w:rPr>
            </m:ctrlPr>
          </m:sSubPr>
          <m:e>
            <m:r>
              <w:rPr>
                <w:rFonts w:ascii="Cambria Math" w:hAnsi="Cambria Math"/>
              </w:rPr>
              <m:t>c</m:t>
            </m:r>
          </m:e>
          <m:sub>
            <m:r>
              <w:rPr>
                <w:rFonts w:ascii="Cambria Math" w:hAnsi="Cambria Math"/>
              </w:rPr>
              <m:t>α</m:t>
            </m:r>
            <m:r>
              <m:rPr>
                <m:sty m:val="p"/>
              </m:rPr>
              <w:rPr>
                <w:rFonts w:ascii="Cambria Math" w:hAnsi="Cambria Math"/>
              </w:rPr>
              <m:t>,</m:t>
            </m:r>
            <m:r>
              <w:rPr>
                <w:rFonts w:ascii="Cambria Math" w:hAnsi="Cambria Math"/>
              </w:rPr>
              <m:t>α</m:t>
            </m:r>
          </m:sub>
        </m:sSub>
      </m:oMath>
      <w:r>
        <w:t xml:space="preserve">, </w:t>
      </w:r>
      <m:oMath>
        <m:sSub>
          <m:sSubPr>
            <m:ctrlPr>
              <w:rPr>
                <w:rFonts w:ascii="Cambria Math" w:hAnsi="Cambria Math"/>
              </w:rPr>
            </m:ctrlPr>
          </m:sSubPr>
          <m:e>
            <m:r>
              <w:rPr>
                <w:rFonts w:ascii="Cambria Math" w:hAnsi="Cambria Math"/>
              </w:rPr>
              <m:t>c</m:t>
            </m:r>
          </m:e>
          <m:sub>
            <m:r>
              <w:rPr>
                <w:rFonts w:ascii="Cambria Math" w:hAnsi="Cambria Math"/>
              </w:rPr>
              <m:t>α</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&gt; </w:t>
      </w:r>
      <m:oMath>
        <m:sSub>
          <m:sSubPr>
            <m:ctrlPr>
              <w:rPr>
                <w:rFonts w:ascii="Cambria Math" w:hAnsi="Cambria Math"/>
              </w:rPr>
            </m:ctrlPr>
          </m:sSubPr>
          <m:e>
            <m:r>
              <w:rPr>
                <w:rFonts w:ascii="Cambria Math" w:hAnsi="Cambria Math"/>
              </w:rPr>
              <m:t>c</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xml:space="preserve">, for example, </w:t>
      </w:r>
      <m:oMath>
        <m:sSub>
          <m:sSubPr>
            <m:ctrlPr>
              <w:rPr>
                <w:rFonts w:ascii="Cambria Math" w:hAnsi="Cambria Math"/>
              </w:rPr>
            </m:ctrlPr>
          </m:sSubPr>
          <m:e>
            <m:r>
              <w:rPr>
                <w:rFonts w:ascii="Cambria Math" w:hAnsi="Cambria Math"/>
              </w:rPr>
              <m:t>c</m:t>
            </m:r>
          </m:e>
          <m:sub>
            <m:r>
              <w:rPr>
                <w:rFonts w:ascii="Cambria Math" w:hAnsi="Cambria Math"/>
              </w:rPr>
              <m:t>2</m:t>
            </m:r>
            <m:r>
              <m:rPr>
                <m:sty m:val="p"/>
              </m:rPr>
              <w:rPr>
                <w:rFonts w:ascii="Cambria Math" w:hAnsi="Cambria Math"/>
              </w:rPr>
              <m:t>,</m:t>
            </m:r>
            <m:r>
              <w:rPr>
                <w:rFonts w:ascii="Cambria Math" w:hAnsi="Cambria Math"/>
              </w:rPr>
              <m:t>2</m:t>
            </m:r>
          </m:sub>
        </m:sSub>
      </m:oMath>
      <w:r>
        <w:t xml:space="preserve">, </w:t>
      </w:r>
      <m:oMath>
        <m:sSub>
          <m:sSubPr>
            <m:ctrlPr>
              <w:rPr>
                <w:rFonts w:ascii="Cambria Math" w:hAnsi="Cambria Math"/>
              </w:rPr>
            </m:ctrlPr>
          </m:sSubPr>
          <m:e>
            <m:r>
              <w:rPr>
                <w:rFonts w:ascii="Cambria Math" w:hAnsi="Cambria Math"/>
              </w:rPr>
              <m:t>c</m:t>
            </m:r>
          </m:e>
          <m:sub>
            <m:r>
              <w:rPr>
                <w:rFonts w:ascii="Cambria Math" w:hAnsi="Cambria Math"/>
              </w:rPr>
              <m:t>3</m:t>
            </m:r>
            <m:r>
              <m:rPr>
                <m:sty m:val="p"/>
              </m:rPr>
              <w:rPr>
                <w:rFonts w:ascii="Cambria Math" w:hAnsi="Cambria Math"/>
              </w:rPr>
              <m:t>,</m:t>
            </m:r>
            <m:r>
              <w:rPr>
                <w:rFonts w:ascii="Cambria Math" w:hAnsi="Cambria Math"/>
              </w:rPr>
              <m:t>3</m:t>
            </m:r>
          </m:sub>
        </m:sSub>
      </m:oMath>
      <w:r>
        <w:t xml:space="preserve"> &gt; </w:t>
      </w:r>
      <m:oMath>
        <m:sSub>
          <m:sSubPr>
            <m:ctrlPr>
              <w:rPr>
                <w:rFonts w:ascii="Cambria Math" w:hAnsi="Cambria Math"/>
              </w:rPr>
            </m:ctrlPr>
          </m:sSubPr>
          <m:e>
            <m:r>
              <w:rPr>
                <w:rFonts w:ascii="Cambria Math" w:hAnsi="Cambria Math"/>
              </w:rPr>
              <m:t>c</m:t>
            </m:r>
          </m:e>
          <m:sub>
            <m:r>
              <w:rPr>
                <w:rFonts w:ascii="Cambria Math" w:hAnsi="Cambria Math"/>
              </w:rPr>
              <m:t>2</m:t>
            </m:r>
            <m:r>
              <m:rPr>
                <m:sty m:val="p"/>
              </m:rPr>
              <w:rPr>
                <w:rFonts w:ascii="Cambria Math" w:hAnsi="Cambria Math"/>
              </w:rPr>
              <m:t>,</m:t>
            </m:r>
            <m:r>
              <w:rPr>
                <w:rFonts w:ascii="Cambria Math" w:hAnsi="Cambria Math"/>
              </w:rPr>
              <m:t>3</m:t>
            </m:r>
          </m:sub>
        </m:sSub>
      </m:oMath>
      <w:r>
        <w:t xml:space="preserve">), expect for the residues in the termiuns of protein (Met1-Leu2, Leu35-Phn36) and Gly12-Met13. The averaged intra-residue heat conductivity, </w:t>
      </w:r>
      <m:oMath>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α</m:t>
            </m:r>
            <m:r>
              <m:rPr>
                <m:sty m:val="p"/>
              </m:rPr>
              <w:rPr>
                <w:rFonts w:ascii="Cambria Math" w:hAnsi="Cambria Math"/>
              </w:rPr>
              <m:t>,</m:t>
            </m:r>
            <m:r>
              <w:rPr>
                <w:rFonts w:ascii="Cambria Math" w:hAnsi="Cambria Math"/>
              </w:rPr>
              <m:t>α</m:t>
            </m:r>
          </m:sub>
        </m:sSub>
      </m:oMath>
      <w:r>
        <w:t xml:space="preserve"> is 0.029, almost twice that of inter-residue, </w:t>
      </w:r>
      <m:oMath>
        <m:sSub>
          <m:sSubPr>
            <m:ctrlPr>
              <w:rPr>
                <w:rFonts w:ascii="Cambria Math" w:hAnsi="Cambria Math"/>
              </w:rPr>
            </m:ctrlPr>
          </m:sSubPr>
          <m:e>
            <m:acc>
              <m:accPr>
                <m:chr m:val="‾"/>
                <m:ctrlPr>
                  <w:rPr>
                    <w:rFonts w:ascii="Cambria Math" w:hAnsi="Cambria Math"/>
                  </w:rPr>
                </m:ctrlPr>
              </m:accPr>
              <m:e>
                <m:r>
                  <w:rPr>
                    <w:rFonts w:ascii="Cambria Math" w:hAnsi="Cambria Math"/>
                  </w:rPr>
                  <m:t>c</m:t>
                </m:r>
              </m:e>
            </m:acc>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which is 0.016, suggesting that the heat trasport within residue is the dominating way to contribute the overall heat current while the inter-residue heat current that through peptide covalent bonds is another dominating one compared with sidechain-sidechain way</w:t>
      </w:r>
      <w:hyperlink w:anchor="ref-yamato2022">
        <w:r>
          <w:rPr>
            <w:rStyle w:val="ad"/>
            <w:vertAlign w:val="superscript"/>
          </w:rPr>
          <w:t>2</w:t>
        </w:r>
      </w:hyperlink>
      <w:r>
        <w:t xml:space="preserve">. The gray colored part in Figrue  are </w:t>
      </w:r>
      <w:r>
        <w:lastRenderedPageBreak/>
        <w:t xml:space="preserve">residues of </w:t>
      </w:r>
      <m:oMath>
        <m:r>
          <w:rPr>
            <w:rFonts w:ascii="Cambria Math" w:hAnsi="Cambria Math"/>
          </w:rPr>
          <m:t>α</m:t>
        </m:r>
      </m:oMath>
      <w:r>
        <w:t>-helices in HP36 protein. Their local inter-residue heat conductivities (</w:t>
      </w:r>
      <m:oMath>
        <m:sSub>
          <m:sSubPr>
            <m:ctrlPr>
              <w:rPr>
                <w:rFonts w:ascii="Cambria Math" w:hAnsi="Cambria Math"/>
              </w:rPr>
            </m:ctrlPr>
          </m:sSubPr>
          <m:e>
            <m:r>
              <m:rPr>
                <m:sty m:val="p"/>
              </m:rPr>
              <w:rPr>
                <w:rFonts w:ascii="Cambria Math" w:hAnsi="Cambria Math"/>
              </w:rPr>
              <m:t>Λ</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oMath>
      <w:r>
        <w:t>) are all close to or lower than 0.15.</w:t>
      </w:r>
    </w:p>
    <w:p w14:paraId="3AADD2DE" w14:textId="77777777" w:rsidR="00EC2725" w:rsidRDefault="0003706E" w:rsidP="00961D80">
      <w:pPr>
        <w:pStyle w:val="a0"/>
        <w:jc w:val="both"/>
      </w:pPr>
      <w:r>
        <w:t xml:space="preserve">The summation of the intra-residue and inter-residue heat current contribution factors, are </w:t>
      </w:r>
      <m:oMath>
        <m:sSubSup>
          <m:sSubSupPr>
            <m:ctrlPr>
              <w:rPr>
                <w:rFonts w:ascii="Cambria Math" w:hAnsi="Cambria Math"/>
              </w:rPr>
            </m:ctrlPr>
          </m:sSubSupPr>
          <m:e>
            <m:r>
              <m:rPr>
                <m:sty m:val="b"/>
              </m:rPr>
              <w:rPr>
                <w:rFonts w:ascii="Cambria Math" w:hAnsi="Cambria Math"/>
              </w:rPr>
              <m:t>∑</m:t>
            </m:r>
          </m:e>
          <m:sub>
            <m:r>
              <w:rPr>
                <w:rFonts w:ascii="Cambria Math" w:hAnsi="Cambria Math"/>
              </w:rPr>
              <m:t>α</m:t>
            </m:r>
            <m:r>
              <m:rPr>
                <m:sty m:val="p"/>
              </m:rPr>
              <w:rPr>
                <w:rFonts w:ascii="Cambria Math" w:hAnsi="Cambria Math"/>
              </w:rPr>
              <m:t>=</m:t>
            </m:r>
            <m:r>
              <w:rPr>
                <w:rFonts w:ascii="Cambria Math" w:hAnsi="Cambria Math"/>
              </w:rPr>
              <m:t>1</m:t>
            </m:r>
          </m:sub>
          <m:sup>
            <m:r>
              <w:rPr>
                <w:rFonts w:ascii="Cambria Math" w:hAnsi="Cambria Math"/>
              </w:rPr>
              <m:t>36</m:t>
            </m:r>
          </m:sup>
        </m:sSubSup>
        <m:sSub>
          <m:sSubPr>
            <m:ctrlPr>
              <w:rPr>
                <w:rFonts w:ascii="Cambria Math" w:hAnsi="Cambria Math"/>
              </w:rPr>
            </m:ctrlPr>
          </m:sSubPr>
          <m:e>
            <m:r>
              <w:rPr>
                <w:rFonts w:ascii="Cambria Math" w:hAnsi="Cambria Math"/>
              </w:rPr>
              <m:t>c</m:t>
            </m:r>
          </m:e>
          <m:sub>
            <m:r>
              <w:rPr>
                <w:rFonts w:ascii="Cambria Math" w:hAnsi="Cambria Math"/>
              </w:rPr>
              <m:t>α</m:t>
            </m:r>
            <m:r>
              <m:rPr>
                <m:sty m:val="p"/>
              </m:rPr>
              <w:rPr>
                <w:rFonts w:ascii="Cambria Math" w:hAnsi="Cambria Math"/>
              </w:rPr>
              <m:t>,</m:t>
            </m:r>
            <m:r>
              <w:rPr>
                <w:rFonts w:ascii="Cambria Math" w:hAnsi="Cambria Math"/>
              </w:rPr>
              <m:t>α</m:t>
            </m:r>
          </m:sub>
        </m:sSub>
        <m:r>
          <m:rPr>
            <m:sty m:val="p"/>
          </m:rPr>
          <w:rPr>
            <w:rFonts w:ascii="Cambria Math" w:hAnsi="Cambria Math"/>
          </w:rPr>
          <m:t>=</m:t>
        </m:r>
        <m:r>
          <w:rPr>
            <w:rFonts w:ascii="Cambria Math" w:hAnsi="Cambria Math"/>
          </w:rPr>
          <m:t>1.06</m:t>
        </m:r>
      </m:oMath>
      <w:r>
        <w:t xml:space="preserve"> and </w:t>
      </w:r>
      <m:oMath>
        <m:sSubSup>
          <m:sSubSupPr>
            <m:ctrlPr>
              <w:rPr>
                <w:rFonts w:ascii="Cambria Math" w:hAnsi="Cambria Math"/>
              </w:rPr>
            </m:ctrlPr>
          </m:sSubSupPr>
          <m:e>
            <m:r>
              <m:rPr>
                <m:sty m:val="b"/>
              </m:rPr>
              <w:rPr>
                <w:rFonts w:ascii="Cambria Math" w:hAnsi="Cambria Math"/>
              </w:rPr>
              <m:t>∑</m:t>
            </m:r>
          </m:e>
          <m:sub>
            <m:r>
              <w:rPr>
                <w:rFonts w:ascii="Cambria Math" w:hAnsi="Cambria Math"/>
              </w:rPr>
              <m:t>α</m:t>
            </m:r>
            <m:r>
              <m:rPr>
                <m:sty m:val="p"/>
              </m:rPr>
              <w:rPr>
                <w:rFonts w:ascii="Cambria Math" w:hAnsi="Cambria Math"/>
              </w:rPr>
              <m:t>=</m:t>
            </m:r>
            <m:r>
              <w:rPr>
                <w:rFonts w:ascii="Cambria Math" w:hAnsi="Cambria Math"/>
              </w:rPr>
              <m:t>1</m:t>
            </m:r>
          </m:sub>
          <m:sup>
            <m:r>
              <w:rPr>
                <w:rFonts w:ascii="Cambria Math" w:hAnsi="Cambria Math"/>
              </w:rPr>
              <m:t>35</m:t>
            </m:r>
          </m:sup>
        </m:sSubSup>
        <m:sSub>
          <m:sSubPr>
            <m:ctrlPr>
              <w:rPr>
                <w:rFonts w:ascii="Cambria Math" w:hAnsi="Cambria Math"/>
              </w:rPr>
            </m:ctrlPr>
          </m:sSubPr>
          <m:e>
            <m:r>
              <w:rPr>
                <w:rFonts w:ascii="Cambria Math" w:hAnsi="Cambria Math"/>
              </w:rPr>
              <m:t>c</m:t>
            </m:r>
          </m:e>
          <m:sub>
            <m:r>
              <w:rPr>
                <w:rFonts w:ascii="Cambria Math" w:hAnsi="Cambria Math"/>
              </w:rPr>
              <m:t>α</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0.57</m:t>
        </m:r>
      </m:oMath>
      <w:r>
        <w:t>, respectively. The total contribution factor of intra-residue and inter-residue heat current is not equal to 1 because of cross-correlations among different partial heat currents. So, in next section, we will examine the influence of the cross-correlation effect to the overall heat current.</w:t>
      </w:r>
    </w:p>
    <w:p w14:paraId="397F56E1" w14:textId="77777777" w:rsidR="00EC2725" w:rsidRDefault="0003706E" w:rsidP="00961D80">
      <w:pPr>
        <w:pStyle w:val="2"/>
        <w:jc w:val="both"/>
      </w:pPr>
      <w:bookmarkStart w:id="15" w:name="X5063e0ed7444b025cbb97d5878e77d71ad1235a"/>
      <w:bookmarkEnd w:id="14"/>
      <w:r>
        <w:t>3.3 Cross-correlation effect from adjacent residues</w:t>
      </w:r>
    </w:p>
    <w:p w14:paraId="6534D379" w14:textId="77777777" w:rsidR="00EC2725" w:rsidRDefault="0003706E" w:rsidP="00961D80">
      <w:pPr>
        <w:pStyle w:val="CaptionedFigure"/>
        <w:jc w:val="both"/>
      </w:pPr>
      <w:r>
        <w:rPr>
          <w:noProof/>
        </w:rPr>
        <w:drawing>
          <wp:inline distT="0" distB="0" distL="0" distR="0" wp14:anchorId="6B386BCB" wp14:editId="6E8C4B9F">
            <wp:extent cx="5334000" cy="3025734"/>
            <wp:effectExtent l="0" t="0" r="0" b="0"/>
            <wp:docPr id="50" name="Picture" descr="Cross-correlation term of local heat conductivity "/>
            <wp:cNvGraphicFramePr/>
            <a:graphic xmlns:a="http://schemas.openxmlformats.org/drawingml/2006/main">
              <a:graphicData uri="http://schemas.openxmlformats.org/drawingml/2006/picture">
                <pic:pic xmlns:pic="http://schemas.openxmlformats.org/drawingml/2006/picture">
                  <pic:nvPicPr>
                    <pic:cNvPr id="51" name="Picture" descr="figure/cross-correlation-term.png"/>
                    <pic:cNvPicPr>
                      <a:picLocks noChangeAspect="1" noChangeArrowheads="1"/>
                    </pic:cNvPicPr>
                  </pic:nvPicPr>
                  <pic:blipFill>
                    <a:blip r:embed="rId13"/>
                    <a:stretch>
                      <a:fillRect/>
                    </a:stretch>
                  </pic:blipFill>
                  <pic:spPr bwMode="auto">
                    <a:xfrm>
                      <a:off x="0" y="0"/>
                      <a:ext cx="5334000" cy="3025734"/>
                    </a:xfrm>
                    <a:prstGeom prst="rect">
                      <a:avLst/>
                    </a:prstGeom>
                    <a:noFill/>
                    <a:ln w="9525">
                      <a:noFill/>
                      <a:headEnd/>
                      <a:tailEnd/>
                    </a:ln>
                  </pic:spPr>
                </pic:pic>
              </a:graphicData>
            </a:graphic>
          </wp:inline>
        </w:drawing>
      </w:r>
    </w:p>
    <w:p w14:paraId="36A1ABB7" w14:textId="77777777" w:rsidR="00EC2725" w:rsidRDefault="0003706E" w:rsidP="00961D80">
      <w:pPr>
        <w:pStyle w:val="ImageCaption"/>
        <w:jc w:val="both"/>
      </w:pPr>
      <w:r>
        <w:t xml:space="preserve">Cross-correlation term of local heat conductivity </w:t>
      </w:r>
    </w:p>
    <w:p w14:paraId="73454E63" w14:textId="77777777" w:rsidR="00EC2725" w:rsidRDefault="0003706E" w:rsidP="00961D80">
      <w:pPr>
        <w:pStyle w:val="a0"/>
        <w:jc w:val="both"/>
      </w:pPr>
      <w:r>
        <w:t xml:space="preserve">Here, we consider the cross-correlation effect only happens between two adjacent residues. According to </w:t>
      </w:r>
      <w:r>
        <w:rPr>
          <w:i/>
          <w:iCs/>
        </w:rPr>
        <w:t>Section</w:t>
      </w:r>
      <w:r>
        <w:t xml:space="preserve"> </w:t>
      </w:r>
      <w:hyperlink w:anchor="Xe0d88c5002b6cf7664052f1fc7d652cbdadccec">
        <w:r>
          <w:rPr>
            <w:rStyle w:val="ad"/>
          </w:rPr>
          <w:t>2.3</w:t>
        </w:r>
      </w:hyperlink>
      <w:r>
        <w:t xml:space="preserve">, the cross-correlation term are calculated and plotted in Figure . The greater absolute value of </w:t>
      </w:r>
      <m:oMath>
        <m:r>
          <w:rPr>
            <w:rFonts w:ascii="Cambria Math" w:hAnsi="Cambria Math"/>
          </w:rPr>
          <m:t>ξ</m:t>
        </m:r>
      </m:oMath>
      <w:r>
        <w:t xml:space="preserve">, the stronger of cross correlation between two adjaect residues on heat transport. Except for the termius We can see that the absolute </w:t>
      </w:r>
      <w:r>
        <w:lastRenderedPageBreak/>
        <w:t xml:space="preserve">value of cross-correlation term in </w:t>
      </w:r>
      <m:oMath>
        <m:r>
          <w:rPr>
            <w:rFonts w:ascii="Cambria Math" w:hAnsi="Cambria Math"/>
          </w:rPr>
          <m:t>α</m:t>
        </m:r>
      </m:oMath>
      <w:r>
        <w:t xml:space="preserve"> helices (gray background) are all close or lower than 0.1, suggesting the heat transfer between adjacent residues is less affected by each other.</w:t>
      </w:r>
    </w:p>
    <w:p w14:paraId="44DD3409" w14:textId="77777777" w:rsidR="00EC2725" w:rsidRDefault="0003706E" w:rsidP="00961D80">
      <w:pPr>
        <w:pStyle w:val="CaptionedFigure"/>
        <w:jc w:val="both"/>
      </w:pPr>
      <w:r>
        <w:rPr>
          <w:noProof/>
        </w:rPr>
        <w:drawing>
          <wp:inline distT="0" distB="0" distL="0" distR="0" wp14:anchorId="173DFCCA" wp14:editId="401785C2">
            <wp:extent cx="5334000" cy="3081114"/>
            <wp:effectExtent l="0" t="0" r="0" b="0"/>
            <wp:docPr id="53" name="Picture" descr="heat conductivity after corrected "/>
            <wp:cNvGraphicFramePr/>
            <a:graphic xmlns:a="http://schemas.openxmlformats.org/drawingml/2006/main">
              <a:graphicData uri="http://schemas.openxmlformats.org/drawingml/2006/picture">
                <pic:pic xmlns:pic="http://schemas.openxmlformats.org/drawingml/2006/picture">
                  <pic:nvPicPr>
                    <pic:cNvPr id="54" name="Picture" descr="figure/heat-conductivity-after-corrected.png"/>
                    <pic:cNvPicPr>
                      <a:picLocks noChangeAspect="1" noChangeArrowheads="1"/>
                    </pic:cNvPicPr>
                  </pic:nvPicPr>
                  <pic:blipFill>
                    <a:blip r:embed="rId14"/>
                    <a:stretch>
                      <a:fillRect/>
                    </a:stretch>
                  </pic:blipFill>
                  <pic:spPr bwMode="auto">
                    <a:xfrm>
                      <a:off x="0" y="0"/>
                      <a:ext cx="5334000" cy="3081114"/>
                    </a:xfrm>
                    <a:prstGeom prst="rect">
                      <a:avLst/>
                    </a:prstGeom>
                    <a:noFill/>
                    <a:ln w="9525">
                      <a:noFill/>
                      <a:headEnd/>
                      <a:tailEnd/>
                    </a:ln>
                  </pic:spPr>
                </pic:pic>
              </a:graphicData>
            </a:graphic>
          </wp:inline>
        </w:drawing>
      </w:r>
    </w:p>
    <w:p w14:paraId="752211B6" w14:textId="77777777" w:rsidR="00EC2725" w:rsidRDefault="0003706E" w:rsidP="00961D80">
      <w:pPr>
        <w:pStyle w:val="ImageCaption"/>
        <w:jc w:val="both"/>
      </w:pPr>
      <w:r>
        <w:t xml:space="preserve">heat conductivity after corrected </w:t>
      </w:r>
    </w:p>
    <w:p w14:paraId="370E6828" w14:textId="77777777" w:rsidR="00EC2725" w:rsidRDefault="0003706E" w:rsidP="00961D80">
      <w:pPr>
        <w:pStyle w:val="a0"/>
        <w:jc w:val="both"/>
      </w:pPr>
      <w:r>
        <w:t>After allocation of cross-correlation term, the corrected local heat conductivities are plotted in Figure .</w:t>
      </w:r>
    </w:p>
    <w:p w14:paraId="3EBE95E1" w14:textId="77777777" w:rsidR="00EC2725" w:rsidRDefault="0003706E" w:rsidP="00961D80">
      <w:pPr>
        <w:pStyle w:val="2"/>
        <w:jc w:val="both"/>
      </w:pPr>
      <w:bookmarkStart w:id="16" w:name="X346c85454748e2e82ea61585f68359e3a0588c9"/>
      <w:bookmarkEnd w:id="15"/>
      <w:r>
        <w:t>3.4 Comparsion between local heat conductivity and local heat diffusivity</w:t>
      </w:r>
    </w:p>
    <w:p w14:paraId="3088C04A" w14:textId="77777777" w:rsidR="00EC2725" w:rsidRPr="00A96E61" w:rsidRDefault="0003706E" w:rsidP="00961D80">
      <w:pPr>
        <w:pStyle w:val="2"/>
        <w:jc w:val="both"/>
      </w:pPr>
      <w:bookmarkStart w:id="17" w:name="water-model"/>
      <w:bookmarkEnd w:id="16"/>
      <w:r w:rsidRPr="00A96E61">
        <w:t>3.5 Water model</w:t>
      </w:r>
    </w:p>
    <w:p w14:paraId="0945B1C6" w14:textId="77777777" w:rsidR="00EC2725" w:rsidRDefault="0003706E" w:rsidP="00961D80">
      <w:pPr>
        <w:pStyle w:val="FirstParagraph"/>
        <w:jc w:val="both"/>
      </w:pPr>
      <w:r>
        <w:t>In our previous study on thermal conductivity of protein</w:t>
      </w:r>
      <w:hyperlink w:anchor="ref-yamato2022">
        <w:r>
          <w:rPr>
            <w:rStyle w:val="ad"/>
            <w:vertAlign w:val="superscript"/>
          </w:rPr>
          <w:t>2</w:t>
        </w:r>
      </w:hyperlink>
      <w:r>
        <w:t xml:space="preserve">, we used Amber ff14SB force-field + TIP3P water model with the SHAKE constraints switched off for MD simulations. It is known that the SAHKE restaints should be switched on for the rigid TIP3P water model. The remained question of water model effect on thermal conductivity calculation </w:t>
      </w:r>
      <w:r>
        <w:lastRenderedPageBreak/>
        <w:t>for proteins can be properly answered here. In this paper, we used Amber ff19SB + TIP3P water model with the SHAKE constraints switched off only for protein. According to equation , the thermal condctivity (</w:t>
      </w:r>
      <m:oMath>
        <m:r>
          <w:rPr>
            <w:rFonts w:ascii="Cambria Math" w:hAnsi="Cambria Math"/>
          </w:rPr>
          <m:t>λ</m:t>
        </m:r>
      </m:oMath>
      <w:r>
        <w:t xml:space="preserve">) of the whole protein is calculated as 0.26 </w:t>
      </w:r>
      <m:oMath>
        <m:r>
          <m:rPr>
            <m:sty m:val="p"/>
          </m:rPr>
          <w:rPr>
            <w:rFonts w:ascii="Cambria Math" w:hAnsi="Cambria Math"/>
          </w:rPr>
          <m:t>±</m:t>
        </m:r>
      </m:oMath>
      <w:r>
        <w:t xml:space="preserve"> 0.01 </w:t>
      </w:r>
      <m:oMath>
        <m:r>
          <m:rPr>
            <m:sty m:val="p"/>
          </m:rPr>
          <w:rPr>
            <w:rFonts w:ascii="Cambria Math" w:hAnsi="Cambria Math"/>
          </w:rPr>
          <m:t>W/</m:t>
        </m:r>
        <m:d>
          <m:dPr>
            <m:ctrlPr>
              <w:rPr>
                <w:rFonts w:ascii="Cambria Math" w:hAnsi="Cambria Math"/>
              </w:rPr>
            </m:ctrlPr>
          </m:dPr>
          <m:e>
            <m:r>
              <m:rPr>
                <m:sty m:val="p"/>
              </m:rPr>
              <w:rPr>
                <w:rFonts w:ascii="Cambria Math" w:hAnsi="Cambria Math"/>
              </w:rPr>
              <m:t>m⋅K</m:t>
            </m:r>
          </m:e>
        </m:d>
      </m:oMath>
      <w:r>
        <w:t xml:space="preserve">, which is close to the value 0.3 </w:t>
      </w:r>
      <m:oMath>
        <m:r>
          <m:rPr>
            <m:sty m:val="p"/>
          </m:rPr>
          <w:rPr>
            <w:rFonts w:ascii="Cambria Math" w:hAnsi="Cambria Math"/>
          </w:rPr>
          <m:t>±</m:t>
        </m:r>
      </m:oMath>
      <w:r>
        <w:t xml:space="preserve"> 0.01 </w:t>
      </w:r>
      <m:oMath>
        <m:r>
          <m:rPr>
            <m:sty m:val="p"/>
          </m:rPr>
          <w:rPr>
            <w:rFonts w:ascii="Cambria Math" w:hAnsi="Cambria Math"/>
          </w:rPr>
          <m:t>W/</m:t>
        </m:r>
        <m:d>
          <m:dPr>
            <m:ctrlPr>
              <w:rPr>
                <w:rFonts w:ascii="Cambria Math" w:hAnsi="Cambria Math"/>
              </w:rPr>
            </m:ctrlPr>
          </m:dPr>
          <m:e>
            <m:r>
              <m:rPr>
                <m:sty m:val="p"/>
              </m:rPr>
              <w:rPr>
                <w:rFonts w:ascii="Cambria Math" w:hAnsi="Cambria Math"/>
              </w:rPr>
              <m:t>m⋅K</m:t>
            </m:r>
          </m:e>
        </m:d>
      </m:oMath>
      <w:r>
        <w:t xml:space="preserve"> in previous study</w:t>
      </w:r>
      <w:hyperlink w:anchor="ref-yamato2022">
        <w:r>
          <w:rPr>
            <w:rStyle w:val="ad"/>
            <w:vertAlign w:val="superscript"/>
          </w:rPr>
          <w:t>2</w:t>
        </w:r>
      </w:hyperlink>
      <w:r>
        <w:t>.</w:t>
      </w:r>
    </w:p>
    <w:p w14:paraId="51C1B911" w14:textId="77777777" w:rsidR="00EC2725" w:rsidRPr="00D42990" w:rsidRDefault="0003706E" w:rsidP="00961D80">
      <w:pPr>
        <w:pStyle w:val="a4"/>
        <w:jc w:val="both"/>
      </w:pPr>
      <w:bookmarkStart w:id="18" w:name="conclusions"/>
      <w:bookmarkEnd w:id="12"/>
      <w:bookmarkEnd w:id="17"/>
      <w:r w:rsidRPr="00D42990">
        <w:t>4 Conclusions</w:t>
      </w:r>
    </w:p>
    <w:p w14:paraId="0FE5AD9A" w14:textId="77777777" w:rsidR="00EC2725" w:rsidRPr="00D42990" w:rsidRDefault="0003706E" w:rsidP="00961D80">
      <w:pPr>
        <w:pStyle w:val="a4"/>
        <w:jc w:val="both"/>
      </w:pPr>
      <w:bookmarkStart w:id="19" w:name="acknowledgements"/>
      <w:bookmarkEnd w:id="18"/>
      <w:r w:rsidRPr="00D42990">
        <w:t>Acknowledgements</w:t>
      </w:r>
    </w:p>
    <w:p w14:paraId="79419A0D" w14:textId="77777777" w:rsidR="00EC2725" w:rsidRDefault="0003706E" w:rsidP="00961D80">
      <w:pPr>
        <w:jc w:val="both"/>
      </w:pPr>
      <w:r>
        <w:t>This work has been supported by Iketani Science and Technology Foundation (Grant# 0331122-A) for TY, and JST SPRING, Interdisciplinary Frontier Next Generation Researcher Program of the Tokai Higher Education and Research System (Grant# JPMJSP2125) for TW. Computations were performed using supercomputers provided by RCCS, Okazaki, Japan (Project ID: 22-IMS-C041); Fugaku, by RIKEN through the “HPCI System Research Project (Project ID: hp200241)”; Flow, by Nagoya University through the “High Performance Computing Research Project for Joint Computational Science”; and Cygnus/Wisteria-O, by University of Tsukuba through the “Multidisciplinary Cooperative Research Program (Project ID: 61, Life Science)”.</w:t>
      </w:r>
    </w:p>
    <w:p w14:paraId="64BFCBE6" w14:textId="77777777" w:rsidR="00EC2725" w:rsidRPr="00D42990" w:rsidRDefault="0003706E" w:rsidP="00961D80">
      <w:pPr>
        <w:pStyle w:val="a4"/>
        <w:jc w:val="both"/>
      </w:pPr>
      <w:bookmarkStart w:id="20" w:name="references"/>
      <w:bookmarkEnd w:id="19"/>
      <w:r w:rsidRPr="00D42990">
        <w:t>References</w:t>
      </w:r>
    </w:p>
    <w:p w14:paraId="2CFE150A" w14:textId="77777777" w:rsidR="00EC2725" w:rsidRDefault="0003706E" w:rsidP="00961D80">
      <w:pPr>
        <w:pStyle w:val="a7"/>
        <w:jc w:val="both"/>
      </w:pPr>
      <w:bookmarkStart w:id="21" w:name="ref-mcquarrie2000"/>
      <w:bookmarkStart w:id="22" w:name="refs"/>
      <w:r>
        <w:t xml:space="preserve">(1) </w:t>
      </w:r>
      <w:r>
        <w:tab/>
        <w:t xml:space="preserve">McQuarrie, D. A. </w:t>
      </w:r>
      <w:r>
        <w:rPr>
          <w:i/>
          <w:iCs/>
        </w:rPr>
        <w:t>Statistical Mechanics</w:t>
      </w:r>
      <w:r>
        <w:t>; University Science Books: Sausalito, Calif, 2000.</w:t>
      </w:r>
    </w:p>
    <w:p w14:paraId="2A79FC59" w14:textId="77777777" w:rsidR="00EC2725" w:rsidRDefault="0003706E" w:rsidP="00961D80">
      <w:pPr>
        <w:pStyle w:val="a7"/>
        <w:jc w:val="both"/>
      </w:pPr>
      <w:bookmarkStart w:id="23" w:name="ref-yamato2022"/>
      <w:bookmarkEnd w:id="21"/>
      <w:r>
        <w:lastRenderedPageBreak/>
        <w:t xml:space="preserve">(2) </w:t>
      </w:r>
      <w:r>
        <w:tab/>
        <w:t xml:space="preserve">Yamato, T.; Wang, T.; Sugiura, W.; Laprévote, O.; Katagiri, T. Computational Study on the Thermal Conductivity of a Protein. </w:t>
      </w:r>
      <w:r>
        <w:rPr>
          <w:i/>
          <w:iCs/>
        </w:rPr>
        <w:t>J. Phys. Chem. B</w:t>
      </w:r>
      <w:r>
        <w:t xml:space="preserve"> </w:t>
      </w:r>
      <w:r>
        <w:rPr>
          <w:b/>
          <w:bCs/>
        </w:rPr>
        <w:t>2022</w:t>
      </w:r>
      <w:r>
        <w:t xml:space="preserve">, </w:t>
      </w:r>
      <w:r>
        <w:rPr>
          <w:i/>
          <w:iCs/>
        </w:rPr>
        <w:t>126</w:t>
      </w:r>
      <w:r>
        <w:t xml:space="preserve"> (16), 3029–3036. https://doi.org/</w:t>
      </w:r>
      <w:hyperlink r:id="rId15">
        <w:r>
          <w:rPr>
            <w:rStyle w:val="ad"/>
          </w:rPr>
          <w:t>10.1021/acs.jpcb.2c00958</w:t>
        </w:r>
      </w:hyperlink>
      <w:r>
        <w:t>.</w:t>
      </w:r>
    </w:p>
    <w:p w14:paraId="24D2A266" w14:textId="77777777" w:rsidR="00EC2725" w:rsidRDefault="0003706E" w:rsidP="00961D80">
      <w:pPr>
        <w:pStyle w:val="a7"/>
        <w:jc w:val="both"/>
      </w:pPr>
      <w:bookmarkStart w:id="24" w:name="ref-babaei2012"/>
      <w:bookmarkEnd w:id="23"/>
      <w:r>
        <w:t xml:space="preserve">(3) </w:t>
      </w:r>
      <w:r>
        <w:tab/>
        <w:t xml:space="preserve">Babaei, H.; Keblinski, P.; Khodadadi, J. M. Equilibrium Molecular Dynamics Determination of Thermal Conductivity for Multi-Component Systems. </w:t>
      </w:r>
      <w:r>
        <w:rPr>
          <w:i/>
          <w:iCs/>
        </w:rPr>
        <w:t>Journal of Applied Physics</w:t>
      </w:r>
      <w:r>
        <w:t xml:space="preserve"> </w:t>
      </w:r>
      <w:r>
        <w:rPr>
          <w:b/>
          <w:bCs/>
        </w:rPr>
        <w:t>2012</w:t>
      </w:r>
      <w:r>
        <w:t xml:space="preserve">, </w:t>
      </w:r>
      <w:r>
        <w:rPr>
          <w:i/>
          <w:iCs/>
        </w:rPr>
        <w:t>112</w:t>
      </w:r>
      <w:r>
        <w:t xml:space="preserve"> (5), 054310. https://doi.org/</w:t>
      </w:r>
      <w:hyperlink r:id="rId16">
        <w:r>
          <w:rPr>
            <w:rStyle w:val="ad"/>
          </w:rPr>
          <w:t>10.1063/1.4749265</w:t>
        </w:r>
      </w:hyperlink>
      <w:r>
        <w:t>.</w:t>
      </w:r>
    </w:p>
    <w:p w14:paraId="3FACE225" w14:textId="77777777" w:rsidR="00EC2725" w:rsidRDefault="0003706E" w:rsidP="00961D80">
      <w:pPr>
        <w:pStyle w:val="a7"/>
        <w:jc w:val="both"/>
      </w:pPr>
      <w:bookmarkStart w:id="25" w:name="ref-takahisayamato2021"/>
      <w:bookmarkEnd w:id="24"/>
      <w:r>
        <w:t xml:space="preserve">(4) </w:t>
      </w:r>
      <w:r>
        <w:tab/>
        <w:t xml:space="preserve">Takahisa, Yamato; Olivier, LAPRÉVOTE; Wataru, SUGIURA; Tingting, WANG. </w:t>
      </w:r>
      <w:hyperlink r:id="rId17">
        <w:r>
          <w:rPr>
            <w:rStyle w:val="ad"/>
            <w:i/>
            <w:iCs/>
          </w:rPr>
          <w:t>CURP (CURrent Calculation for Proteins) V1.3</w:t>
        </w:r>
      </w:hyperlink>
      <w:r>
        <w:t>; 2021.</w:t>
      </w:r>
    </w:p>
    <w:p w14:paraId="666C7D08" w14:textId="77777777" w:rsidR="00EC2725" w:rsidRDefault="0003706E" w:rsidP="00961D80">
      <w:pPr>
        <w:pStyle w:val="a7"/>
        <w:jc w:val="both"/>
      </w:pPr>
      <w:bookmarkStart w:id="26" w:name="ref-d.a.case2019"/>
      <w:bookmarkEnd w:id="25"/>
      <w:r>
        <w:t xml:space="preserve">(5) </w:t>
      </w:r>
      <w:r>
        <w:tab/>
        <w:t xml:space="preserve">D.A. Case; I.Y. Ben-Shalom; S.R. Brozell; et al. </w:t>
      </w:r>
      <w:r>
        <w:rPr>
          <w:i/>
          <w:iCs/>
        </w:rPr>
        <w:t>AMBER 19</w:t>
      </w:r>
      <w:r>
        <w:t>; University of California, San Francisco, 2019.</w:t>
      </w:r>
    </w:p>
    <w:p w14:paraId="6B0582B5" w14:textId="77777777" w:rsidR="00EC2725" w:rsidRDefault="0003706E" w:rsidP="00961D80">
      <w:pPr>
        <w:pStyle w:val="a7"/>
        <w:jc w:val="both"/>
      </w:pPr>
      <w:bookmarkStart w:id="27" w:name="ref-mcknight1997"/>
      <w:bookmarkEnd w:id="26"/>
      <w:r>
        <w:t xml:space="preserve">(6) </w:t>
      </w:r>
      <w:r>
        <w:tab/>
        <w:t xml:space="preserve">McKnight, C. J.; Matsudaira, P. T.; Kim, P. S. NMR Structure of the 35-Residue Villin Headpiece Subdomain. </w:t>
      </w:r>
      <w:r>
        <w:rPr>
          <w:i/>
          <w:iCs/>
        </w:rPr>
        <w:t>Nat Struct Mol Biol</w:t>
      </w:r>
      <w:r>
        <w:t xml:space="preserve"> </w:t>
      </w:r>
      <w:r>
        <w:rPr>
          <w:b/>
          <w:bCs/>
        </w:rPr>
        <w:t>1997</w:t>
      </w:r>
      <w:r>
        <w:t xml:space="preserve">, </w:t>
      </w:r>
      <w:r>
        <w:rPr>
          <w:i/>
          <w:iCs/>
        </w:rPr>
        <w:t>4</w:t>
      </w:r>
      <w:r>
        <w:t xml:space="preserve"> (3), 180–184. https://doi.org/</w:t>
      </w:r>
      <w:hyperlink r:id="rId18">
        <w:r>
          <w:rPr>
            <w:rStyle w:val="ad"/>
          </w:rPr>
          <w:t>10.1038/nsb0397-180</w:t>
        </w:r>
      </w:hyperlink>
      <w:r>
        <w:t>.</w:t>
      </w:r>
    </w:p>
    <w:p w14:paraId="4D743BAF" w14:textId="77777777" w:rsidR="00EC2725" w:rsidRDefault="0003706E" w:rsidP="00961D80">
      <w:pPr>
        <w:pStyle w:val="a7"/>
        <w:jc w:val="both"/>
      </w:pPr>
      <w:bookmarkStart w:id="28" w:name="ref-tian2020"/>
      <w:bookmarkEnd w:id="27"/>
      <w:r>
        <w:t xml:space="preserve">(7) </w:t>
      </w:r>
      <w:r>
        <w:tab/>
        <w:t xml:space="preserve">Tian, C.; Kasavajhala, K.; Belfon, K. A. A.; Raguette, L.; Huang, H.; Migues, A. N.; Bickel, J.; Wang, Y.; Pincay, J.; Wu, Q.; Simmerling, C. ff19SB: Amino-Acid-Specific Protein Backbone Parameters Trained Against Quantum Mechanics Energy Surfaces in Solution. </w:t>
      </w:r>
      <w:r>
        <w:rPr>
          <w:i/>
          <w:iCs/>
        </w:rPr>
        <w:t>J. Chem. Theory Comput.</w:t>
      </w:r>
      <w:r>
        <w:t xml:space="preserve"> </w:t>
      </w:r>
      <w:r>
        <w:rPr>
          <w:b/>
          <w:bCs/>
        </w:rPr>
        <w:t>2020</w:t>
      </w:r>
      <w:r>
        <w:t xml:space="preserve">, </w:t>
      </w:r>
      <w:r>
        <w:rPr>
          <w:i/>
          <w:iCs/>
        </w:rPr>
        <w:t>16</w:t>
      </w:r>
      <w:r>
        <w:t xml:space="preserve"> (1), 528–552. https://doi.org/</w:t>
      </w:r>
      <w:hyperlink r:id="rId19">
        <w:r>
          <w:rPr>
            <w:rStyle w:val="ad"/>
          </w:rPr>
          <w:t>10.1021/acs.jctc.9b00591</w:t>
        </w:r>
      </w:hyperlink>
      <w:r>
        <w:t>.</w:t>
      </w:r>
    </w:p>
    <w:p w14:paraId="7F2291FF" w14:textId="77777777" w:rsidR="00EC2725" w:rsidRDefault="0003706E" w:rsidP="00961D80">
      <w:pPr>
        <w:pStyle w:val="a7"/>
        <w:jc w:val="both"/>
      </w:pPr>
      <w:bookmarkStart w:id="29" w:name="ref-duan2001"/>
      <w:bookmarkEnd w:id="28"/>
      <w:r>
        <w:t xml:space="preserve">(8) </w:t>
      </w:r>
      <w:r>
        <w:tab/>
        <w:t xml:space="preserve">Duan, Z.-H.; Krasny, R. An Adaptive Treecode for Computing Nonbonded Potential Energy in Classical Molecular Systems. </w:t>
      </w:r>
      <w:r>
        <w:rPr>
          <w:i/>
          <w:iCs/>
        </w:rPr>
        <w:t>J. Comput. Chem.</w:t>
      </w:r>
      <w:r>
        <w:t xml:space="preserve"> </w:t>
      </w:r>
      <w:r>
        <w:rPr>
          <w:b/>
          <w:bCs/>
        </w:rPr>
        <w:t>2001</w:t>
      </w:r>
      <w:r>
        <w:t xml:space="preserve">, </w:t>
      </w:r>
      <w:r>
        <w:rPr>
          <w:i/>
          <w:iCs/>
        </w:rPr>
        <w:t>22</w:t>
      </w:r>
      <w:r>
        <w:t xml:space="preserve"> (2), 184–195. https://doi.org/</w:t>
      </w:r>
      <w:hyperlink r:id="rId20">
        <w:r>
          <w:rPr>
            <w:rStyle w:val="ad"/>
          </w:rPr>
          <w:t>10.1002/1096-987X(20010130)22:2&lt;184::AID-JCC6&gt;3.0.CO;2-7</w:t>
        </w:r>
      </w:hyperlink>
      <w:r>
        <w:t>.</w:t>
      </w:r>
    </w:p>
    <w:p w14:paraId="6C47D347" w14:textId="77777777" w:rsidR="00EC2725" w:rsidRDefault="0003706E" w:rsidP="00961D80">
      <w:pPr>
        <w:pStyle w:val="a7"/>
        <w:jc w:val="both"/>
      </w:pPr>
      <w:bookmarkStart w:id="30" w:name="ref-salomon-ferrer2013"/>
      <w:bookmarkEnd w:id="29"/>
      <w:r>
        <w:lastRenderedPageBreak/>
        <w:t xml:space="preserve">(9) </w:t>
      </w:r>
      <w:r>
        <w:tab/>
        <w:t xml:space="preserve">Salomon-Ferrer, R.; Götz, A. W.; Poole, D.; Le Grand, S.; Walker, R. C. Routine Microsecond Molecular Dynamics Simulations with AMBER on GPUs. 2. Explicit Solvent Particle Mesh Ewald. </w:t>
      </w:r>
      <w:r>
        <w:rPr>
          <w:i/>
          <w:iCs/>
        </w:rPr>
        <w:t>J. Chem. Theory Comput.</w:t>
      </w:r>
      <w:r>
        <w:t xml:space="preserve"> </w:t>
      </w:r>
      <w:r>
        <w:rPr>
          <w:b/>
          <w:bCs/>
        </w:rPr>
        <w:t>2013</w:t>
      </w:r>
      <w:r>
        <w:t xml:space="preserve">, </w:t>
      </w:r>
      <w:r>
        <w:rPr>
          <w:i/>
          <w:iCs/>
        </w:rPr>
        <w:t>9</w:t>
      </w:r>
      <w:r>
        <w:t xml:space="preserve"> (9), 3878–3888. https://doi.org/</w:t>
      </w:r>
      <w:hyperlink r:id="rId21">
        <w:r>
          <w:rPr>
            <w:rStyle w:val="ad"/>
          </w:rPr>
          <w:t>10.1021/ct400314y</w:t>
        </w:r>
      </w:hyperlink>
      <w:r>
        <w:t>.</w:t>
      </w:r>
      <w:bookmarkEnd w:id="20"/>
      <w:bookmarkEnd w:id="22"/>
      <w:bookmarkEnd w:id="30"/>
    </w:p>
    <w:sectPr w:rsidR="00EC272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95036" w14:textId="77777777" w:rsidR="007003C8" w:rsidRDefault="007003C8">
      <w:pPr>
        <w:spacing w:after="0" w:line="240" w:lineRule="auto"/>
      </w:pPr>
      <w:r>
        <w:separator/>
      </w:r>
    </w:p>
  </w:endnote>
  <w:endnote w:type="continuationSeparator" w:id="0">
    <w:p w14:paraId="3987D442" w14:textId="77777777" w:rsidR="007003C8" w:rsidRDefault="00700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F2FBA" w14:textId="77777777" w:rsidR="007003C8" w:rsidRDefault="007003C8">
      <w:r>
        <w:separator/>
      </w:r>
    </w:p>
  </w:footnote>
  <w:footnote w:type="continuationSeparator" w:id="0">
    <w:p w14:paraId="44A574F0" w14:textId="77777777" w:rsidR="007003C8" w:rsidRDefault="007003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D542D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646355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2725"/>
    <w:rsid w:val="0003706E"/>
    <w:rsid w:val="00220E8B"/>
    <w:rsid w:val="002778D5"/>
    <w:rsid w:val="00290574"/>
    <w:rsid w:val="002A0E8E"/>
    <w:rsid w:val="00381AE0"/>
    <w:rsid w:val="00415418"/>
    <w:rsid w:val="0049412C"/>
    <w:rsid w:val="005846F9"/>
    <w:rsid w:val="005B1244"/>
    <w:rsid w:val="006F6132"/>
    <w:rsid w:val="007003C8"/>
    <w:rsid w:val="00892A94"/>
    <w:rsid w:val="00961D80"/>
    <w:rsid w:val="00A23594"/>
    <w:rsid w:val="00A96E61"/>
    <w:rsid w:val="00B345BA"/>
    <w:rsid w:val="00D42990"/>
    <w:rsid w:val="00EC2725"/>
    <w:rsid w:val="00EE7103"/>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F2B42"/>
  <w15:docId w15:val="{177433EB-AE9D-F04E-8BDB-FCF2B58D3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90574"/>
    <w:pPr>
      <w:spacing w:line="480" w:lineRule="auto"/>
    </w:pPr>
    <w:rPr>
      <w:rFonts w:ascii="Times New Roman" w:eastAsia="Times New Roman" w:hAnsi="Times New Roman" w:cs="Times New Roman"/>
    </w:rPr>
  </w:style>
  <w:style w:type="paragraph" w:styleId="1">
    <w:name w:val="heading 1"/>
    <w:basedOn w:val="a"/>
    <w:next w:val="a0"/>
    <w:uiPriority w:val="9"/>
    <w:qFormat/>
    <w:rsid w:val="00EE7103"/>
    <w:pPr>
      <w:keepNext/>
      <w:keepLines/>
      <w:spacing w:before="480" w:after="0"/>
      <w:outlineLvl w:val="0"/>
    </w:pPr>
    <w:rPr>
      <w:rFonts w:eastAsiaTheme="majorEastAsia" w:cstheme="majorBidi"/>
      <w:b/>
      <w:bCs/>
      <w:sz w:val="32"/>
      <w:szCs w:val="32"/>
    </w:rPr>
  </w:style>
  <w:style w:type="paragraph" w:styleId="2">
    <w:name w:val="heading 2"/>
    <w:basedOn w:val="a"/>
    <w:next w:val="a0"/>
    <w:uiPriority w:val="9"/>
    <w:unhideWhenUsed/>
    <w:qFormat/>
    <w:rsid w:val="00220E8B"/>
    <w:pPr>
      <w:keepNext/>
      <w:keepLines/>
      <w:spacing w:before="200" w:after="0"/>
      <w:outlineLvl w:val="1"/>
    </w:pPr>
    <w:rPr>
      <w:b/>
      <w:bCs/>
      <w:sz w:val="28"/>
      <w:szCs w:val="28"/>
    </w:rPr>
  </w:style>
  <w:style w:type="paragraph" w:styleId="3">
    <w:name w:val="heading 3"/>
    <w:basedOn w:val="a"/>
    <w:next w:val="a0"/>
    <w:uiPriority w:val="9"/>
    <w:unhideWhenUsed/>
    <w:qFormat/>
    <w:rsid w:val="00220E8B"/>
    <w:pPr>
      <w:keepNext/>
      <w:keepLines/>
      <w:spacing w:before="200" w:after="0"/>
      <w:outlineLvl w:val="2"/>
    </w:pPr>
    <w:rPr>
      <w:b/>
      <w:bCs/>
    </w:rPr>
  </w:style>
  <w:style w:type="paragraph" w:styleId="4">
    <w:name w:val="heading 4"/>
    <w:basedOn w:val="a"/>
    <w:next w:val="a0"/>
    <w:uiPriority w:val="9"/>
    <w:unhideWhenUsed/>
    <w:qFormat/>
    <w:rsid w:val="006F6132"/>
    <w:pPr>
      <w:keepNext/>
      <w:keepLines/>
      <w:spacing w:before="200" w:after="0"/>
      <w:outlineLvl w:val="3"/>
    </w:pPr>
    <w:rPr>
      <w:rFonts w:asciiTheme="majorHAnsi" w:eastAsiaTheme="majorEastAsia" w:hAnsiTheme="majorHAnsi" w:cstheme="majorBidi"/>
      <w:bCs/>
      <w:i/>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rsid w:val="00220E8B"/>
    <w:pPr>
      <w:keepNext/>
      <w:keepLines/>
      <w:spacing w:before="480" w:after="240"/>
    </w:pPr>
    <w:rPr>
      <w:rFonts w:cstheme="majorBidi"/>
      <w:b/>
      <w:bCs/>
      <w:sz w:val="36"/>
      <w:szCs w:val="36"/>
    </w:rPr>
  </w:style>
  <w:style w:type="paragraph" w:styleId="a5">
    <w:name w:val="Subtitle"/>
    <w:basedOn w:val="a4"/>
    <w:next w:val="a0"/>
    <w:qFormat/>
    <w:pPr>
      <w:spacing w:before="240"/>
      <w:jc w:val="center"/>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rsid w:val="006F6132"/>
    <w:pPr>
      <w:spacing w:before="240" w:line="259" w:lineRule="auto"/>
      <w:outlineLvl w:val="9"/>
    </w:pPr>
    <w:rPr>
      <w:b w:val="0"/>
      <w:bCs w:val="0"/>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38/nsb0397-180" TargetMode="External"/><Relationship Id="rId3" Type="http://schemas.openxmlformats.org/officeDocument/2006/relationships/styles" Target="styles.xml"/><Relationship Id="rId21" Type="http://schemas.openxmlformats.org/officeDocument/2006/relationships/hyperlink" Target="https://doi.org/10.1021/ct400314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urp.jp/" TargetMode="External"/><Relationship Id="rId2" Type="http://schemas.openxmlformats.org/officeDocument/2006/relationships/numbering" Target="numbering.xml"/><Relationship Id="rId16" Type="http://schemas.openxmlformats.org/officeDocument/2006/relationships/hyperlink" Target="https://doi.org/10.1063/1.4749265" TargetMode="External"/><Relationship Id="rId20" Type="http://schemas.openxmlformats.org/officeDocument/2006/relationships/hyperlink" Target="https://doi.org/10.1002/1096-987X(20010130)22:2%3c184::AID-JCC6%3e3.0.CO;2-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i.org/10.1021/acs.jpcb.2c00958"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1021/acs.jctc.9b005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C1DB4-C825-584F-92C3-2CC2EA9FB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15</Pages>
  <Words>2497</Words>
  <Characters>14239</Characters>
  <Application>Microsoft Office Word</Application>
  <DocSecurity>0</DocSecurity>
  <Lines>118</Lines>
  <Paragraphs>33</Paragraphs>
  <ScaleCrop>false</ScaleCrop>
  <Company/>
  <LinksUpToDate>false</LinksUpToDate>
  <CharactersWithSpaces>16703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Thermal Conductivity: cross correlation</dc:title>
  <dc:creator/>
  <cp:keywords/>
  <cp:lastModifiedBy>WANGTINGTING</cp:lastModifiedBy>
  <cp:revision>16</cp:revision>
  <dcterms:created xsi:type="dcterms:W3CDTF">2022-10-30T09:49:00Z</dcterms:created>
  <dcterms:modified xsi:type="dcterms:W3CDTF">2023-05-08T13:31:00Z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graphy">
    <vt:lpwstr>paper/bibliography2.bib</vt:lpwstr>
  </property>
  <property fmtid="{D5CDD505-2E9C-101B-9397-08002B2CF9AE}" pid="4" name="csl">
    <vt:lpwstr>paper/american-chemical-society.csl</vt:lpwstr>
  </property>
  <property fmtid="{D5CDD505-2E9C-101B-9397-08002B2CF9AE}" pid="5" name="fontsize">
    <vt:lpwstr>12pt</vt:lpwstr>
  </property>
  <property fmtid="{D5CDD505-2E9C-101B-9397-08002B2CF9AE}" pid="6" name="header-includes">
    <vt:lpwstr/>
  </property>
  <property fmtid="{D5CDD505-2E9C-101B-9397-08002B2CF9AE}" pid="7" name="link-citations">
    <vt:lpwstr>True</vt:lpwstr>
  </property>
  <property fmtid="{D5CDD505-2E9C-101B-9397-08002B2CF9AE}" pid="8" name="mainfont">
    <vt:lpwstr>Times New Roman</vt:lpwstr>
  </property>
  <property fmtid="{D5CDD505-2E9C-101B-9397-08002B2CF9AE}" pid="9" name="output">
    <vt:lpwstr/>
  </property>
  <property fmtid="{D5CDD505-2E9C-101B-9397-08002B2CF9AE}" pid="10" name="refcolor">
    <vt:lpwstr>blue</vt:lpwstr>
  </property>
  <property fmtid="{D5CDD505-2E9C-101B-9397-08002B2CF9AE}" pid="11" name="sansfont">
    <vt:lpwstr>Linux Biolinum O</vt:lpwstr>
  </property>
  <property fmtid="{D5CDD505-2E9C-101B-9397-08002B2CF9AE}" pid="12" name="spacing">
    <vt:lpwstr>double</vt:lpwstr>
  </property>
  <property fmtid="{D5CDD505-2E9C-101B-9397-08002B2CF9AE}" pid="13" name="urlcolor">
    <vt:lpwstr>blue</vt:lpwstr>
  </property>
  <property fmtid="{D5CDD505-2E9C-101B-9397-08002B2CF9AE}" pid="14" name="zotero">
    <vt:lpwstr/>
  </property>
</Properties>
</file>