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Noto Sans CJK KR"/>
          <w:b/>
          <w:color w:val="000000"/>
        </w:rPr>
        <w:t>K-NanoMFA v2.5.1</w:t>
      </w:r>
    </w:p>
    <w:p>
      <w:pPr>
        <w:pStyle w:val="Title"/>
        <w:jc w:val="center"/>
      </w:pPr>
      <w:r>
        <w:rPr>
          <w:rFonts w:ascii="Arial" w:hAnsi="Arial" w:eastAsia="Noto Sans CJK KR"/>
          <w:b/>
          <w:color w:val="000000"/>
        </w:rPr>
        <w:t>User Manual</w:t>
      </w:r>
    </w:p>
    <w:p>
      <w:pPr>
        <w:pStyle w:val="Subtitle"/>
        <w:jc w:val="center"/>
      </w:pPr>
      <w:r>
        <w:rPr>
          <w:rFonts w:ascii="Arial" w:hAnsi="Arial" w:eastAsia="Noto Sans CJK KR"/>
          <w:b w:val="0"/>
          <w:color w:val="000000"/>
        </w:rPr>
        <w:t>Material flow analysis and nanoform resolved environmental fate</w:t>
      </w:r>
    </w:p>
    <w:p>
      <w:pPr>
        <w:jc w:val="center"/>
      </w:pPr>
      <w:r>
        <w:rPr>
          <w:rFonts w:ascii="Arial" w:hAnsi="Arial" w:eastAsia="Noto Sans CJK KR"/>
          <w:b w:val="0"/>
          <w:color w:val="000000"/>
        </w:rPr>
        <w:t>Version 2.5.1-en</w:t>
      </w:r>
    </w:p>
    <w:p>
      <w:pPr>
        <w:pStyle w:val="ScreenNote"/>
        <w:jc w:val="center"/>
      </w:pPr>
      <w:r>
        <w:t>Includes verified Chromium interface screenshots</w:t>
      </w:r>
    </w:p>
    <w:p>
      <w:pPr>
        <w:jc w:val="center"/>
      </w:pPr>
      <w:r>
        <w:rPr>
          <w:rFonts w:ascii="Arial" w:hAnsi="Arial" w:eastAsia="Noto Sans CJK KR"/>
          <w:b w:val="0"/>
          <w:color w:val="000000"/>
        </w:rPr>
        <w:t>19 September 2026</w:t>
      </w:r>
    </w:p>
    <w:p>
      <w:pPr>
        <w:jc w:val="center"/>
      </w:pPr>
      <w:r>
        <w:rPr>
          <w:rFonts w:ascii="Arial" w:hAnsi="Arial" w:eastAsia="Noto Sans CJK KR"/>
          <w:b w:val="0"/>
          <w:color w:val="000000"/>
        </w:rPr>
        <w:t>Prof. Younghun Kim</w:t>
      </w:r>
    </w:p>
    <w:p>
      <w:pPr>
        <w:jc w:val="center"/>
      </w:pPr>
      <w:r>
        <w:rPr>
          <w:rFonts w:ascii="Arial" w:hAnsi="Arial" w:eastAsia="Noto Sans CJK KR"/>
          <w:b w:val="0"/>
          <w:color w:val="000000"/>
        </w:rPr>
        <w:t>Kwangwoon University</w:t>
      </w:r>
    </w:p>
    <w:p>
      <w:pPr>
        <w:jc w:val="center"/>
      </w:pPr>
      <w:r>
        <w:rPr>
          <w:rFonts w:ascii="Arial" w:hAnsi="Arial" w:eastAsia="Noto Sans CJK KR"/>
          <w:b w:val="0"/>
          <w:color w:val="000000"/>
        </w:rPr>
        <w:t>MIT License</w:t>
      </w:r>
    </w:p>
    <w:p>
      <w:r>
        <w:rPr>
          <w:rFonts w:ascii="Arial" w:hAnsi="Arial" w:eastAsia="Noto Sans CJK KR"/>
          <w:b w:val="0"/>
          <w:color w:val="000000"/>
        </w:rPr>
      </w:r>
    </w:p>
    <w:p>
      <w:r>
        <w:rPr>
          <w:rFonts w:ascii="Arial" w:hAnsi="Arial" w:eastAsia="Noto Sans CJK KR"/>
          <w:b w:val="0"/>
          <w:color w:val="000000"/>
        </w:rPr>
        <w:t>K-NanoMFA calculates material flows through the use, end-of-life, treatment and environmental stages of engineered nanomaterials. This manual describes the inputs, calculations, interpretation and reproducibility functions of v2.5.1. Define the material basis, geographic domain, time boundary and medium before interpreting a result.</w:t>
      </w:r>
    </w:p>
    <w:p>
      <w:r>
        <w:rPr>
          <w:rFonts w:ascii="Arial" w:hAnsi="Arial" w:eastAsia="Noto Sans CJK KR"/>
          <w:b w:val="0"/>
          <w:color w:val="000000"/>
        </w:rPr>
        <w:t>Bundled values are starting assumptions. A runnable default scenario is not a measured national market inventory or environmental concentration. Successful execution, mass-balance closure and agreement with observations are separate checks.</w:t>
      </w:r>
    </w:p>
    <w:p>
      <w:r>
        <w:rPr>
          <w:rFonts w:ascii="Arial" w:hAnsi="Arial" w:eastAsia="Noto Sans CJK KR"/>
          <w:b w:val="0"/>
          <w:color w:val="000000"/>
        </w:rPr>
        <w:t>Working sequence  Define scope → Review inputs → Calculate → Check balance and convergence → Compare observations → Archive results</w:t>
      </w:r>
    </w:p>
    <w:p>
      <w:r>
        <w:br w:type="page"/>
      </w:r>
    </w:p>
    <w:p>
      <w:pPr>
        <w:pStyle w:val="Heading1"/>
      </w:pPr>
      <w:r>
        <w:rPr>
          <w:rFonts w:ascii="Arial" w:hAnsi="Arial" w:eastAsia="Noto Sans CJK KR"/>
          <w:b/>
          <w:color w:val="000000"/>
        </w:rPr>
        <w:t>Contents</w:t>
      </w:r>
    </w:p>
    <w:p>
      <w:pPr>
        <w:spacing w:after="60" w:line="240" w:lineRule="auto"/>
      </w:pPr>
      <w:hyperlink w:anchor="chapter_36" w:history="1">
        <w:r>
          <w:rPr>
            <w:rFonts w:ascii="Arial" w:hAnsi="Arial" w:eastAsia="Noto Sans CJK KR"/>
            <w:b w:val="0"/>
            <w:color w:val="000000"/>
          </w:rPr>
          <w:t>1  Purpose and model scope</w:t>
        </w:r>
      </w:hyperlink>
    </w:p>
    <w:p>
      <w:pPr>
        <w:spacing w:after="60" w:line="240" w:lineRule="auto"/>
      </w:pPr>
      <w:hyperlink w:anchor="chapter_41" w:history="1">
        <w:r>
          <w:rPr>
            <w:rFonts w:ascii="Arial" w:hAnsi="Arial" w:eastAsia="Noto Sans CJK KR"/>
            <w:b w:val="0"/>
            <w:color w:val="000000"/>
          </w:rPr>
          <w:t>2  Installation and launch</w:t>
        </w:r>
      </w:hyperlink>
    </w:p>
    <w:p>
      <w:pPr>
        <w:spacing w:after="60" w:line="240" w:lineRule="auto"/>
      </w:pPr>
      <w:hyperlink w:anchor="chapter_47" w:history="1">
        <w:r>
          <w:rPr>
            <w:rFonts w:ascii="Arial" w:hAnsi="Arial" w:eastAsia="Noto Sans CJK KR"/>
            <w:b w:val="0"/>
            <w:color w:val="000000"/>
          </w:rPr>
          <w:t>3  Interface architecture</w:t>
        </w:r>
      </w:hyperlink>
    </w:p>
    <w:p>
      <w:pPr>
        <w:spacing w:after="60" w:line="240" w:lineRule="auto"/>
      </w:pPr>
      <w:hyperlink w:anchor="chapter_51" w:history="1">
        <w:r>
          <w:rPr>
            <w:rFonts w:ascii="Arial" w:hAnsi="Arial" w:eastAsia="Noto Sans CJK KR"/>
            <w:b w:val="0"/>
            <w:color w:val="000000"/>
          </w:rPr>
          <w:t>4  Workflows and readiness</w:t>
        </w:r>
      </w:hyperlink>
    </w:p>
    <w:p>
      <w:pPr>
        <w:spacing w:after="60" w:line="240" w:lineRule="auto"/>
      </w:pPr>
      <w:hyperlink w:anchor="chapter_56" w:history="1">
        <w:r>
          <w:rPr>
            <w:rFonts w:ascii="Arial" w:hAnsi="Arial" w:eastAsia="Noto Sans CJK KR"/>
            <w:b w:val="0"/>
            <w:color w:val="000000"/>
          </w:rPr>
          <w:t>5  Study setup</w:t>
        </w:r>
      </w:hyperlink>
    </w:p>
    <w:p>
      <w:pPr>
        <w:spacing w:after="60" w:line="240" w:lineRule="auto"/>
      </w:pPr>
      <w:hyperlink w:anchor="chapter_68" w:history="1">
        <w:r>
          <w:rPr>
            <w:rFonts w:ascii="Arial" w:hAnsi="Arial" w:eastAsia="Noto Sans CJK KR"/>
            <w:b w:val="0"/>
            <w:color w:val="000000"/>
          </w:rPr>
          <w:t>6  Product inventory and life cycle</w:t>
        </w:r>
      </w:hyperlink>
    </w:p>
    <w:p>
      <w:pPr>
        <w:spacing w:after="60" w:line="240" w:lineRule="auto"/>
      </w:pPr>
      <w:hyperlink w:anchor="chapter_75" w:history="1">
        <w:r>
          <w:rPr>
            <w:rFonts w:ascii="Arial" w:hAnsi="Arial" w:eastAsia="Noto Sans CJK KR"/>
            <w:b w:val="0"/>
            <w:color w:val="000000"/>
          </w:rPr>
          <w:t>7  Treatment and environmental capacities</w:t>
        </w:r>
      </w:hyperlink>
    </w:p>
    <w:p>
      <w:pPr>
        <w:spacing w:after="60" w:line="240" w:lineRule="auto"/>
      </w:pPr>
      <w:hyperlink w:anchor="chapter_81" w:history="1">
        <w:r>
          <w:rPr>
            <w:rFonts w:ascii="Arial" w:hAnsi="Arial" w:eastAsia="Noto Sans CJK KR"/>
            <w:b w:val="0"/>
            <w:color w:val="000000"/>
          </w:rPr>
          <w:t>8  Nanoforms and environmental fate</w:t>
        </w:r>
      </w:hyperlink>
    </w:p>
    <w:p>
      <w:pPr>
        <w:spacing w:after="60" w:line="240" w:lineRule="auto"/>
      </w:pPr>
      <w:hyperlink w:anchor="chapter_98" w:history="1">
        <w:r>
          <w:rPr>
            <w:rFonts w:ascii="Arial" w:hAnsi="Arial" w:eastAsia="Noto Sans CJK KR"/>
            <w:b w:val="0"/>
            <w:color w:val="000000"/>
          </w:rPr>
          <w:t>9  Evidence observations and uncertainty</w:t>
        </w:r>
      </w:hyperlink>
    </w:p>
    <w:p>
      <w:pPr>
        <w:spacing w:after="60" w:line="240" w:lineRule="auto"/>
      </w:pPr>
      <w:hyperlink w:anchor="chapter_120" w:history="1">
        <w:r>
          <w:rPr>
            <w:rFonts w:ascii="Arial" w:hAnsi="Arial" w:eastAsia="Noto Sans CJK KR"/>
            <w:b w:val="0"/>
            <w:color w:val="000000"/>
          </w:rPr>
          <w:t>10  Results interpretation and export</w:t>
        </w:r>
      </w:hyperlink>
    </w:p>
    <w:p>
      <w:pPr>
        <w:spacing w:after="60" w:line="240" w:lineRule="auto"/>
      </w:pPr>
      <w:hyperlink w:anchor="chapter_125" w:history="1">
        <w:r>
          <w:rPr>
            <w:rFonts w:ascii="Arial" w:hAnsi="Arial" w:eastAsia="Noto Sans CJK KR"/>
            <w:b w:val="0"/>
            <w:color w:val="000000"/>
          </w:rPr>
          <w:t>11  Mixtures and co exposure</w:t>
        </w:r>
      </w:hyperlink>
    </w:p>
    <w:p>
      <w:pPr>
        <w:spacing w:after="60" w:line="240" w:lineRule="auto"/>
      </w:pPr>
      <w:hyperlink w:anchor="chapter_131" w:history="1">
        <w:r>
          <w:rPr>
            <w:rFonts w:ascii="Arial" w:hAnsi="Arial" w:eastAsia="Noto Sans CJK KR"/>
            <w:b w:val="0"/>
            <w:color w:val="000000"/>
          </w:rPr>
          <w:t>12  Expert tools</w:t>
        </w:r>
      </w:hyperlink>
    </w:p>
    <w:p>
      <w:pPr>
        <w:spacing w:after="60" w:line="240" w:lineRule="auto"/>
      </w:pPr>
      <w:hyperlink w:anchor="chapter_136" w:history="1">
        <w:r>
          <w:rPr>
            <w:rFonts w:ascii="Arial" w:hAnsi="Arial" w:eastAsia="Noto Sans CJK KR"/>
            <w:b w:val="0"/>
            <w:color w:val="000000"/>
          </w:rPr>
          <w:t>13  Scenario files and compatibility</w:t>
        </w:r>
      </w:hyperlink>
    </w:p>
    <w:p>
      <w:pPr>
        <w:spacing w:after="60" w:line="240" w:lineRule="auto"/>
      </w:pPr>
      <w:hyperlink w:anchor="chapter_140" w:history="1">
        <w:r>
          <w:rPr>
            <w:rFonts w:ascii="Arial" w:hAnsi="Arial" w:eastAsia="Noto Sans CJK KR"/>
            <w:b w:val="0"/>
            <w:color w:val="000000"/>
          </w:rPr>
          <w:t>14  Quality assurance and reproducibility</w:t>
        </w:r>
      </w:hyperlink>
    </w:p>
    <w:p>
      <w:pPr>
        <w:spacing w:after="60" w:line="240" w:lineRule="auto"/>
      </w:pPr>
      <w:hyperlink w:anchor="chapter_146" w:history="1">
        <w:r>
          <w:rPr>
            <w:rFonts w:ascii="Arial" w:hAnsi="Arial" w:eastAsia="Noto Sans CJK KR"/>
            <w:b w:val="0"/>
            <w:color w:val="000000"/>
          </w:rPr>
          <w:t>15  Troubleshooting</w:t>
        </w:r>
      </w:hyperlink>
    </w:p>
    <w:p>
      <w:pPr>
        <w:spacing w:after="60" w:line="240" w:lineRule="auto"/>
      </w:pPr>
      <w:hyperlink w:anchor="chapter_151" w:history="1">
        <w:r>
          <w:rPr>
            <w:rFonts w:ascii="Arial" w:hAnsi="Arial" w:eastAsia="Noto Sans CJK KR"/>
            <w:b w:val="0"/>
            <w:color w:val="000000"/>
          </w:rPr>
          <w:t>16  Scientific interpretation boundaries</w:t>
        </w:r>
      </w:hyperlink>
    </w:p>
    <w:p>
      <w:pPr>
        <w:spacing w:after="60" w:line="240" w:lineRule="auto"/>
      </w:pPr>
      <w:hyperlink w:anchor="chapter_155" w:history="1">
        <w:r>
          <w:rPr>
            <w:rFonts w:ascii="Arial" w:hAnsi="Arial" w:eastAsia="Noto Sans CJK KR"/>
            <w:b w:val="0"/>
            <w:color w:val="000000"/>
          </w:rPr>
          <w:t>A  Feature directory</w:t>
        </w:r>
      </w:hyperlink>
    </w:p>
    <w:p>
      <w:pPr>
        <w:spacing w:after="60" w:line="240" w:lineRule="auto"/>
      </w:pPr>
      <w:hyperlink w:anchor="chapter_157" w:history="1">
        <w:r>
          <w:rPr>
            <w:rFonts w:ascii="Arial" w:hAnsi="Arial" w:eastAsia="Noto Sans CJK KR"/>
            <w:b w:val="0"/>
            <w:color w:val="000000"/>
          </w:rPr>
          <w:t>B  Units and tracking basis</w:t>
        </w:r>
      </w:hyperlink>
    </w:p>
    <w:p>
      <w:pPr>
        <w:spacing w:after="60" w:line="240" w:lineRule="auto"/>
      </w:pPr>
      <w:hyperlink w:anchor="chapter_160" w:history="1">
        <w:r>
          <w:rPr>
            <w:rFonts w:ascii="Arial" w:hAnsi="Arial" w:eastAsia="Noto Sans CJK KR"/>
            <w:b w:val="0"/>
            <w:color w:val="000000"/>
          </w:rPr>
          <w:t>C  Distribution files</w:t>
        </w:r>
      </w:hyperlink>
    </w:p>
    <w:p>
      <w:pPr>
        <w:spacing w:after="60" w:line="240" w:lineRule="auto"/>
      </w:pPr>
      <w:hyperlink w:anchor="chapter_162" w:history="1">
        <w:r>
          <w:rPr>
            <w:rFonts w:ascii="Arial" w:hAnsi="Arial" w:eastAsia="Noto Sans CJK KR"/>
            <w:b w:val="0"/>
            <w:color w:val="000000"/>
          </w:rPr>
          <w:t>D  MFA terms and output fields</w:t>
        </w:r>
      </w:hyperlink>
    </w:p>
    <w:p>
      <w:pPr>
        <w:spacing w:after="60" w:line="240" w:lineRule="auto"/>
      </w:pPr>
      <w:hyperlink w:anchor="chapter_165" w:history="1">
        <w:r>
          <w:rPr>
            <w:rFonts w:ascii="Arial" w:hAnsi="Arial" w:eastAsia="Noto Sans CJK KR"/>
            <w:b w:val="0"/>
            <w:color w:val="000000"/>
          </w:rPr>
          <w:t>E  Observation data columns</w:t>
        </w:r>
      </w:hyperlink>
    </w:p>
    <w:p>
      <w:r>
        <w:br w:type="page"/>
      </w:r>
    </w:p>
    <w:p>
      <w:bookmarkStart w:id="36" w:name="chapter_36"/>
      <w:pPr>
        <w:pStyle w:val="Heading1"/>
      </w:pPr>
      <w:r>
        <w:rPr>
          <w:rFonts w:ascii="Arial" w:hAnsi="Arial" w:eastAsia="Noto Sans CJK KR"/>
          <w:b/>
          <w:color w:val="000000"/>
        </w:rPr>
        <w:t>1  Purpose and model scope</w:t>
      </w:r>
      <w:bookmarkEnd w:id="36"/>
    </w:p>
    <w:p>
      <w:r>
        <w:rPr>
          <w:rFonts w:ascii="Arial" w:hAnsi="Arial" w:eastAsia="Noto Sans CJK KR"/>
          <w:b w:val="0"/>
          <w:color w:val="000000"/>
        </w:rPr>
        <w:t>K-NanoMFA calculates material flows through the use, end-of-life, treatment and environmental stages of engineered nanomaterials. This manual describes the inputs, calculations, interpretation and reproducibility functions of v2.5.1. Define the material basis, geographic domain, time boundary and medium before interpreting a result.</w:t>
      </w:r>
    </w:p>
    <w:p>
      <w:r>
        <w:rPr>
          <w:rFonts w:ascii="Arial" w:hAnsi="Arial" w:eastAsia="Noto Sans CJK KR"/>
          <w:b w:val="0"/>
          <w:color w:val="000000"/>
        </w:rPr>
        <w:t>Bundled values are starting assumptions. A runnable default scenario is not a measured national market inventory or environmental concentration. Successful execution, mass-balance closure and agreement with observations are separate checks.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Layer</w:t>
            </w:r>
          </w:p>
        </w:tc>
        <w:tc>
          <w:tcPr>
            <w:tcW w:type="dxa" w:w="7200"/>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Purpose</w:t>
            </w:r>
          </w:p>
        </w:tc>
      </w:tr>
      <w:tr>
        <w:trPr>
          <w:cantSplit/>
        </w:trPr>
        <w:tc>
          <w:tcPr>
            <w:tcW w:type="dxa" w:w="288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Base MFA</w:t>
            </w:r>
          </w:p>
        </w:tc>
        <w:tc>
          <w:tcPr>
            <w:tcW w:type="dxa" w:w="720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Product and treatment flows and stocks</w:t>
            </w:r>
          </w:p>
        </w:tc>
      </w:tr>
      <w:tr>
        <w:trPr>
          <w:cantSplit/>
        </w:trPr>
        <w:tc>
          <w:tcPr>
            <w:tcW w:type="dxa" w:w="288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Product inventory</w:t>
            </w:r>
          </w:p>
        </w:tc>
        <w:tc>
          <w:tcPr>
            <w:tcW w:type="dxa" w:w="720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Product quantities to nanomaterial inflow</w:t>
            </w:r>
          </w:p>
        </w:tc>
      </w:tr>
      <w:tr>
        <w:trPr>
          <w:cantSplit/>
        </w:trPr>
        <w:tc>
          <w:tcPr>
            <w:tcW w:type="dxa" w:w="288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Nanoform</w:t>
            </w:r>
          </w:p>
        </w:tc>
        <w:tc>
          <w:tcPr>
            <w:tcW w:type="dxa" w:w="720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Form allocation of released mass</w:t>
            </w:r>
          </w:p>
        </w:tc>
      </w:tr>
      <w:tr>
        <w:trPr>
          <w:cantSplit/>
        </w:trPr>
        <w:tc>
          <w:tcPr>
            <w:tcW w:type="dxa" w:w="288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Fate 28</w:t>
            </w:r>
          </w:p>
        </w:tc>
        <w:tc>
          <w:tcPr>
            <w:tcW w:type="dxa" w:w="720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Time evolution across four media and seven forms</w:t>
            </w:r>
          </w:p>
        </w:tc>
      </w:tr>
      <w:tr>
        <w:trPr>
          <w:cantSplit/>
        </w:trPr>
        <w:tc>
          <w:tcPr>
            <w:tcW w:type="dxa" w:w="288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Expert tools</w:t>
            </w:r>
          </w:p>
        </w:tc>
        <w:tc>
          <w:tcPr>
            <w:tcW w:type="dxa" w:w="720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Optional estimation and comparison functions</w:t>
            </w:r>
          </w:p>
        </w:tc>
      </w:tr>
    </w:tbl>
    <w:p>
      <w:r>
        <w:rPr>
          <w:rFonts w:ascii="Arial" w:hAnsi="Arial" w:eastAsia="Noto Sans CJK KR"/>
          <w:b w:val="0"/>
          <w:color w:val="000000"/>
        </w:rPr>
      </w:r>
    </w:p>
    <w:p>
      <w:pPr>
        <w:jc w:val="center"/>
      </w:pPr>
      <m:oMathPara>
        <m:oMath>
          <m:r>
            <m:t>Initial stock + cumulative inflow = final stock + cumulative external outflow</m:t>
          </m:r>
        </m:oMath>
      </m:oMathPara>
    </w:p>
    <w:p>
      <w:bookmarkStart w:id="41" w:name="chapter_41"/>
      <w:pPr>
        <w:pStyle w:val="Heading1"/>
      </w:pPr>
      <w:r>
        <w:rPr>
          <w:rFonts w:ascii="Arial" w:hAnsi="Arial" w:eastAsia="Noto Sans CJK KR"/>
          <w:b/>
          <w:color w:val="000000"/>
        </w:rPr>
        <w:t>2  Installation and launch</w:t>
      </w:r>
      <w:bookmarkEnd w:id="41"/>
    </w:p>
    <w:p>
      <w:r>
        <w:rPr>
          <w:rFonts w:ascii="Arial" w:hAnsi="Arial" w:eastAsia="Noto Sans CJK KR"/>
          <w:b w:val="0"/>
          <w:color w:val="000000"/>
        </w:rPr>
        <w:t>Extract the complete ZIP, then open index.html in Chrome or Edge. Keep the JavaScript, CSS and HTML files together. Moving only the HTML file prevents the calculation and chart files from loading. Normal operation requires neither Node.js nor Python. Calculations use bundled files; literature links require internet access.</w:t>
      </w:r>
    </w:p>
    <w:p>
      <w:r>
        <w:rPr>
          <w:rFonts w:ascii="Arial" w:hAnsi="Arial" w:eastAsia="Noto Sans CJK KR"/>
          <w:b w:val="0"/>
          <w:color w:val="000000"/>
        </w:rPr>
        <w:t>Select Compact, Standard or Large under Text size. Compact uses 14 px body text. Text size does not change results. The application interface remains in English when you open the Korean manual.</w:t>
      </w:r>
    </w:p>
    <w:p>
      <w:r>
        <w:rPr>
          <w:rFonts w:ascii="Arial" w:hAnsi="Arial" w:eastAsia="Noto Sans CJK KR"/>
          <w:b w:val="0"/>
          <w:color w:val="000000"/>
        </w:rPr>
        <w:t>Use Analysis navigator or Feature directory to locate a function. Select All workspaces under Interface view to expose the complete workspace navigation. On narrow screens, controls stack vertically. Wide tables scroll within their own containers. Focus a long input value and move the text cursor to inspect its full contents.</w:t>
      </w:r>
    </w:p>
    <w:p>
      <w:pPr>
        <w:pStyle w:val="Heading2"/>
      </w:pPr>
      <w:r>
        <w:rPr>
          <w:rFonts w:ascii="Arial" w:hAnsi="Arial" w:eastAsia="Noto Sans CJK KR"/>
          <w:b/>
          <w:color w:val="000000"/>
        </w:rPr>
        <w:t>Launch checks</w:t>
      </w:r>
    </w:p>
    <w:p>
      <w:r>
        <w:rPr>
          <w:rFonts w:ascii="Arial" w:hAnsi="Arial" w:eastAsia="Noto Sans CJK KR"/>
          <w:b w:val="0"/>
          <w:color w:val="000000"/>
        </w:rPr>
        <w:t>After extraction, open index.html and confirm that the displayed version is v2.5.1. Choose an example, run Calculate and check that results appear. Verify the selected material and units before saving.</w:t>
      </w:r>
    </w:p>
    <w:p>
      <w:bookmarkStart w:id="47" w:name="chapter_47"/>
      <w:pPr>
        <w:pStyle w:val="Heading1"/>
      </w:pPr>
      <w:r>
        <w:rPr>
          <w:rFonts w:ascii="Arial" w:hAnsi="Arial" w:eastAsia="Noto Sans CJK KR"/>
          <w:b/>
          <w:color w:val="000000"/>
        </w:rPr>
        <w:t>3  Interface architecture</w:t>
      </w:r>
      <w:bookmarkEnd w:id="47"/>
    </w:p>
    <w:p>
      <w:pPr>
        <w:pStyle w:val="ScreenNote"/>
      </w:pPr>
      <w:r>
        <w:rPr>
          <w:b/>
        </w:rPr>
        <w:t>Interface example</w:t>
      </w:r>
    </w:p>
    <w:p>
      <w:pPr>
        <w:spacing w:before="100" w:after="40"/>
        <w:jc w:val="center"/>
      </w:pPr>
      <w:r>
        <w:drawing>
          <wp:inline xmlns:a="http://schemas.openxmlformats.org/drawingml/2006/main" xmlns:pic="http://schemas.openxmlformats.org/drawingml/2006/picture">
            <wp:extent cx="6172200" cy="4200525"/>
            <wp:docPr id="1" name="Picture 1"/>
            <wp:cNvGraphicFramePr>
              <a:graphicFrameLocks noChangeAspect="1"/>
            </wp:cNvGraphicFramePr>
            <a:graphic>
              <a:graphicData uri="http://schemas.openxmlformats.org/drawingml/2006/picture">
                <pic:pic>
                  <pic:nvPicPr>
                    <pic:cNvPr id="0" name="01_overview_top.png"/>
                    <pic:cNvPicPr/>
                  </pic:nvPicPr>
                  <pic:blipFill>
                    <a:blip r:embed="rId10"/>
                    <a:stretch>
                      <a:fillRect/>
                    </a:stretch>
                  </pic:blipFill>
                  <pic:spPr>
                    <a:xfrm>
                      <a:off x="0" y="0"/>
                      <a:ext cx="6172200" cy="4200525"/>
                    </a:xfrm>
                    <a:prstGeom prst="rect"/>
                  </pic:spPr>
                </pic:pic>
              </a:graphicData>
            </a:graphic>
          </wp:inline>
        </w:drawing>
      </w:r>
    </w:p>
    <w:p>
      <w:pPr>
        <w:pStyle w:val="ScreenCaption"/>
        <w:jc w:val="center"/>
      </w:pPr>
      <w:r>
        <w:t>Figure 1. K-NanoMFA v2.5.1 rendered in Chromium. The interface uses a top action bar, an Analysis navigator on the left, and the active workspace in the main panel.</w:t>
      </w:r>
    </w:p>
    <w:p>
      <w:pPr>
        <w:spacing w:before="100" w:after="40"/>
        <w:jc w:val="center"/>
      </w:pPr>
      <w:r>
        <w:drawing>
          <wp:inline xmlns:a="http://schemas.openxmlformats.org/drawingml/2006/main" xmlns:pic="http://schemas.openxmlformats.org/drawingml/2006/picture">
            <wp:extent cx="6172200" cy="4200525"/>
            <wp:docPr id="2" name="Picture 2"/>
            <wp:cNvGraphicFramePr>
              <a:graphicFrameLocks noChangeAspect="1"/>
            </wp:cNvGraphicFramePr>
            <a:graphic>
              <a:graphicData uri="http://schemas.openxmlformats.org/drawingml/2006/picture">
                <pic:pic>
                  <pic:nvPicPr>
                    <pic:cNvPr id="0" name="15_feature_directory.png"/>
                    <pic:cNvPicPr/>
                  </pic:nvPicPr>
                  <pic:blipFill>
                    <a:blip r:embed="rId11"/>
                    <a:stretch>
                      <a:fillRect/>
                    </a:stretch>
                  </pic:blipFill>
                  <pic:spPr>
                    <a:xfrm>
                      <a:off x="0" y="0"/>
                      <a:ext cx="6172200" cy="4200525"/>
                    </a:xfrm>
                    <a:prstGeom prst="rect"/>
                  </pic:spPr>
                </pic:pic>
              </a:graphicData>
            </a:graphic>
          </wp:inline>
        </w:drawing>
      </w:r>
    </w:p>
    <w:p>
      <w:pPr>
        <w:pStyle w:val="ScreenCaption"/>
        <w:jc w:val="center"/>
      </w:pPr>
      <w:r>
        <w:t>Figure 2. Find a feature overlay. Search for a function and jump directly to the relevant workspace.</w:t>
      </w:r>
    </w:p>
    <w:p>
      <w:r>
        <w:rPr>
          <w:rFonts w:ascii="Arial" w:hAnsi="Arial" w:eastAsia="Noto Sans CJK KR"/>
          <w:b w:val="0"/>
          <w:color w:val="000000"/>
        </w:rPr>
        <w:t>Select a task in Analysis navigator. The same functions remain accessible in All workspaces. Navigation changes which tabs are shown; it does not change the numerical model.</w:t>
      </w:r>
    </w:p>
    <w:p>
      <w:r>
        <w:rPr>
          <w:rFonts w:ascii="Arial" w:hAnsi="Arial" w:eastAsia="Noto Sans CJK KR"/>
          <w:b w:val="0"/>
          <w:color w:val="000000"/>
        </w:rPr>
        <w:t>Search Feature directory by function name or pathway. Selecting a result opens the relevant workspace and input location. Its button sits below the navigator heading and description. Wide tables scroll within their own containers.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6768"/>
      </w:tblGrid>
      <w:tr>
        <w:trPr>
          <w:cantSplit/>
          <w:tblHeader/>
        </w:trPr>
        <w:tc>
          <w:tcPr>
            <w:tcW w:type="dxa" w:w="3312"/>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Task group</w:t>
            </w:r>
          </w:p>
        </w:tc>
        <w:tc>
          <w:tcPr>
            <w:tcW w:type="dxa" w:w="6768"/>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Main inputs and outputs</w:t>
            </w:r>
          </w:p>
        </w:tc>
      </w:tr>
      <w:tr>
        <w:trPr>
          <w:cantSplit/>
        </w:trPr>
        <w:tc>
          <w:tcPr>
            <w:tcW w:type="dxa" w:w="33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Study setup</w:t>
            </w:r>
          </w:p>
        </w:tc>
        <w:tc>
          <w:tcPr>
            <w:tcW w:type="dxa" w:w="67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Material, domain, horizon, mode</w:t>
            </w:r>
          </w:p>
        </w:tc>
      </w:tr>
      <w:tr>
        <w:trPr>
          <w:cantSplit/>
        </w:trPr>
        <w:tc>
          <w:tcPr>
            <w:tcW w:type="dxa" w:w="33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Product inventory</w:t>
            </w:r>
          </w:p>
        </w:tc>
        <w:tc>
          <w:tcPr>
            <w:tcW w:type="dxa" w:w="67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Product quantity, content, lifetime, EoL</w:t>
            </w:r>
          </w:p>
        </w:tc>
      </w:tr>
      <w:tr>
        <w:trPr>
          <w:cantSplit/>
        </w:trPr>
        <w:tc>
          <w:tcPr>
            <w:tcW w:type="dxa" w:w="33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Release &amp; fate</w:t>
            </w:r>
          </w:p>
        </w:tc>
        <w:tc>
          <w:tcPr>
            <w:tcW w:type="dxa" w:w="67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Treatment, capacities, forms, kinetics</w:t>
            </w:r>
          </w:p>
        </w:tc>
      </w:tr>
      <w:tr>
        <w:trPr>
          <w:cantSplit/>
        </w:trPr>
        <w:tc>
          <w:tcPr>
            <w:tcW w:type="dxa" w:w="33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Evidence &amp; uncertainty</w:t>
            </w:r>
          </w:p>
        </w:tc>
        <w:tc>
          <w:tcPr>
            <w:tcW w:type="dxa" w:w="67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Sources, observations, sensitivity, uncertainty</w:t>
            </w:r>
          </w:p>
        </w:tc>
      </w:tr>
      <w:tr>
        <w:trPr>
          <w:cantSplit/>
        </w:trPr>
        <w:tc>
          <w:tcPr>
            <w:tcW w:type="dxa" w:w="33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Results &amp; mixtures</w:t>
            </w:r>
          </w:p>
        </w:tc>
        <w:tc>
          <w:tcPr>
            <w:tcW w:type="dxa" w:w="67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Flows, stocks, PECs, mixtures</w:t>
            </w:r>
          </w:p>
        </w:tc>
      </w:tr>
      <w:tr>
        <w:trPr>
          <w:cantSplit/>
        </w:trPr>
        <w:tc>
          <w:tcPr>
            <w:tcW w:type="dxa" w:w="33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Expert tools</w:t>
            </w:r>
          </w:p>
        </w:tc>
        <w:tc>
          <w:tcPr>
            <w:tcW w:type="dxa" w:w="67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Trade, stock-driven inference, fitting, validation</w:t>
            </w:r>
          </w:p>
        </w:tc>
      </w:tr>
    </w:tbl>
    <w:p>
      <w:r>
        <w:rPr>
          <w:rFonts w:ascii="Arial" w:hAnsi="Arial" w:eastAsia="Noto Sans CJK KR"/>
          <w:b w:val="0"/>
          <w:color w:val="000000"/>
        </w:rPr>
      </w:r>
    </w:p>
    <w:p>
      <w:bookmarkStart w:id="51" w:name="chapter_51"/>
      <w:pPr>
        <w:pStyle w:val="Heading1"/>
      </w:pPr>
      <w:r>
        <w:rPr>
          <w:rFonts w:ascii="Arial" w:hAnsi="Arial" w:eastAsia="Noto Sans CJK KR"/>
          <w:b/>
          <w:color w:val="000000"/>
        </w:rPr>
        <w:t>4  Workflows and readiness</w:t>
      </w:r>
      <w:bookmarkEnd w:id="51"/>
    </w:p>
    <w:p>
      <w:pPr>
        <w:pStyle w:val="ScreenNote"/>
      </w:pPr>
      <w:r>
        <w:rPr>
          <w:b/>
        </w:rPr>
        <w:t>Interface example</w:t>
      </w:r>
    </w:p>
    <w:p>
      <w:pPr>
        <w:spacing w:before="100" w:after="40"/>
        <w:jc w:val="center"/>
      </w:pPr>
      <w:r>
        <w:drawing>
          <wp:inline xmlns:a="http://schemas.openxmlformats.org/drawingml/2006/main" xmlns:pic="http://schemas.openxmlformats.org/drawingml/2006/picture">
            <wp:extent cx="6172200" cy="4200525"/>
            <wp:docPr id="3" name="Picture 3"/>
            <wp:cNvGraphicFramePr>
              <a:graphicFrameLocks noChangeAspect="1"/>
            </wp:cNvGraphicFramePr>
            <a:graphic>
              <a:graphicData uri="http://schemas.openxmlformats.org/drawingml/2006/picture">
                <pic:pic>
                  <pic:nvPicPr>
                    <pic:cNvPr id="0" name="01_overview_top.png"/>
                    <pic:cNvPicPr/>
                  </pic:nvPicPr>
                  <pic:blipFill>
                    <a:blip r:embed="rId10"/>
                    <a:stretch>
                      <a:fillRect/>
                    </a:stretch>
                  </pic:blipFill>
                  <pic:spPr>
                    <a:xfrm>
                      <a:off x="0" y="0"/>
                      <a:ext cx="6172200" cy="4200525"/>
                    </a:xfrm>
                    <a:prstGeom prst="rect"/>
                  </pic:spPr>
                </pic:pic>
              </a:graphicData>
            </a:graphic>
          </wp:inline>
        </w:drawing>
      </w:r>
    </w:p>
    <w:p>
      <w:pPr>
        <w:pStyle w:val="ScreenCaption"/>
        <w:jc w:val="center"/>
      </w:pPr>
      <w:r>
        <w:t>Figure 3. Guided workflow organized around research tasks, from Study setup through Expert tools.</w:t>
      </w:r>
    </w:p>
    <w:p>
      <w:r>
        <w:rPr>
          <w:rFonts w:ascii="Arial" w:hAnsi="Arial" w:eastAsia="Noto Sans CJK KR"/>
          <w:b w:val="0"/>
          <w:color w:val="000000"/>
        </w:rPr>
        <w:t>Start assistant supplies starting examples. Save any current scenario using Export scenario Excel before replacing it. After choosing an example, review inflow, product fractions and environmental capacities, then run Calculate.</w:t>
      </w:r>
    </w:p>
    <w:p>
      <w:r>
        <w:rPr>
          <w:rFonts w:ascii="Arial" w:hAnsi="Arial" w:eastAsia="Noto Sans CJK KR"/>
          <w:b w:val="0"/>
          <w:color w:val="000000"/>
        </w:rPr>
        <w:t>Review inputs links issues to their input locations. Ready means no blocking structural input error was detected. It does not certify empirical validity. Activate optional modules only when the research question and evidence support them.</w:t>
      </w:r>
    </w:p>
    <w:p>
      <w:r>
        <w:rPr>
          <w:rFonts w:ascii="Arial" w:hAnsi="Arial" w:eastAsia="Noto Sans CJK KR"/>
          <w:b w:val="0"/>
          <w:color w:val="000000"/>
        </w:rPr>
        <w:t>Autosave history restores scenarios from the current browser and device. Check the timestamp, material, domain and mode before restoring. Recalculate with the restored inputs. Browser storage is not a durable project archive.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632"/>
      </w:tblGrid>
      <w:tr>
        <w:trPr>
          <w:cantSplit/>
          <w:tblHeader/>
        </w:trPr>
        <w:tc>
          <w:tcPr>
            <w:tcW w:type="dxa" w:w="2448"/>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Status</w:t>
            </w:r>
          </w:p>
        </w:tc>
        <w:tc>
          <w:tcPr>
            <w:tcW w:type="dxa" w:w="7632"/>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Meaning</w:t>
            </w:r>
          </w:p>
        </w:tc>
      </w:tr>
      <w:tr>
        <w:trPr>
          <w:cantSplit/>
        </w:trPr>
        <w:tc>
          <w:tcPr>
            <w:tcW w:type="dxa" w:w="244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Ready</w:t>
            </w:r>
          </w:p>
        </w:tc>
        <w:tc>
          <w:tcPr>
            <w:tcW w:type="dxa" w:w="763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No blocking structural input error</w:t>
            </w:r>
          </w:p>
        </w:tc>
      </w:tr>
      <w:tr>
        <w:trPr>
          <w:cantSplit/>
        </w:trPr>
        <w:tc>
          <w:tcPr>
            <w:tcW w:type="dxa" w:w="244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Attention</w:t>
            </w:r>
          </w:p>
        </w:tc>
        <w:tc>
          <w:tcPr>
            <w:tcW w:type="dxa" w:w="763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Input or documentation review needed</w:t>
            </w:r>
          </w:p>
        </w:tc>
      </w:tr>
      <w:tr>
        <w:trPr>
          <w:cantSplit/>
        </w:trPr>
        <w:tc>
          <w:tcPr>
            <w:tcW w:type="dxa" w:w="244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Calculated</w:t>
            </w:r>
          </w:p>
        </w:tc>
        <w:tc>
          <w:tcPr>
            <w:tcW w:type="dxa" w:w="763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A current result is available</w:t>
            </w:r>
          </w:p>
        </w:tc>
      </w:tr>
      <w:tr>
        <w:trPr>
          <w:cantSplit/>
        </w:trPr>
        <w:tc>
          <w:tcPr>
            <w:tcW w:type="dxa" w:w="244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Run required</w:t>
            </w:r>
          </w:p>
        </w:tc>
        <w:tc>
          <w:tcPr>
            <w:tcW w:type="dxa" w:w="763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Run the calculation after input review</w:t>
            </w:r>
          </w:p>
        </w:tc>
      </w:tr>
      <w:tr>
        <w:trPr>
          <w:cantSplit/>
        </w:trPr>
        <w:tc>
          <w:tcPr>
            <w:tcW w:type="dxa" w:w="244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Optional</w:t>
            </w:r>
          </w:p>
        </w:tc>
        <w:tc>
          <w:tcPr>
            <w:tcW w:type="dxa" w:w="763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Optional for the selected analysis</w:t>
            </w:r>
          </w:p>
        </w:tc>
      </w:tr>
    </w:tbl>
    <w:p>
      <w:r>
        <w:rPr>
          <w:rFonts w:ascii="Arial" w:hAnsi="Arial" w:eastAsia="Noto Sans CJK KR"/>
          <w:b w:val="0"/>
          <w:color w:val="000000"/>
        </w:rPr>
      </w:r>
    </w:p>
    <w:p>
      <w:bookmarkStart w:id="56" w:name="chapter_56"/>
      <w:pPr>
        <w:pStyle w:val="Heading1"/>
      </w:pPr>
      <w:r>
        <w:rPr>
          <w:rFonts w:ascii="Arial" w:hAnsi="Arial" w:eastAsia="Noto Sans CJK KR"/>
          <w:b/>
          <w:color w:val="000000"/>
        </w:rPr>
        <w:t>5  Study setup</w:t>
      </w:r>
      <w:bookmarkEnd w:id="56"/>
    </w:p>
    <w:p>
      <w:pPr>
        <w:pStyle w:val="ScreenNote"/>
      </w:pPr>
      <w:r>
        <w:rPr>
          <w:b/>
        </w:rPr>
        <w:t>Interface example</w:t>
      </w:r>
    </w:p>
    <w:p>
      <w:pPr>
        <w:spacing w:before="100" w:after="40"/>
        <w:jc w:val="center"/>
      </w:pPr>
      <w:r>
        <w:drawing>
          <wp:inline xmlns:a="http://schemas.openxmlformats.org/drawingml/2006/main" xmlns:pic="http://schemas.openxmlformats.org/drawingml/2006/picture">
            <wp:extent cx="6172200" cy="4200525"/>
            <wp:docPr id="4" name="Picture 4"/>
            <wp:cNvGraphicFramePr>
              <a:graphicFrameLocks noChangeAspect="1"/>
            </wp:cNvGraphicFramePr>
            <a:graphic>
              <a:graphicData uri="http://schemas.openxmlformats.org/drawingml/2006/picture">
                <pic:pic>
                  <pic:nvPicPr>
                    <pic:cNvPr id="0" name="01_overview_top.png"/>
                    <pic:cNvPicPr/>
                  </pic:nvPicPr>
                  <pic:blipFill>
                    <a:blip r:embed="rId10"/>
                    <a:stretch>
                      <a:fillRect/>
                    </a:stretch>
                  </pic:blipFill>
                  <pic:spPr>
                    <a:xfrm>
                      <a:off x="0" y="0"/>
                      <a:ext cx="6172200" cy="4200525"/>
                    </a:xfrm>
                    <a:prstGeom prst="rect"/>
                  </pic:spPr>
                </pic:pic>
              </a:graphicData>
            </a:graphic>
          </wp:inline>
        </w:drawing>
      </w:r>
    </w:p>
    <w:p>
      <w:pPr>
        <w:pStyle w:val="ScreenCaption"/>
        <w:jc w:val="center"/>
      </w:pPr>
      <w:r>
        <w:t>Figure 4. Model-structure selection. Choose static deterministic, static probabilistic, or dynamic probabilistic MFA according to the study design.</w:t>
      </w:r>
    </w:p>
    <w:p>
      <w:r>
        <w:rPr>
          <w:rFonts w:ascii="Arial" w:hAnsi="Arial" w:eastAsia="Noto Sans CJK KR"/>
          <w:b w:val="0"/>
          <w:color w:val="000000"/>
        </w:rPr>
        <w:t>1. In Project settings, choose the material, country/domain, reference year and Model mode.</w:t>
      </w:r>
    </w:p>
    <w:p>
      <w:r>
        <w:rPr>
          <w:rFonts w:ascii="Arial" w:hAnsi="Arial" w:eastAsia="Noto Sans CJK KR"/>
          <w:b w:val="0"/>
          <w:color w:val="000000"/>
        </w:rPr>
        <w:t>2. Check the inflow unit and time boundary. A trial input of 1,000 kg is a scenario assumption unless supported by market data.</w:t>
      </w:r>
    </w:p>
    <w:p>
      <w:r>
        <w:rPr>
          <w:rFonts w:ascii="Arial" w:hAnsi="Arial" w:eastAsia="Noto Sans CJK KR"/>
          <w:b w:val="0"/>
          <w:color w:val="000000"/>
        </w:rPr>
        <w:t>3. Review product allocation, use-stage releases, treatment processes and end-of-life fractions. Resolve percentage-sum errors before calculation.</w:t>
      </w:r>
    </w:p>
    <w:p>
      <w:r>
        <w:rPr>
          <w:rFonts w:ascii="Arial" w:hAnsi="Arial" w:eastAsia="Noto Sans CJK KR"/>
          <w:b w:val="0"/>
          <w:color w:val="000000"/>
        </w:rPr>
        <w:t>4. Review water discharge, receiving area, mixing depth and density. Administrative area is not automatically the actual receiving area.</w:t>
      </w:r>
    </w:p>
    <w:p>
      <w:r>
        <w:rPr>
          <w:rFonts w:ascii="Arial" w:hAnsi="Arial" w:eastAsia="Noto Sans CJK KR"/>
          <w:b w:val="0"/>
          <w:color w:val="000000"/>
        </w:rPr>
        <w:t>5. Run Calculate. Read the mass balance, warnings and units before interpreting concentrations.</w:t>
      </w:r>
    </w:p>
    <w:p>
      <w:r>
        <w:rPr>
          <w:rFonts w:ascii="Arial" w:hAnsi="Arial" w:eastAsia="Noto Sans CJK KR"/>
          <w:b w:val="0"/>
          <w:color w:val="000000"/>
        </w:rPr>
        <w:t>6. If required, enable Nanoform and 28-state fate, then calculate again.</w:t>
      </w:r>
    </w:p>
    <w:p>
      <w:r>
        <w:rPr>
          <w:rFonts w:ascii="Arial" w:hAnsi="Arial" w:eastAsia="Noto Sans CJK KR"/>
          <w:b w:val="0"/>
          <w:color w:val="000000"/>
        </w:rPr>
        <w:t>A successful example run does not establish that its inputs are suitable for your study. Distinguish measured inputs from retained assumptions.</w:t>
      </w:r>
    </w:p>
    <w:p>
      <w:r>
        <w:rPr>
          <w:rFonts w:ascii="Arial" w:hAnsi="Arial" w:eastAsia="Noto Sans CJK KR"/>
          <w:b w:val="0"/>
          <w:color w:val="000000"/>
        </w:rPr>
        <w:t>Static MFA allocates flows for the selected period. Dynamic MFA tracks annual inflow, product lifetimes and stocks. Probabilistic calculations repeatedly sample the specified input distributions.</w:t>
      </w:r>
    </w:p>
    <w:p>
      <w:r>
        <w:rPr>
          <w:rFonts w:ascii="Arial" w:hAnsi="Arial" w:eastAsia="Noto Sans CJK KR"/>
          <w:b w:val="0"/>
          <w:color w:val="000000"/>
        </w:rPr>
        <w:t>Base MFA PECs, reduced four-compartment fate PECs and 28-state fate PECs are outputs of different models. Identify the model when reporting a concentration.</w:t>
      </w:r>
    </w:p>
    <w:p>
      <w:r>
        <w:rPr>
          <w:rFonts w:ascii="Arial" w:hAnsi="Arial" w:eastAsia="Noto Sans CJK KR"/>
          <w:b w:val="0"/>
          <w:color w:val="000000"/>
        </w:rPr>
        <w:t>The system balance is initial stock + cumulative inflow = final stock + cumulative external outflow. Do not add internal transfers again as external losses. A 100% balance demonstrates accounting closure, not agreement with measured environmental concentrations.</w:t>
      </w:r>
    </w:p>
    <w:p>
      <w:r>
        <w:rPr>
          <w:rFonts w:ascii="Arial" w:hAnsi="Arial" w:eastAsia="Noto Sans CJK KR"/>
          <w:b w:val="0"/>
          <w:color w:val="000000"/>
        </w:rPr>
        <w:t>Steady-state fate checks stock changes and flow residuals for every state. Sustained input into a state with no external removal path prevents steady state. Increasing the iteration horizon alone cannot resolve that condition.</w:t>
      </w:r>
    </w:p>
    <w:p>
      <w:bookmarkStart w:id="68" w:name="chapter_68"/>
      <w:pPr>
        <w:pStyle w:val="Heading1"/>
      </w:pPr>
      <w:r>
        <w:rPr>
          <w:rFonts w:ascii="Arial" w:hAnsi="Arial" w:eastAsia="Noto Sans CJK KR"/>
          <w:b/>
          <w:color w:val="000000"/>
        </w:rPr>
        <w:t>6  Product inventory and life cycle</w:t>
      </w:r>
      <w:bookmarkEnd w:id="68"/>
    </w:p>
    <w:p>
      <w:pPr>
        <w:pStyle w:val="ScreenNote"/>
      </w:pPr>
      <w:r>
        <w:rPr>
          <w:b/>
        </w:rPr>
        <w:t>Interface example</w:t>
      </w:r>
    </w:p>
    <w:p>
      <w:pPr>
        <w:spacing w:before="100" w:after="40"/>
        <w:jc w:val="center"/>
      </w:pPr>
      <w:r>
        <w:drawing>
          <wp:inline xmlns:a="http://schemas.openxmlformats.org/drawingml/2006/main" xmlns:pic="http://schemas.openxmlformats.org/drawingml/2006/picture">
            <wp:extent cx="6172200" cy="4200525"/>
            <wp:docPr id="5" name="Picture 5"/>
            <wp:cNvGraphicFramePr>
              <a:graphicFrameLocks noChangeAspect="1"/>
            </wp:cNvGraphicFramePr>
            <a:graphic>
              <a:graphicData uri="http://schemas.openxmlformats.org/drawingml/2006/picture">
                <pic:pic>
                  <pic:nvPicPr>
                    <pic:cNvPr id="0" name="04_product_inventory.png"/>
                    <pic:cNvPicPr/>
                  </pic:nvPicPr>
                  <pic:blipFill>
                    <a:blip r:embed="rId12"/>
                    <a:stretch>
                      <a:fillRect/>
                    </a:stretch>
                  </pic:blipFill>
                  <pic:spPr>
                    <a:xfrm>
                      <a:off x="0" y="0"/>
                      <a:ext cx="6172200" cy="4200525"/>
                    </a:xfrm>
                    <a:prstGeom prst="rect"/>
                  </pic:spPr>
                </pic:pic>
              </a:graphicData>
            </a:graphic>
          </wp:inline>
        </w:drawing>
      </w:r>
    </w:p>
    <w:p>
      <w:pPr>
        <w:pStyle w:val="ScreenCaption"/>
        <w:jc w:val="center"/>
      </w:pPr>
      <w:r>
        <w:t>Figure 5. Product inventory workspace for product mass, nanomaterial content, allocation, lifetime, and use-stage release inputs.</w:t>
      </w:r>
    </w:p>
    <w:p>
      <w:r>
        <w:rPr>
          <w:rFonts w:ascii="Arial" w:hAnsi="Arial" w:eastAsia="Noto Sans CJK KR"/>
          <w:b w:val="0"/>
          <w:color w:val="000000"/>
        </w:rPr>
        <w:t>Product-informed inflow converts product-market quantities into nanomaterial inflow. For each row, verify the input basis, quantity, conversion factor, nanomaterial content and nano-enabled share. The same number has different physical meanings under different input bases.</w:t>
      </w:r>
    </w:p>
    <w:p>
      <w:r>
        <w:rPr>
          <w:rFonts w:ascii="Arial" w:hAnsi="Arial" w:eastAsia="Noto Sans CJK KR"/>
          <w:b w:val="0"/>
          <w:color w:val="000000"/>
        </w:rPr>
        <w:t>Area loading uses g/m² and therefore includes division by 1,000 to obtain kg. Volume concentration uses kg/m³. These two bases already describe nanomaterial loading or concentration; the content fraction is not multiplied a second time.</w:t>
      </w:r>
    </w:p>
    <w:p>
      <w:r>
        <w:rPr>
          <w:rFonts w:ascii="Arial" w:hAnsi="Arial" w:eastAsia="Noto Sans CJK KR"/>
          <w:b w:val="0"/>
          <w:color w:val="000000"/>
        </w:rPr>
        <w:t>For example, 10,000 kg/year of product, 1 wt% nanomaterial content and a 50% nano-enabled share give 50 kg/year of nanomaterial. This hypothetical example checks units; it is not a measured market quantity.</w:t>
      </w:r>
    </w:p>
    <w:p>
      <w:r>
        <w:rPr>
          <w:rFonts w:ascii="Arial" w:hAnsi="Arial" w:eastAsia="Noto Sans CJK KR"/>
          <w:b w:val="0"/>
          <w:color w:val="000000"/>
        </w:rPr>
        <w:t>In dynamic mode, review annual changes in product quantity, content and nano-enabled share. Lifetimes determine when products reach end-of-life. Inspect use-stage releases and end-of-life flows separately, then check the resulting stock changes.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Input basis</w:t>
            </w:r>
          </w:p>
        </w:tc>
        <w:tc>
          <w:tcPr>
            <w:tcW w:type="dxa" w:w="7200"/>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Conversion and input units</w:t>
            </w:r>
          </w:p>
        </w:tc>
      </w:tr>
      <w:tr>
        <w:trPr>
          <w:cantSplit/>
        </w:trPr>
        <w:tc>
          <w:tcPr>
            <w:tcW w:type="dxa" w:w="288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Direct nanomaterial</w:t>
            </w:r>
          </w:p>
        </w:tc>
        <w:tc>
          <w:tcPr>
            <w:tcW w:type="dxa" w:w="720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Q  [kg/year]</w:t>
            </w:r>
          </w:p>
        </w:tc>
      </w:tr>
      <w:tr>
        <w:trPr>
          <w:cantSplit/>
        </w:trPr>
        <w:tc>
          <w:tcPr>
            <w:tcW w:type="dxa" w:w="288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Product mass</w:t>
            </w:r>
          </w:p>
        </w:tc>
        <w:tc>
          <w:tcPr>
            <w:tcW w:type="dxa" w:w="720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Q [kg/year] × content/100 × nano-enabled/100</w:t>
            </w:r>
          </w:p>
        </w:tc>
      </w:tr>
      <w:tr>
        <w:trPr>
          <w:cantSplit/>
        </w:trPr>
        <w:tc>
          <w:tcPr>
            <w:tcW w:type="dxa" w:w="288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Unit sales</w:t>
            </w:r>
          </w:p>
        </w:tc>
        <w:tc>
          <w:tcPr>
            <w:tcW w:type="dxa" w:w="720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Q [items/year] × mass [kg/item] × content/100 × nano-enabled/100</w:t>
            </w:r>
          </w:p>
        </w:tc>
      </w:tr>
      <w:tr>
        <w:trPr>
          <w:cantSplit/>
        </w:trPr>
        <w:tc>
          <w:tcPr>
            <w:tcW w:type="dxa" w:w="288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Area loading</w:t>
            </w:r>
          </w:p>
        </w:tc>
        <w:tc>
          <w:tcPr>
            <w:tcW w:type="dxa" w:w="720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Q [m²/year] × loading [g/m²] ÷ 1000 × nano-enabled/100</w:t>
            </w:r>
          </w:p>
        </w:tc>
      </w:tr>
      <w:tr>
        <w:trPr>
          <w:cantSplit/>
        </w:trPr>
        <w:tc>
          <w:tcPr>
            <w:tcW w:type="dxa" w:w="288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Volume concentration</w:t>
            </w:r>
          </w:p>
        </w:tc>
        <w:tc>
          <w:tcPr>
            <w:tcW w:type="dxa" w:w="720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Q [m³/year] × concentration [kg/m³] × nano-enabled/100</w:t>
            </w:r>
          </w:p>
        </w:tc>
      </w:tr>
    </w:tbl>
    <w:p>
      <w:r>
        <w:rPr>
          <w:rFonts w:ascii="Arial" w:hAnsi="Arial" w:eastAsia="Noto Sans CJK KR"/>
          <w:b w:val="0"/>
          <w:color w:val="000000"/>
        </w:rPr>
      </w:r>
    </w:p>
    <w:p>
      <w:pPr>
        <w:jc w:val="center"/>
      </w:pPr>
      <m:oMathPara>
        <m:oMath>
          <m:r>
            <m:t>10 000 kg/year × 0.01 × 0.50 = 50 kg/year</m:t>
          </m:r>
        </m:oMath>
      </m:oMathPara>
    </w:p>
    <w:p>
      <w:bookmarkStart w:id="75" w:name="chapter_75"/>
      <w:pPr>
        <w:pStyle w:val="Heading1"/>
      </w:pPr>
      <w:r>
        <w:rPr>
          <w:rFonts w:ascii="Arial" w:hAnsi="Arial" w:eastAsia="Noto Sans CJK KR"/>
          <w:b/>
          <w:color w:val="000000"/>
        </w:rPr>
        <w:t>7  Treatment and environmental capacities</w:t>
      </w:r>
      <w:bookmarkEnd w:id="75"/>
    </w:p>
    <w:p>
      <w:pPr>
        <w:pStyle w:val="ScreenNote"/>
      </w:pPr>
      <w:r>
        <w:rPr>
          <w:b/>
        </w:rPr>
        <w:t>Interface example</w:t>
      </w:r>
    </w:p>
    <w:p>
      <w:pPr>
        <w:spacing w:before="100" w:after="40"/>
        <w:jc w:val="center"/>
      </w:pPr>
      <w:r>
        <w:drawing>
          <wp:inline xmlns:a="http://schemas.openxmlformats.org/drawingml/2006/main" xmlns:pic="http://schemas.openxmlformats.org/drawingml/2006/picture">
            <wp:extent cx="6172200" cy="4200525"/>
            <wp:docPr id="6" name="Picture 6"/>
            <wp:cNvGraphicFramePr>
              <a:graphicFrameLocks noChangeAspect="1"/>
            </wp:cNvGraphicFramePr>
            <a:graphic>
              <a:graphicData uri="http://schemas.openxmlformats.org/drawingml/2006/picture">
                <pic:pic>
                  <pic:nvPicPr>
                    <pic:cNvPr id="0" name="05_treatment_eol.png"/>
                    <pic:cNvPicPr/>
                  </pic:nvPicPr>
                  <pic:blipFill>
                    <a:blip r:embed="rId13"/>
                    <a:stretch>
                      <a:fillRect/>
                    </a:stretch>
                  </pic:blipFill>
                  <pic:spPr>
                    <a:xfrm>
                      <a:off x="0" y="0"/>
                      <a:ext cx="6172200" cy="4200525"/>
                    </a:xfrm>
                    <a:prstGeom prst="rect"/>
                  </pic:spPr>
                </pic:pic>
              </a:graphicData>
            </a:graphic>
          </wp:inline>
        </w:drawing>
      </w:r>
    </w:p>
    <w:p>
      <w:pPr>
        <w:pStyle w:val="ScreenCaption"/>
        <w:jc w:val="center"/>
      </w:pPr>
      <w:r>
        <w:t>Figure 6. Treatment &amp; EoL workspace for waste, wastewater, and sludge transfer settings.</w:t>
      </w:r>
    </w:p>
    <w:p>
      <w:pPr>
        <w:spacing w:before="100" w:after="40"/>
        <w:jc w:val="center"/>
      </w:pPr>
      <w:r>
        <w:drawing>
          <wp:inline xmlns:a="http://schemas.openxmlformats.org/drawingml/2006/main" xmlns:pic="http://schemas.openxmlformats.org/drawingml/2006/picture">
            <wp:extent cx="6172200" cy="4200525"/>
            <wp:docPr id="7" name="Picture 7"/>
            <wp:cNvGraphicFramePr>
              <a:graphicFrameLocks noChangeAspect="1"/>
            </wp:cNvGraphicFramePr>
            <a:graphic>
              <a:graphicData uri="http://schemas.openxmlformats.org/drawingml/2006/picture">
                <pic:pic>
                  <pic:nvPicPr>
                    <pic:cNvPr id="0" name="06_geography_pec.png"/>
                    <pic:cNvPicPr/>
                  </pic:nvPicPr>
                  <pic:blipFill>
                    <a:blip r:embed="rId14"/>
                    <a:stretch>
                      <a:fillRect/>
                    </a:stretch>
                  </pic:blipFill>
                  <pic:spPr>
                    <a:xfrm>
                      <a:off x="0" y="0"/>
                      <a:ext cx="6172200" cy="4200525"/>
                    </a:xfrm>
                    <a:prstGeom prst="rect"/>
                  </pic:spPr>
                </pic:pic>
              </a:graphicData>
            </a:graphic>
          </wp:inline>
        </w:drawing>
      </w:r>
    </w:p>
    <w:p>
      <w:pPr>
        <w:pStyle w:val="ScreenCaption"/>
        <w:jc w:val="center"/>
      </w:pPr>
      <w:r>
        <w:t>Figure 7. Geography &amp; PEC workspace for regional data and environmental capacities used in PEC calculations.</w:t>
      </w:r>
    </w:p>
    <w:p>
      <w:r>
        <w:rPr>
          <w:rFonts w:ascii="Arial" w:hAnsi="Arial" w:eastAsia="Noto Sans CJK KR"/>
          <w:b w:val="0"/>
          <w:color w:val="000000"/>
        </w:rPr>
        <w:t>Enter transfer coefficients for WWTP, incineration, landfill, recycling and reuse in Treatment &amp; EoL. Each coefficient allocates a fraction of process inflow to an outflow or stock addition. Check percentage closure and units for each process.</w:t>
      </w:r>
    </w:p>
    <w:p>
      <w:r>
        <w:rPr>
          <w:rFonts w:ascii="Arial" w:hAnsi="Arial" w:eastAsia="Noto Sans CJK KR"/>
          <w:b w:val="0"/>
          <w:color w:val="000000"/>
        </w:rPr>
        <w:t>Distinguish sludge routing to soil, incineration or landfill from WWTP effluent. Material leaving the tracking boundary is not necessarily elemental destruction. Element-based validation also requires the destinations of dissolved and transformed species.</w:t>
      </w:r>
    </w:p>
    <w:p>
      <w:r>
        <w:rPr>
          <w:rFonts w:ascii="Arial" w:hAnsi="Arial" w:eastAsia="Noto Sans CJK KR"/>
          <w:b w:val="0"/>
          <w:color w:val="000000"/>
        </w:rPr>
        <w:t>Geographic allocation and environmental dilution are separate. Allocating regional inflow by population share does not establish the region’s actual river discharge. Record a source and reference year for each input.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888"/>
        <w:gridCol w:w="4464"/>
      </w:tblGrid>
      <w:tr>
        <w:trPr>
          <w:cantSplit/>
          <w:tblHeader/>
        </w:trPr>
        <w:tc>
          <w:tcPr>
            <w:tcW w:type="dxa" w:w="1728"/>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Medium</w:t>
            </w:r>
          </w:p>
        </w:tc>
        <w:tc>
          <w:tcPr>
            <w:tcW w:type="dxa" w:w="3888"/>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Capacity</w:t>
            </w:r>
          </w:p>
        </w:tc>
        <w:tc>
          <w:tcPr>
            <w:tcW w:type="dxa" w:w="4464"/>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Evidence check</w:t>
            </w:r>
          </w:p>
        </w:tc>
      </w:tr>
      <w:tr>
        <w:trPr>
          <w:cantSplit/>
        </w:trPr>
        <w:tc>
          <w:tcPr>
            <w:tcW w:type="dxa" w:w="172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Water</w:t>
            </w:r>
          </w:p>
        </w:tc>
        <w:tc>
          <w:tcPr>
            <w:tcW w:type="dxa" w:w="388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Q × residence time</w:t>
            </w:r>
          </w:p>
        </w:tc>
        <w:tc>
          <w:tcPr>
            <w:tcW w:type="dxa" w:w="4464"/>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Actual discharge and residence time</w:t>
            </w:r>
          </w:p>
        </w:tc>
      </w:tr>
      <w:tr>
        <w:trPr>
          <w:cantSplit/>
        </w:trPr>
        <w:tc>
          <w:tcPr>
            <w:tcW w:type="dxa" w:w="172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Soil</w:t>
            </w:r>
          </w:p>
        </w:tc>
        <w:tc>
          <w:tcPr>
            <w:tcW w:type="dxa" w:w="388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Area × depth × dry density</w:t>
            </w:r>
          </w:p>
        </w:tc>
        <w:tc>
          <w:tcPr>
            <w:tcW w:type="dxa" w:w="4464"/>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Receiving area and mixing depth</w:t>
            </w:r>
          </w:p>
        </w:tc>
      </w:tr>
      <w:tr>
        <w:trPr>
          <w:cantSplit/>
        </w:trPr>
        <w:tc>
          <w:tcPr>
            <w:tcW w:type="dxa" w:w="172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Sediment</w:t>
            </w:r>
          </w:p>
        </w:tc>
        <w:tc>
          <w:tcPr>
            <w:tcW w:type="dxa" w:w="388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Area × depth × dry density</w:t>
            </w:r>
          </w:p>
        </w:tc>
        <w:tc>
          <w:tcPr>
            <w:tcW w:type="dxa" w:w="4464"/>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Active-layer depth and dry density</w:t>
            </w:r>
          </w:p>
        </w:tc>
      </w:tr>
      <w:tr>
        <w:trPr>
          <w:cantSplit/>
        </w:trPr>
        <w:tc>
          <w:tcPr>
            <w:tcW w:type="dxa" w:w="172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Air</w:t>
            </w:r>
          </w:p>
        </w:tc>
        <w:tc>
          <w:tcPr>
            <w:tcW w:type="dxa" w:w="388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Area × mixing height</w:t>
            </w:r>
          </w:p>
        </w:tc>
        <w:tc>
          <w:tcPr>
            <w:tcW w:type="dxa" w:w="4464"/>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Domain and mixing height</w:t>
            </w:r>
          </w:p>
        </w:tc>
      </w:tr>
    </w:tbl>
    <w:p>
      <w:r>
        <w:rPr>
          <w:rFonts w:ascii="Arial" w:hAnsi="Arial" w:eastAsia="Noto Sans CJK KR"/>
          <w:b w:val="0"/>
          <w:color w:val="000000"/>
        </w:rPr>
      </w:r>
    </w:p>
    <w:p>
      <w:pPr>
        <w:jc w:val="center"/>
      </w:pPr>
      <m:oMathPara>
        <m:oMath>
          <m:r>
            <m:t>PEC = tracked stock / receiving capacity</m:t>
          </m:r>
        </m:oMath>
      </m:oMathPara>
    </w:p>
    <w:p>
      <w:bookmarkStart w:id="81" w:name="chapter_81"/>
      <w:pPr>
        <w:pStyle w:val="Heading1"/>
      </w:pPr>
      <w:r>
        <w:rPr>
          <w:rFonts w:ascii="Arial" w:hAnsi="Arial" w:eastAsia="Noto Sans CJK KR"/>
          <w:b/>
          <w:color w:val="000000"/>
        </w:rPr>
        <w:t>8  Nanoforms and environmental fate</w:t>
      </w:r>
      <w:bookmarkEnd w:id="81"/>
    </w:p>
    <w:p>
      <w:pPr>
        <w:pStyle w:val="ScreenNote"/>
      </w:pPr>
      <w:r>
        <w:rPr>
          <w:b/>
        </w:rPr>
        <w:t>Interface example</w:t>
      </w:r>
    </w:p>
    <w:p>
      <w:pPr>
        <w:spacing w:before="100" w:after="40"/>
        <w:jc w:val="center"/>
      </w:pPr>
      <w:r>
        <w:drawing>
          <wp:inline xmlns:a="http://schemas.openxmlformats.org/drawingml/2006/main" xmlns:pic="http://schemas.openxmlformats.org/drawingml/2006/picture">
            <wp:extent cx="6172200" cy="4200525"/>
            <wp:docPr id="8" name="Picture 8"/>
            <wp:cNvGraphicFramePr>
              <a:graphicFrameLocks noChangeAspect="1"/>
            </wp:cNvGraphicFramePr>
            <a:graphic>
              <a:graphicData uri="http://schemas.openxmlformats.org/drawingml/2006/picture">
                <pic:pic>
                  <pic:nvPicPr>
                    <pic:cNvPr id="0" name="07_nanoform_fate.png"/>
                    <pic:cNvPicPr/>
                  </pic:nvPicPr>
                  <pic:blipFill>
                    <a:blip r:embed="rId15"/>
                    <a:stretch>
                      <a:fillRect/>
                    </a:stretch>
                  </pic:blipFill>
                  <pic:spPr>
                    <a:xfrm>
                      <a:off x="0" y="0"/>
                      <a:ext cx="6172200" cy="4200525"/>
                    </a:xfrm>
                    <a:prstGeom prst="rect"/>
                  </pic:spPr>
                </pic:pic>
              </a:graphicData>
            </a:graphic>
          </wp:inline>
        </w:drawing>
      </w:r>
    </w:p>
    <w:p>
      <w:pPr>
        <w:pStyle w:val="ScreenCaption"/>
        <w:jc w:val="center"/>
      </w:pPr>
      <w:r>
        <w:t>Figure 8. Nanoform &amp; fate workspace for release forms, medium-specific allocation, dissolution, aggregation, transformation, and dynamic transport.</w:t>
      </w:r>
    </w:p>
    <w:p>
      <w:pPr>
        <w:pStyle w:val="Heading2"/>
      </w:pPr>
      <w:r>
        <w:rPr>
          <w:rFonts w:ascii="Arial" w:hAnsi="Arial" w:eastAsia="Noto Sans CJK KR"/>
          <w:b/>
          <w:color w:val="000000"/>
        </w:rPr>
        <w:t>Tracked forms and material basis</w:t>
      </w:r>
    </w:p>
    <w:p>
      <w:r>
        <w:rPr>
          <w:rFonts w:ascii="Arial" w:hAnsi="Arial" w:eastAsia="Noto Sans CJK KR"/>
          <w:b w:val="0"/>
          <w:color w:val="000000"/>
        </w:rPr>
        <w:t>The 28 states combine air, water, soil and sediment with seven forms: matrix-bound, free particle, small aggregate, large aggregate, dissolved, transformed particle and unresolved. These are operational model categories. They do not automatically match analytical size fractions.</w:t>
      </w:r>
    </w:p>
    <w:p>
      <w:r>
        <w:rPr>
          <w:rFonts w:ascii="Arial" w:hAnsi="Arial" w:eastAsia="Noto Sans CJK KR"/>
          <w:b w:val="0"/>
          <w:color w:val="000000"/>
        </w:rPr>
        <w:t>Parent-material equivalent expresses mass on the original material basis. Element equivalent expresses its constituent-element mass. For pure ZnO, the Zn fraction is 65.38/81.379. Neither basis automatically represents the complete mass of a newly formed sulfide or coated particle.</w:t>
      </w:r>
    </w:p>
    <w:p>
      <w:r>
        <w:rPr>
          <w:rFonts w:ascii="Arial" w:hAnsi="Arial" w:eastAsia="Noto Sans CJK KR"/>
          <w:b w:val="0"/>
          <w:color w:val="000000"/>
        </w:rPr>
        <w:t>Enter initial stocks on the selected basis. Changing the basis or elemental fraction automatically converts existing initial stocks. Do not convert them manually a second time. Imported inflow rows retain their declared tracking_basis and are converted during calculation.</w:t>
      </w:r>
    </w:p>
    <w:p>
      <w:r>
        <w:rPr>
          <w:rFonts w:ascii="Arial" w:hAnsi="Arial" w:eastAsia="Noto Sans CJK KR"/>
          <w:b w:val="0"/>
          <w:color w:val="000000"/>
        </w:rPr>
        <w:t>Mixtures, coated particles and uncertain compositions require a documented element and mass fraction. Transformation outside the tracking boundary does not mean elemental mass disappears.</w:t>
      </w:r>
    </w:p>
    <w:p>
      <w:pPr>
        <w:pStyle w:val="Heading2"/>
      </w:pPr>
      <w:r>
        <w:rPr>
          <w:rFonts w:ascii="Arial" w:hAnsi="Arial" w:eastAsia="Noto Sans CJK KR"/>
          <w:b/>
          <w:color w:val="000000"/>
        </w:rPr>
        <w:t>Transfers reactions and events</w:t>
      </w:r>
    </w:p>
    <w:p>
      <w:r>
        <w:rPr>
          <w:rFonts w:ascii="Arial" w:hAnsi="Arial" w:eastAsia="Noto Sans CJK KR"/>
          <w:b w:val="0"/>
          <w:color w:val="000000"/>
        </w:rPr>
        <w:t>Water volume is discharge Q multiplied by residence time. Default advection uses Q/V. Soil and sediment capacities are receiving area × mixing depth × dry bulk density. Smaller capacity produces a higher PEC for the same stock.</w:t>
      </w:r>
    </w:p>
    <w:p>
      <w:r>
        <w:rPr>
          <w:rFonts w:ascii="Arial" w:hAnsi="Arial" w:eastAsia="Noto Sans CJK KR"/>
          <w:b w:val="0"/>
          <w:color w:val="000000"/>
        </w:rPr>
        <w:t>Use Physical rates when diameter, density, viscosity, depth and aggregation inputs are available. Settling uses the Stokes relation for spheres. Applicability to nonspherical particles or real aggregates requires evidence. Dissolution is not automatically predicted from pH, ligands or saturation.</w:t>
      </w:r>
    </w:p>
    <w:p>
      <w:r>
        <w:rPr>
          <w:rFonts w:ascii="Arial" w:hAnsi="Arial" w:eastAsia="Noto Sans CJK KR"/>
          <w:b w:val="0"/>
          <w:color w:val="000000"/>
        </w:rPr>
        <w:t>Storms are discrete year-end transfers in dynamic mode. Every transfer uses pre-event stocks. Material newly entering sediment is not resuspended again by that same event. An empty event-year list applies the pulse in every simulated dynamic year.</w:t>
      </w:r>
    </w:p>
    <w:p>
      <w:r>
        <w:rPr>
          <w:rFonts w:ascii="Arial" w:hAnsi="Arial" w:eastAsia="Noto Sans CJK KR"/>
          <w:b w:val="0"/>
          <w:color w:val="000000"/>
        </w:rPr>
        <w:t>Overlapping soil-transfer fractions must sum to at most 100%. Storms are unavailable in steady mode. A year-end pulse does not retrospectively change the preceding annual-mean concentration.</w:t>
      </w:r>
    </w:p>
    <w:p>
      <w:pPr>
        <w:jc w:val="center"/>
      </w:pPr>
      <m:oMathPara>
        <m:oMath>
          <m:r>
            <m:t>dx/dt = Kx + u</m:t>
          </m:r>
        </m:oMath>
      </m:oMathPara>
    </w:p>
    <w:p>
      <w:r>
        <w:rPr>
          <w:rFonts w:ascii="Arial" w:hAnsi="Arial" w:eastAsia="Noto Sans CJK KR"/>
          <w:b w:val="0"/>
          <w:color w:val="000000"/>
        </w:rPr>
        <w:t>K is the rate matrix of state transfers and external removal. u is the inflow rate. Matrix-exponential calculation solves the linear system under constant rates and forcing over each step.</w:t>
      </w:r>
    </w:p>
    <w:p>
      <w:pPr>
        <w:pStyle w:val="Heading2"/>
      </w:pPr>
      <w:r>
        <w:rPr>
          <w:rFonts w:ascii="Arial" w:hAnsi="Arial" w:eastAsia="Noto Sans CJK KR"/>
          <w:b/>
          <w:color w:val="000000"/>
        </w:rPr>
        <w:t>External forcing and time statistics</w:t>
      </w:r>
    </w:p>
    <w:p>
      <w:r>
        <w:rPr>
          <w:rFonts w:ascii="Arial" w:hAnsi="Arial" w:eastAsia="Noto Sans CJK KR"/>
          <w:b w:val="0"/>
          <w:color w:val="000000"/>
        </w:rPr>
        <w:t>External coupling CSV uses year, compartment, form, mass_kg_y and tracking_basis. Match material and domain_id to the active scenario. Start from the application's exported CSV format.</w:t>
      </w:r>
    </w:p>
    <w:p>
      <w:r>
        <w:rPr>
          <w:rFonts w:ascii="Arial" w:hAnsi="Arial" w:eastAsia="Noto Sans CJK KR"/>
          <w:b w:val="0"/>
          <w:color w:val="000000"/>
        </w:rPr>
        <w:t>Missing years are rejected by default. Missing data do not imply zero inflow. Select zero-fill only when zero inflow is justified. A single annual row defaults to a one-year dynamic calculation.</w:t>
      </w:r>
    </w:p>
    <w:p>
      <w:r>
        <w:rPr>
          <w:rFonts w:ascii="Arial" w:hAnsi="Arial" w:eastAsia="Noto Sans CJK KR"/>
          <w:b w:val="0"/>
          <w:color w:val="000000"/>
        </w:rPr>
        <w:t>Year end uses the closing stock. Annual mean integrates stock through the year. Do not use these statistics interchangeably when comparing observations. A steady-state request requires constant annual forcing and a converged solution.</w:t>
      </w:r>
    </w:p>
    <w:p>
      <w:bookmarkStart w:id="98" w:name="chapter_98"/>
      <w:pPr>
        <w:pStyle w:val="Heading1"/>
      </w:pPr>
      <w:r>
        <w:rPr>
          <w:rFonts w:ascii="Arial" w:hAnsi="Arial" w:eastAsia="Noto Sans CJK KR"/>
          <w:b/>
          <w:color w:val="000000"/>
        </w:rPr>
        <w:t>9  Evidence observations and uncertainty</w:t>
      </w:r>
      <w:bookmarkEnd w:id="98"/>
    </w:p>
    <w:p>
      <w:pPr>
        <w:pStyle w:val="ScreenNote"/>
      </w:pPr>
      <w:r>
        <w:rPr>
          <w:b/>
        </w:rPr>
        <w:t>Interface example</w:t>
      </w:r>
    </w:p>
    <w:p>
      <w:pPr>
        <w:spacing w:before="100" w:after="40"/>
        <w:jc w:val="center"/>
      </w:pPr>
      <w:r>
        <w:drawing>
          <wp:inline xmlns:a="http://schemas.openxmlformats.org/drawingml/2006/main" xmlns:pic="http://schemas.openxmlformats.org/drawingml/2006/picture">
            <wp:extent cx="6172200" cy="4200525"/>
            <wp:docPr id="9" name="Picture 9"/>
            <wp:cNvGraphicFramePr>
              <a:graphicFrameLocks noChangeAspect="1"/>
            </wp:cNvGraphicFramePr>
            <a:graphic>
              <a:graphicData uri="http://schemas.openxmlformats.org/drawingml/2006/picture">
                <pic:pic>
                  <pic:nvPicPr>
                    <pic:cNvPr id="0" name="08_evidence_qa.png"/>
                    <pic:cNvPicPr/>
                  </pic:nvPicPr>
                  <pic:blipFill>
                    <a:blip r:embed="rId16"/>
                    <a:stretch>
                      <a:fillRect/>
                    </a:stretch>
                  </pic:blipFill>
                  <pic:spPr>
                    <a:xfrm>
                      <a:off x="0" y="0"/>
                      <a:ext cx="6172200" cy="4200525"/>
                    </a:xfrm>
                    <a:prstGeom prst="rect"/>
                  </pic:spPr>
                </pic:pic>
              </a:graphicData>
            </a:graphic>
          </wp:inline>
        </w:drawing>
      </w:r>
    </w:p>
    <w:p>
      <w:pPr>
        <w:pStyle w:val="ScreenCaption"/>
        <w:jc w:val="center"/>
      </w:pPr>
      <w:r>
        <w:t>Figure 9. Evidence &amp; QA workspace for parameter provenance, data quality, applicability, and observation comparison.</w:t>
      </w:r>
    </w:p>
    <w:p>
      <w:pPr>
        <w:spacing w:before="100" w:after="40"/>
        <w:jc w:val="center"/>
      </w:pPr>
      <w:r>
        <w:drawing>
          <wp:inline xmlns:a="http://schemas.openxmlformats.org/drawingml/2006/main" xmlns:pic="http://schemas.openxmlformats.org/drawingml/2006/picture">
            <wp:extent cx="6172200" cy="4200525"/>
            <wp:docPr id="10" name="Picture 10"/>
            <wp:cNvGraphicFramePr>
              <a:graphicFrameLocks noChangeAspect="1"/>
            </wp:cNvGraphicFramePr>
            <a:graphic>
              <a:graphicData uri="http://schemas.openxmlformats.org/drawingml/2006/picture">
                <pic:pic>
                  <pic:nvPicPr>
                    <pic:cNvPr id="0" name="09_uncertainty.png"/>
                    <pic:cNvPicPr/>
                  </pic:nvPicPr>
                  <pic:blipFill>
                    <a:blip r:embed="rId17"/>
                    <a:stretch>
                      <a:fillRect/>
                    </a:stretch>
                  </pic:blipFill>
                  <pic:spPr>
                    <a:xfrm>
                      <a:off x="0" y="0"/>
                      <a:ext cx="6172200" cy="4200525"/>
                    </a:xfrm>
                    <a:prstGeom prst="rect"/>
                  </pic:spPr>
                </pic:pic>
              </a:graphicData>
            </a:graphic>
          </wp:inline>
        </w:drawing>
      </w:r>
    </w:p>
    <w:p>
      <w:pPr>
        <w:pStyle w:val="ScreenCaption"/>
        <w:jc w:val="center"/>
      </w:pPr>
      <w:r>
        <w:t>Figure 10. Uncertainty workspace for iterations, random seed, variability settings, and repeated simulation.</w:t>
      </w:r>
    </w:p>
    <w:p>
      <w:pPr>
        <w:pStyle w:val="Heading2"/>
      </w:pPr>
      <w:r>
        <w:rPr>
          <w:rFonts w:ascii="Arial" w:hAnsi="Arial" w:eastAsia="Noto Sans CJK KR"/>
          <w:b/>
          <w:color w:val="000000"/>
        </w:rPr>
        <w:t>Parameter evidence</w:t>
      </w:r>
    </w:p>
    <w:p>
      <w:r>
        <w:rPr>
          <w:rFonts w:ascii="Arial" w:hAnsi="Arial" w:eastAsia="Noto Sans CJK KR"/>
          <w:b w:val="0"/>
          <w:color w:val="000000"/>
        </w:rPr>
        <w:t>Open Parameter evidence editor under Evidence and numerical qualification. Select a parameter, enter its evidence type, source, material, domain ID, unit, applicable years/range and conditions, then select Save parameter evidence.</w:t>
      </w:r>
    </w:p>
    <w:p>
      <w:r>
        <w:rPr>
          <w:rFonts w:ascii="Arial" w:hAnsi="Arial" w:eastAsia="Noto Sans CJK KR"/>
          <w:b w:val="0"/>
          <w:color w:val="000000"/>
        </w:rPr>
        <w:t>Measured denotes a measured input. Published proxy denotes a literature-derived proxy. Calibrated denotes a fitted input. Retain Screening assumption when evidence is absent. Record the relevant table, equation and conditions in addition to a DOI or report title.</w:t>
      </w:r>
    </w:p>
    <w:p>
      <w:r>
        <w:rPr>
          <w:rFonts w:ascii="Arial" w:hAnsi="Arial" w:eastAsia="Noto Sans CJK KR"/>
          <w:b w:val="0"/>
          <w:color w:val="000000"/>
        </w:rPr>
        <w:t>Internal soil-area units are ha; rate units are 1/year. The audit flags unit and applicability mismatches. Registering a source does not certify that source or its suitability for your site.</w:t>
      </w:r>
    </w:p>
    <w:p>
      <w:r>
        <w:rPr>
          <w:rFonts w:ascii="Arial" w:hAnsi="Arial" w:eastAsia="Noto Sans CJK KR"/>
          <w:b w:val="0"/>
          <w:color w:val="000000"/>
        </w:rPr>
        <w:t>Rate CV override changes the coefficient of variation used for that kinetic parameter. Min/max document applicability; they do not truncate Monte Carlo samples.</w:t>
      </w:r>
    </w:p>
    <w:p>
      <w:pPr>
        <w:pStyle w:val="Heading2"/>
      </w:pPr>
      <w:r>
        <w:rPr>
          <w:rFonts w:ascii="Arial" w:hAnsi="Arial" w:eastAsia="Noto Sans CJK KR"/>
          <w:b/>
          <w:color w:val="000000"/>
        </w:rPr>
        <w:t>Observations and validation qualification</w:t>
      </w:r>
    </w:p>
    <w:p>
      <w:r>
        <w:rPr>
          <w:rFonts w:ascii="Arial" w:hAnsi="Arial" w:eastAsia="Noto Sans CJK KR"/>
          <w:b w:val="0"/>
          <w:color w:val="000000"/>
        </w:rPr>
        <w:t>Use Template CSV or enter rows in Observed concentration comparison. Match material, domain, model_source, medium, form, tracking_basis, statistic, year, observed value, unit, role and source. Soil, sediment and sludge require dry-weight concentration units.</w:t>
      </w:r>
    </w:p>
    <w:p>
      <w:r>
        <w:rPr>
          <w:rFonts w:ascii="Arial" w:hAnsi="Arial" w:eastAsia="Noto Sans CJK KR"/>
          <w:b w:val="0"/>
          <w:color w:val="000000"/>
        </w:rPr>
        <w:t>Independent-validation qualification also requires dataset_id, analytical_method, sampling_period, background_treatment, measurand_scope and independence. Register IDs used for fitting under Calibration dataset IDs. Matching IDs cannot count as independent validation.</w:t>
      </w:r>
    </w:p>
    <w:p>
      <w:r>
        <w:rPr>
          <w:rFonts w:ascii="Arial" w:hAnsi="Arial" w:eastAsia="Noto Sans CJK KR"/>
          <w:b w:val="0"/>
          <w:color w:val="000000"/>
        </w:rPr>
        <w:t>Use full_year for annual means, year_end for closing-year values and steady_representative for steady observations. Select engineered_material and independent only when supported by evidence. Total metal containing natural background does not automatically match engineered-material PEC.</w:t>
      </w:r>
    </w:p>
    <w:p>
      <w:r>
        <w:rPr>
          <w:rFonts w:ascii="Arial" w:hAnsi="Arial" w:eastAsia="Noto Sans CJK KR"/>
          <w:b w:val="0"/>
          <w:color w:val="000000"/>
        </w:rPr>
        <w:t>After Compare, inspect matched rows and exclusion reasons. Interpret RMSE and bias within comparable endpoints. Censored measurements are excluded rather than replaced with half a detection limit. Incomplete metadata may permit diagnostic comparison while disqualifying the independent-validation count.</w:t>
      </w:r>
    </w:p>
    <w:p>
      <w:pPr>
        <w:pStyle w:val="Heading2"/>
      </w:pPr>
      <w:r>
        <w:rPr>
          <w:rFonts w:ascii="Arial" w:hAnsi="Arial" w:eastAsia="Noto Sans CJK KR"/>
          <w:b/>
          <w:color w:val="000000"/>
        </w:rPr>
        <w:t>Sensitivity and repeated simulation</w:t>
      </w:r>
    </w:p>
    <w:p>
      <w:r>
        <w:rPr>
          <w:rFonts w:ascii="Arial" w:hAnsi="Arial" w:eastAsia="Noto Sans CJK KR"/>
          <w:b w:val="0"/>
          <w:color w:val="000000"/>
        </w:rPr>
        <w:t>Run fate sensitivity varies individual rates and capacities by ±20% and reports PEC changes. Upstream MFA emissions remain fixed. Zero-valued inputs are excluded from multiplicative perturbations. This is local sensitivity, not global sensitivity or an interaction analysis.</w:t>
      </w:r>
    </w:p>
    <w:p>
      <w:r>
        <w:rPr>
          <w:rFonts w:ascii="Arial" w:hAnsi="Arial" w:eastAsia="Noto Sans CJK KR"/>
          <w:b w:val="0"/>
          <w:color w:val="000000"/>
        </w:rPr>
        <w:t>Kinetic-only varies rates. Linked also varies supported inflow, process, environmental and form-allocation inputs. External coupling preserves imported form proportions while varying mass scale. Stock-driven linked fate uncertainty is not supported.</w:t>
      </w:r>
    </w:p>
    <w:p>
      <w:r>
        <w:rPr>
          <w:rFonts w:ascii="Arial" w:hAnsi="Arial" w:eastAsia="Noto Sans CJK KR"/>
          <w:b w:val="0"/>
          <w:color w:val="000000"/>
        </w:rPr>
        <w:t>Repeatability workloads are Quick 50/100/200, Research 500/1000/2000 and Extended 1000/2000/5000 draws. Enter two to five distinct seeds. The default 10% threshold is a numerical criterion selected by the user, not a permitted field-prediction error.</w:t>
      </w:r>
    </w:p>
    <w:p>
      <w:r>
        <w:rPr>
          <w:rFonts w:ascii="Arial" w:hAnsi="Arial" w:eastAsia="Noto Sans CJK KR"/>
          <w:b w:val="0"/>
          <w:color w:val="000000"/>
        </w:rPr>
        <w:t>P5–P95 is a conditional 90% simulation interval. It is not an empirically validated prediction interval. If repeatability fails, review sample size, input distributions and convergence. Passing the bundled v2.5.0 test scenario does not certify your current scenario.</w:t>
      </w:r>
    </w:p>
    <w:p>
      <w:pPr>
        <w:pStyle w:val="Heading2"/>
      </w:pPr>
      <w:r>
        <w:rPr>
          <w:rFonts w:ascii="Arial" w:hAnsi="Arial" w:eastAsia="Noto Sans CJK KR"/>
          <w:b/>
          <w:color w:val="000000"/>
        </w:rPr>
        <w:t>Literature benchmarking</w:t>
      </w:r>
    </w:p>
    <w:p>
      <w:r>
        <w:rPr>
          <w:rFonts w:ascii="Arial" w:hAnsi="Arial" w:eastAsia="Noto Sans CJK KR"/>
          <w:b w:val="0"/>
          <w:color w:val="000000"/>
        </w:rPr>
        <w:t>Literature benchmarking separates applicability from concordance. Applicability assesses similarity of material, endpoint, boundary, geography, time and evidence. Concordance describes numerical distance from the comparator. Neither is a probability of validation.</w:t>
      </w:r>
    </w:p>
    <w:p>
      <w:r>
        <w:rPr>
          <w:rFonts w:ascii="Arial" w:hAnsi="Arial" w:eastAsia="Noto Sans CJK KR"/>
          <w:b w:val="0"/>
          <w:color w:val="000000"/>
        </w:rPr>
        <w:t>The current library contains 27 comparator records from 11 studies and covers nine of the ten material classes. Multiple endpoints from one paper do not count as multiple independent studies. Nanoclay has no sufficiently compatible quantitative comparator in the bundled library.</w:t>
      </w:r>
    </w:p>
    <w:p>
      <w:r>
        <w:rPr>
          <w:rFonts w:ascii="Arial" w:hAnsi="Arial" w:eastAsia="Noto Sans CJK KR"/>
          <w:b w:val="0"/>
          <w:color w:val="000000"/>
        </w:rPr>
        <w:t>The default Ag WWTP effluent fraction is 2% of tracked mass. The published abstract’s total-Ag effluent fraction of 5–18% is not automatically the same measurand. The default model assigns 8% to transformation outside its tracking boundary, whose destination must be resolved. This comparison does not validate regional environmental PECs.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0"/>
        <w:gridCol w:w="2880"/>
      </w:tblGrid>
      <w:tr>
        <w:trPr>
          <w:cantSplit/>
          <w:tblHeader/>
        </w:trPr>
        <w:tc>
          <w:tcPr>
            <w:tcW w:type="dxa" w:w="7200"/>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Component</w:t>
            </w:r>
          </w:p>
        </w:tc>
        <w:tc>
          <w:tcPr>
            <w:tcW w:type="dxa" w:w="2880"/>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Maximum</w:t>
            </w:r>
          </w:p>
        </w:tc>
      </w:tr>
      <w:tr>
        <w:trPr>
          <w:cantSplit/>
        </w:trPr>
        <w:tc>
          <w:tcPr>
            <w:tcW w:type="dxa" w:w="720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Material / nanoform</w:t>
            </w:r>
          </w:p>
        </w:tc>
        <w:tc>
          <w:tcPr>
            <w:tcW w:type="dxa" w:w="288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30</w:t>
            </w:r>
          </w:p>
        </w:tc>
      </w:tr>
      <w:tr>
        <w:trPr>
          <w:cantSplit/>
        </w:trPr>
        <w:tc>
          <w:tcPr>
            <w:tcW w:type="dxa" w:w="720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Endpoint / compartment</w:t>
            </w:r>
          </w:p>
        </w:tc>
        <w:tc>
          <w:tcPr>
            <w:tcW w:type="dxa" w:w="288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25</w:t>
            </w:r>
          </w:p>
        </w:tc>
      </w:tr>
      <w:tr>
        <w:trPr>
          <w:cantSplit/>
        </w:trPr>
        <w:tc>
          <w:tcPr>
            <w:tcW w:type="dxa" w:w="720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Boundary / metric</w:t>
            </w:r>
          </w:p>
        </w:tc>
        <w:tc>
          <w:tcPr>
            <w:tcW w:type="dxa" w:w="288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15</w:t>
            </w:r>
          </w:p>
        </w:tc>
      </w:tr>
      <w:tr>
        <w:trPr>
          <w:cantSplit/>
        </w:trPr>
        <w:tc>
          <w:tcPr>
            <w:tcW w:type="dxa" w:w="720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Geography</w:t>
            </w:r>
          </w:p>
        </w:tc>
        <w:tc>
          <w:tcPr>
            <w:tcW w:type="dxa" w:w="288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15</w:t>
            </w:r>
          </w:p>
        </w:tc>
      </w:tr>
      <w:tr>
        <w:trPr>
          <w:cantSplit/>
        </w:trPr>
        <w:tc>
          <w:tcPr>
            <w:tcW w:type="dxa" w:w="720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Time</w:t>
            </w:r>
          </w:p>
        </w:tc>
        <w:tc>
          <w:tcPr>
            <w:tcW w:type="dxa" w:w="288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10</w:t>
            </w:r>
          </w:p>
        </w:tc>
      </w:tr>
      <w:tr>
        <w:trPr>
          <w:cantSplit/>
        </w:trPr>
        <w:tc>
          <w:tcPr>
            <w:tcW w:type="dxa" w:w="720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Evidence</w:t>
            </w:r>
          </w:p>
        </w:tc>
        <w:tc>
          <w:tcPr>
            <w:tcW w:type="dxa" w:w="288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5</w:t>
            </w:r>
          </w:p>
        </w:tc>
      </w:tr>
    </w:tbl>
    <w:p>
      <w:r>
        <w:rPr>
          <w:rFonts w:ascii="Arial" w:hAnsi="Arial" w:eastAsia="Noto Sans CJK KR"/>
          <w:b w:val="0"/>
          <w:color w:val="000000"/>
        </w:rPr>
      </w:r>
    </w:p>
    <w:p>
      <w:r>
        <w:rPr>
          <w:rFonts w:ascii="Arial" w:hAnsi="Arial" w:eastAsia="Noto Sans CJK KR"/>
          <w:b w:val="0"/>
          <w:color w:val="000000"/>
        </w:rPr>
        <w:t>The score is an applicability indicator, not percent accuracy. Inspect comparator records in benchmark_validation.js and source information in SOURCES.md.</w:t>
      </w:r>
    </w:p>
    <w:p>
      <w:bookmarkStart w:id="120" w:name="chapter_120"/>
      <w:pPr>
        <w:pStyle w:val="Heading1"/>
      </w:pPr>
      <w:r>
        <w:rPr>
          <w:rFonts w:ascii="Arial" w:hAnsi="Arial" w:eastAsia="Noto Sans CJK KR"/>
          <w:b/>
          <w:color w:val="000000"/>
        </w:rPr>
        <w:t>10  Results interpretation and export</w:t>
      </w:r>
      <w:bookmarkEnd w:id="120"/>
    </w:p>
    <w:p>
      <w:pPr>
        <w:pStyle w:val="ScreenNote"/>
      </w:pPr>
      <w:r>
        <w:rPr>
          <w:b/>
        </w:rPr>
        <w:t>Interface example</w:t>
      </w:r>
    </w:p>
    <w:p>
      <w:pPr>
        <w:spacing w:before="100" w:after="40"/>
        <w:jc w:val="center"/>
      </w:pPr>
      <w:r>
        <w:drawing>
          <wp:inline xmlns:a="http://schemas.openxmlformats.org/drawingml/2006/main" xmlns:pic="http://schemas.openxmlformats.org/drawingml/2006/picture">
            <wp:extent cx="6172200" cy="4200525"/>
            <wp:docPr id="11" name="Picture 11"/>
            <wp:cNvGraphicFramePr>
              <a:graphicFrameLocks noChangeAspect="1"/>
            </wp:cNvGraphicFramePr>
            <a:graphic>
              <a:graphicData uri="http://schemas.openxmlformats.org/drawingml/2006/picture">
                <pic:pic>
                  <pic:nvPicPr>
                    <pic:cNvPr id="0" name="10_results_overview.png"/>
                    <pic:cNvPicPr/>
                  </pic:nvPicPr>
                  <pic:blipFill>
                    <a:blip r:embed="rId18"/>
                    <a:stretch>
                      <a:fillRect/>
                    </a:stretch>
                  </pic:blipFill>
                  <pic:spPr>
                    <a:xfrm>
                      <a:off x="0" y="0"/>
                      <a:ext cx="6172200" cy="4200525"/>
                    </a:xfrm>
                    <a:prstGeom prst="rect"/>
                  </pic:spPr>
                </pic:pic>
              </a:graphicData>
            </a:graphic>
          </wp:inline>
        </w:drawing>
      </w:r>
    </w:p>
    <w:p>
      <w:pPr>
        <w:pStyle w:val="ScreenCaption"/>
        <w:jc w:val="center"/>
      </w:pPr>
      <w:r>
        <w:t>Figure 11. Results overview after a model run, showing run status and access to detailed outputs.</w:t>
      </w:r>
    </w:p>
    <w:p>
      <w:pPr>
        <w:spacing w:before="100" w:after="40"/>
        <w:jc w:val="center"/>
      </w:pPr>
      <w:r>
        <w:drawing>
          <wp:inline xmlns:a="http://schemas.openxmlformats.org/drawingml/2006/main" xmlns:pic="http://schemas.openxmlformats.org/drawingml/2006/picture">
            <wp:extent cx="6172200" cy="4200525"/>
            <wp:docPr id="12" name="Picture 12"/>
            <wp:cNvGraphicFramePr>
              <a:graphicFrameLocks noChangeAspect="1"/>
            </wp:cNvGraphicFramePr>
            <a:graphic>
              <a:graphicData uri="http://schemas.openxmlformats.org/drawingml/2006/picture">
                <pic:pic>
                  <pic:nvPicPr>
                    <pic:cNvPr id="0" name="10_results_overview.png"/>
                    <pic:cNvPicPr/>
                  </pic:nvPicPr>
                  <pic:blipFill>
                    <a:blip r:embed="rId18"/>
                    <a:stretch>
                      <a:fillRect/>
                    </a:stretch>
                  </pic:blipFill>
                  <pic:spPr>
                    <a:xfrm>
                      <a:off x="0" y="0"/>
                      <a:ext cx="6172200" cy="4200525"/>
                    </a:xfrm>
                    <a:prstGeom prst="rect"/>
                  </pic:spPr>
                </pic:pic>
              </a:graphicData>
            </a:graphic>
          </wp:inline>
        </w:drawing>
      </w:r>
    </w:p>
    <w:p>
      <w:pPr>
        <w:pStyle w:val="ScreenCaption"/>
        <w:jc w:val="center"/>
      </w:pPr>
      <w:r>
        <w:t>Figure 12. Sankey mass-flow diagram for major annual flows and stock additions.</w:t>
      </w:r>
    </w:p>
    <w:p>
      <w:pPr>
        <w:spacing w:before="100" w:after="40"/>
        <w:jc w:val="center"/>
      </w:pPr>
      <w:r>
        <w:drawing>
          <wp:inline xmlns:a="http://schemas.openxmlformats.org/drawingml/2006/main" xmlns:pic="http://schemas.openxmlformats.org/drawingml/2006/picture">
            <wp:extent cx="6172200" cy="4200525"/>
            <wp:docPr id="13" name="Picture 13"/>
            <wp:cNvGraphicFramePr>
              <a:graphicFrameLocks noChangeAspect="1"/>
            </wp:cNvGraphicFramePr>
            <a:graphic>
              <a:graphicData uri="http://schemas.openxmlformats.org/drawingml/2006/picture">
                <pic:pic>
                  <pic:nvPicPr>
                    <pic:cNvPr id="0" name="10_results_overview.png"/>
                    <pic:cNvPicPr/>
                  </pic:nvPicPr>
                  <pic:blipFill>
                    <a:blip r:embed="rId18"/>
                    <a:stretch>
                      <a:fillRect/>
                    </a:stretch>
                  </pic:blipFill>
                  <pic:spPr>
                    <a:xfrm>
                      <a:off x="0" y="0"/>
                      <a:ext cx="6172200" cy="4200525"/>
                    </a:xfrm>
                    <a:prstGeom prst="rect"/>
                  </pic:spPr>
                </pic:pic>
              </a:graphicData>
            </a:graphic>
          </wp:inline>
        </w:drawing>
      </w:r>
    </w:p>
    <w:p>
      <w:pPr>
        <w:pStyle w:val="ScreenCaption"/>
        <w:jc w:val="center"/>
      </w:pPr>
      <w:r>
        <w:t>Figure 13. Detailed results for annual flows, stocks, PECs, and the complete flow table.</w:t>
      </w:r>
    </w:p>
    <w:p>
      <w:r>
        <w:rPr>
          <w:rFonts w:ascii="Arial" w:hAnsi="Arial" w:eastAsia="Noto Sans CJK KR"/>
          <w:b w:val="0"/>
          <w:color w:val="000000"/>
        </w:rPr>
        <w:t>Distinguish flows, stocks and PECs in Results. A Sankey link width represents the corresponding flow quantity. Do not interpret annual flows and cumulative quantities as interchangeable. A stock is the retained mass at a defined time.</w:t>
      </w:r>
    </w:p>
    <w:p>
      <w:r>
        <w:rPr>
          <w:rFonts w:ascii="Arial" w:hAnsi="Arial" w:eastAsia="Noto Sans CJK KR"/>
          <w:b w:val="0"/>
          <w:color w:val="000000"/>
        </w:rPr>
        <w:t>Before comparing scenarios, check inflow, horizon, tracking basis and environmental capacities. A one-factor comparison differs from a comparison that changes several inputs at once. Save the inputs together with the results.</w:t>
      </w:r>
    </w:p>
    <w:p>
      <w:r>
        <w:rPr>
          <w:rFonts w:ascii="Arial" w:hAnsi="Arial" w:eastAsia="Noto Sans CJK KR"/>
          <w:b w:val="0"/>
          <w:color w:val="000000"/>
        </w:rPr>
        <w:t>P5, P50 and P95 are quantiles of the same simulated distribution. P50 is not necessarily the mean. A narrow plotted range does not demonstrate small structural error or small field-measurement error.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6480"/>
      </w:tblGrid>
      <w:tr>
        <w:trPr>
          <w:cantSplit/>
          <w:tblHeader/>
        </w:trPr>
        <w:tc>
          <w:tcPr>
            <w:tcW w:type="dxa" w:w="3600"/>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Export</w:t>
            </w:r>
          </w:p>
        </w:tc>
        <w:tc>
          <w:tcPr>
            <w:tcW w:type="dxa" w:w="6480"/>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Contents</w:t>
            </w:r>
          </w:p>
        </w:tc>
      </w:tr>
      <w:tr>
        <w:trPr>
          <w:cantSplit/>
        </w:trPr>
        <w:tc>
          <w:tcPr>
            <w:tcW w:type="dxa" w:w="360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Export scenario Excel</w:t>
            </w:r>
          </w:p>
        </w:tc>
        <w:tc>
          <w:tcPr>
            <w:tcW w:type="dxa" w:w="648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Inputs and enabled modules</w:t>
            </w:r>
          </w:p>
        </w:tc>
      </w:tr>
      <w:tr>
        <w:trPr>
          <w:cantSplit/>
        </w:trPr>
        <w:tc>
          <w:tcPr>
            <w:tcW w:type="dxa" w:w="360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Results reproducibility Excel</w:t>
            </w:r>
          </w:p>
        </w:tc>
        <w:tc>
          <w:tcPr>
            <w:tcW w:type="dxa" w:w="648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Inputs, outputs, observations, evidence and current diagnostics</w:t>
            </w:r>
          </w:p>
        </w:tc>
      </w:tr>
      <w:tr>
        <w:trPr>
          <w:cantSplit/>
        </w:trPr>
        <w:tc>
          <w:tcPr>
            <w:tcW w:type="dxa" w:w="360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Export diagnostics Excel</w:t>
            </w:r>
          </w:p>
        </w:tc>
        <w:tc>
          <w:tcPr>
            <w:tcW w:type="dxa" w:w="648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Sensitivity and repeatability diagnostics</w:t>
            </w:r>
          </w:p>
        </w:tc>
      </w:tr>
      <w:tr>
        <w:trPr>
          <w:cantSplit/>
        </w:trPr>
        <w:tc>
          <w:tcPr>
            <w:tcW w:type="dxa" w:w="360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Coupling CSV</w:t>
            </w:r>
          </w:p>
        </w:tc>
        <w:tc>
          <w:tcPr>
            <w:tcW w:type="dxa" w:w="648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Annual state inflows with declared basis</w:t>
            </w:r>
          </w:p>
        </w:tc>
      </w:tr>
    </w:tbl>
    <w:p>
      <w:r>
        <w:rPr>
          <w:rFonts w:ascii="Arial" w:hAnsi="Arial" w:eastAsia="Noto Sans CJK KR"/>
          <w:b w:val="0"/>
          <w:color w:val="000000"/>
        </w:rPr>
      </w:r>
    </w:p>
    <w:p>
      <w:bookmarkStart w:id="125" w:name="chapter_125"/>
      <w:pPr>
        <w:pStyle w:val="Heading1"/>
      </w:pPr>
      <w:r>
        <w:rPr>
          <w:rFonts w:ascii="Arial" w:hAnsi="Arial" w:eastAsia="Noto Sans CJK KR"/>
          <w:b/>
          <w:color w:val="000000"/>
        </w:rPr>
        <w:t>11  Mixtures and co exposure</w:t>
      </w:r>
      <w:bookmarkEnd w:id="125"/>
    </w:p>
    <w:p>
      <w:pPr>
        <w:pStyle w:val="ScreenNote"/>
      </w:pPr>
      <w:r>
        <w:rPr>
          <w:b/>
        </w:rPr>
        <w:t>Interface example</w:t>
      </w:r>
    </w:p>
    <w:p>
      <w:pPr>
        <w:spacing w:before="100" w:after="40"/>
        <w:jc w:val="center"/>
      </w:pPr>
      <w:r>
        <w:drawing>
          <wp:inline xmlns:a="http://schemas.openxmlformats.org/drawingml/2006/main" xmlns:pic="http://schemas.openxmlformats.org/drawingml/2006/picture">
            <wp:extent cx="6172200" cy="4200525"/>
            <wp:docPr id="14" name="Picture 14"/>
            <wp:cNvGraphicFramePr>
              <a:graphicFrameLocks noChangeAspect="1"/>
            </wp:cNvGraphicFramePr>
            <a:graphic>
              <a:graphicData uri="http://schemas.openxmlformats.org/drawingml/2006/picture">
                <pic:pic>
                  <pic:nvPicPr>
                    <pic:cNvPr id="0" name="18_mixtures.png"/>
                    <pic:cNvPicPr/>
                  </pic:nvPicPr>
                  <pic:blipFill>
                    <a:blip r:embed="rId19"/>
                    <a:stretch>
                      <a:fillRect/>
                    </a:stretch>
                  </pic:blipFill>
                  <pic:spPr>
                    <a:xfrm>
                      <a:off x="0" y="0"/>
                      <a:ext cx="6172200" cy="4200525"/>
                    </a:xfrm>
                    <a:prstGeom prst="rect"/>
                  </pic:spPr>
                </pic:pic>
              </a:graphicData>
            </a:graphic>
          </wp:inline>
        </w:drawing>
      </w:r>
    </w:p>
    <w:p>
      <w:pPr>
        <w:pStyle w:val="ScreenCaption"/>
        <w:jc w:val="center"/>
      </w:pPr>
      <w:r>
        <w:t>Figure 14. Mixtures workspace for parallel material-specific MFA, co-occurrence, and HQ/HI screening.</w:t>
      </w:r>
    </w:p>
    <w:p>
      <w:r>
        <w:rPr>
          <w:rFonts w:ascii="Arial" w:hAnsi="Arial" w:eastAsia="Noto Sans CJK KR"/>
          <w:b w:val="0"/>
          <w:color w:val="000000"/>
        </w:rPr>
        <w:t>In Mixtures, define each component material and inflow. Inspect component results before applying formulation and co-occurrence assumptions. Retain the tracking basis and units of every component.</w:t>
      </w:r>
    </w:p>
    <w:p>
      <w:r>
        <w:rPr>
          <w:rFonts w:ascii="Arial" w:hAnsi="Arial" w:eastAsia="Noto Sans CJK KR"/>
          <w:b w:val="0"/>
          <w:color w:val="000000"/>
        </w:rPr>
        <w:t>HQ divides an exposure concentration by a comparable effect threshold. HI sums HQ values under the selected assumptions. Do not directly combine thresholds from incompatible receptors, durations, forms or endpoints.</w:t>
      </w:r>
    </w:p>
    <w:p>
      <w:r>
        <w:rPr>
          <w:rFonts w:ascii="Arial" w:hAnsi="Arial" w:eastAsia="Noto Sans CJK KR"/>
          <w:b w:val="0"/>
          <w:color w:val="000000"/>
        </w:rPr>
        <w:t>Co-occurrence does not establish toxicological interaction. Record separate evidence for synergy or antagonism. Report the dependence assumptions used for joint uncertainty. A mixture indicator does not validate the environmental fate of its components.</w:t>
      </w:r>
    </w:p>
    <w:p>
      <w:pPr>
        <w:jc w:val="center"/>
      </w:pPr>
      <m:oMathPara>
        <m:oMath>
          <m:r>
            <m:t>HQ = exposure concentration / comparable effect threshold</m:t>
          </m:r>
        </m:oMath>
      </m:oMathPara>
    </w:p>
    <w:p>
      <w:pPr>
        <w:jc w:val="center"/>
      </w:pPr>
      <m:oMathPara>
        <m:oMath>
          <m:r>
            <m:t>HI = sum of compatible HQ values</m:t>
          </m:r>
        </m:oMath>
      </m:oMathPara>
    </w:p>
    <w:p>
      <w:bookmarkStart w:id="131" w:name="chapter_131"/>
      <w:pPr>
        <w:pStyle w:val="Heading1"/>
      </w:pPr>
      <w:r>
        <w:rPr>
          <w:rFonts w:ascii="Arial" w:hAnsi="Arial" w:eastAsia="Noto Sans CJK KR"/>
          <w:b/>
          <w:color w:val="000000"/>
        </w:rPr>
        <w:t>12  Expert tools</w:t>
      </w:r>
      <w:bookmarkEnd w:id="131"/>
    </w:p>
    <w:p>
      <w:pPr>
        <w:pStyle w:val="ScreenNote"/>
      </w:pPr>
      <w:r>
        <w:rPr>
          <w:b/>
        </w:rPr>
        <w:t>Interface example</w:t>
      </w:r>
    </w:p>
    <w:p>
      <w:pPr>
        <w:spacing w:before="100" w:after="40"/>
        <w:jc w:val="center"/>
      </w:pPr>
      <w:r>
        <w:drawing>
          <wp:inline xmlns:a="http://schemas.openxmlformats.org/drawingml/2006/main" xmlns:pic="http://schemas.openxmlformats.org/drawingml/2006/picture">
            <wp:extent cx="6172200" cy="4200525"/>
            <wp:docPr id="15" name="Picture 15"/>
            <wp:cNvGraphicFramePr>
              <a:graphicFrameLocks noChangeAspect="1"/>
            </wp:cNvGraphicFramePr>
            <a:graphic>
              <a:graphicData uri="http://schemas.openxmlformats.org/drawingml/2006/picture">
                <pic:pic>
                  <pic:nvPicPr>
                    <pic:cNvPr id="0" name="13_expert_tools.png"/>
                    <pic:cNvPicPr/>
                  </pic:nvPicPr>
                  <pic:blipFill>
                    <a:blip r:embed="rId20"/>
                    <a:stretch>
                      <a:fillRect/>
                    </a:stretch>
                  </pic:blipFill>
                  <pic:spPr>
                    <a:xfrm>
                      <a:off x="0" y="0"/>
                      <a:ext cx="6172200" cy="4200525"/>
                    </a:xfrm>
                    <a:prstGeom prst="rect"/>
                  </pic:spPr>
                </pic:pic>
              </a:graphicData>
            </a:graphic>
          </wp:inline>
        </w:drawing>
      </w:r>
    </w:p>
    <w:p>
      <w:pPr>
        <w:pStyle w:val="ScreenCaption"/>
        <w:jc w:val="center"/>
      </w:pPr>
      <w:r>
        <w:t>Figure 15. Expert tools for trade, stock-driven dynamic MFA, reconciliation, calibration, and validation.</w:t>
      </w:r>
    </w:p>
    <w:p>
      <w:r>
        <w:rPr>
          <w:rFonts w:ascii="Arial" w:hAnsi="Arial" w:eastAsia="Noto Sans CJK KR"/>
          <w:b w:val="0"/>
          <w:color w:val="000000"/>
        </w:rPr>
        <w:t>Optional Expert tools answer different questions. Define the required inputs and output meaning, then activate tools individually. Outputs of different estimation problems do not automatically carry equivalent empirical support.</w:t>
      </w:r>
    </w:p>
    <w:p>
      <w:r>
        <w:rPr>
          <w:rFonts w:ascii="Arial" w:hAnsi="Arial" w:eastAsia="Noto Sans CJK KR"/>
          <w:b w:val="0"/>
          <w:color w:val="000000"/>
        </w:rPr>
        <w:t>For calibration, record the fitted parameter and the data used. Register calibration dataset IDs and evaluate against separate data. Fitting a scalar multiplier does not establish identifiability of individual kinetic rates.</w:t>
      </w:r>
    </w:p>
    <w:p>
      <w:r>
        <w:rPr>
          <w:rFonts w:ascii="Arial" w:hAnsi="Arial" w:eastAsia="Noto Sans CJK KR"/>
          <w:b w:val="0"/>
          <w:color w:val="000000"/>
        </w:rPr>
        <w:t>Stock-driven dynamic MFA infers the inflow required by a target stock trajectory and lifetime assumptions. Reproducing an entered stock trajectory does not validate subsequent environmental PECs. The 28-state linked uncertainty module does not support this driver mode.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056"/>
      </w:tblGrid>
      <w:tr>
        <w:trPr>
          <w:cantSplit/>
          <w:tblHeader/>
        </w:trPr>
        <w:tc>
          <w:tcPr>
            <w:tcW w:type="dxa" w:w="3024"/>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Tool</w:t>
            </w:r>
          </w:p>
        </w:tc>
        <w:tc>
          <w:tcPr>
            <w:tcW w:type="dxa" w:w="7056"/>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Question and boundary</w:t>
            </w:r>
          </w:p>
        </w:tc>
      </w:tr>
      <w:tr>
        <w:trPr>
          <w:cantSplit/>
        </w:trPr>
        <w:tc>
          <w:tcPr>
            <w:tcW w:type="dxa" w:w="3024"/>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Trade</w:t>
            </w:r>
          </w:p>
        </w:tc>
        <w:tc>
          <w:tcPr>
            <w:tcW w:type="dxa" w:w="7056"/>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Apparent consumption and allocation; not a complete MRIO.</w:t>
            </w:r>
          </w:p>
        </w:tc>
      </w:tr>
      <w:tr>
        <w:trPr>
          <w:cantSplit/>
        </w:trPr>
        <w:tc>
          <w:tcPr>
            <w:tcW w:type="dxa" w:w="3024"/>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Stock-driven MFA</w:t>
            </w:r>
          </w:p>
        </w:tc>
        <w:tc>
          <w:tcPr>
            <w:tcW w:type="dxa" w:w="7056"/>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Inflow inferred from target stocks; depends on lifetimes.</w:t>
            </w:r>
          </w:p>
        </w:tc>
      </w:tr>
      <w:tr>
        <w:trPr>
          <w:cantSplit/>
        </w:trPr>
        <w:tc>
          <w:tcPr>
            <w:tcW w:type="dxa" w:w="3024"/>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Reconciliation</w:t>
            </w:r>
          </w:p>
        </w:tc>
        <w:tc>
          <w:tcPr>
            <w:tcW w:type="dxa" w:w="7056"/>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Adjust observations under constraints; review weights.</w:t>
            </w:r>
          </w:p>
        </w:tc>
      </w:tr>
      <w:tr>
        <w:trPr>
          <w:cantSplit/>
        </w:trPr>
        <w:tc>
          <w:tcPr>
            <w:tcW w:type="dxa" w:w="3024"/>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Calibration</w:t>
            </w:r>
          </w:p>
        </w:tc>
        <w:tc>
          <w:tcPr>
            <w:tcW w:type="dxa" w:w="7056"/>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Fit parameters; separate validation is needed.</w:t>
            </w:r>
          </w:p>
        </w:tc>
      </w:tr>
      <w:tr>
        <w:trPr>
          <w:cantSplit/>
        </w:trPr>
        <w:tc>
          <w:tcPr>
            <w:tcW w:type="dxa" w:w="3024"/>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Reduced-form fate</w:t>
            </w:r>
          </w:p>
        </w:tc>
        <w:tc>
          <w:tcPr>
            <w:tcW w:type="dxa" w:w="7056"/>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Four-compartment comparison; differs from 28-state fate.</w:t>
            </w:r>
          </w:p>
        </w:tc>
      </w:tr>
      <w:tr>
        <w:trPr>
          <w:cantSplit/>
        </w:trPr>
        <w:tc>
          <w:tcPr>
            <w:tcW w:type="dxa" w:w="3024"/>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Burden indicator</w:t>
            </w:r>
          </w:p>
        </w:tc>
        <w:tc>
          <w:tcPr>
            <w:tcW w:type="dxa" w:w="7056"/>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Screening energy/climate co-indicator; not a complete LCA.</w:t>
            </w:r>
          </w:p>
        </w:tc>
      </w:tr>
    </w:tbl>
    <w:p>
      <w:r>
        <w:rPr>
          <w:rFonts w:ascii="Arial" w:hAnsi="Arial" w:eastAsia="Noto Sans CJK KR"/>
          <w:b w:val="0"/>
          <w:color w:val="000000"/>
        </w:rPr>
      </w:r>
    </w:p>
    <w:p>
      <w:bookmarkStart w:id="136" w:name="chapter_136"/>
      <w:pPr>
        <w:pStyle w:val="Heading1"/>
      </w:pPr>
      <w:r>
        <w:rPr>
          <w:rFonts w:ascii="Arial" w:hAnsi="Arial" w:eastAsia="Noto Sans CJK KR"/>
          <w:b/>
          <w:color w:val="000000"/>
        </w:rPr>
        <w:t>13  Scenario files and compatibility</w:t>
      </w:r>
      <w:bookmarkEnd w:id="136"/>
    </w:p>
    <w:p>
      <w:r>
        <w:rPr>
          <w:rFonts w:ascii="Arial" w:hAnsi="Arial" w:eastAsia="Noto Sans CJK KR"/>
          <w:b w:val="0"/>
          <w:color w:val="000000"/>
        </w:rPr>
        <w:t>Import Excel restores saved scenario inputs. Export the current scenario first if it must be retained. After import, review material, domain, horizon, tracking basis and enabled modules.</w:t>
      </w:r>
    </w:p>
    <w:p>
      <w:r>
        <w:rPr>
          <w:rFonts w:ascii="Arial" w:hAnsi="Arial" w:eastAsia="Noto Sans CJK KR"/>
          <w:b w:val="0"/>
          <w:color w:val="000000"/>
        </w:rPr>
        <w:t>Unsupported older mass-basis labels may migrate to parent-material-equivalent tracking. Review the meaning of initial values and recalculate. Numerical identity across versions is not guaranteed. Initial stocks already stored on a current scenario basis are not converted twice during import.</w:t>
      </w:r>
    </w:p>
    <w:p>
      <w:r>
        <w:rPr>
          <w:rFonts w:ascii="Arial" w:hAnsi="Arial" w:eastAsia="Noto Sans CJK KR"/>
          <w:b w:val="0"/>
          <w:color w:val="000000"/>
        </w:rPr>
        <w:t>Distinguish browser-held results from exported files. For a publication analysis, retain the program ZIP, scenario workbook, results workbook and observations used for interpretation together.</w:t>
      </w:r>
    </w:p>
    <w:p>
      <w:bookmarkStart w:id="140" w:name="chapter_140"/>
      <w:pPr>
        <w:pStyle w:val="Heading1"/>
      </w:pPr>
      <w:r>
        <w:rPr>
          <w:rFonts w:ascii="Arial" w:hAnsi="Arial" w:eastAsia="Noto Sans CJK KR"/>
          <w:b/>
          <w:color w:val="000000"/>
        </w:rPr>
        <w:t>14  Quality assurance and reproducibility</w:t>
      </w:r>
      <w:bookmarkEnd w:id="140"/>
    </w:p>
    <w:p>
      <w:r>
        <w:rPr>
          <w:rFonts w:ascii="Arial" w:hAnsi="Arial" w:eastAsia="Noto Sans CJK KR"/>
          <w:b w:val="0"/>
          <w:color w:val="000000"/>
        </w:rPr>
        <w:t>Separate input checks, conservation checks, numerical solution checks and field comparisons. Review input fractions and capacities, inspect mass balance, then assess convergence and sensitivity before comparison with independent observations.</w:t>
      </w:r>
    </w:p>
    <w:p>
      <w:r>
        <w:rPr>
          <w:rFonts w:ascii="Arial" w:hAnsi="Arial" w:eastAsia="Noto Sans CJK KR"/>
          <w:b w:val="0"/>
          <w:color w:val="000000"/>
        </w:rPr>
        <w:t>The independent SciPy comparison in v2.5.0 found a maximum 28-state stock difference of 7.73×10⁻¹² kg. This supports numerical solution of the specified linear equations. It does not establish that those equations adequately represent environmental chemistry.</w:t>
      </w:r>
    </w:p>
    <w:p>
      <w:r>
        <w:rPr>
          <w:rFonts w:ascii="Arial" w:hAnsi="Arial" w:eastAsia="Noto Sans CJK KR"/>
          <w:b w:val="0"/>
          <w:color w:val="000000"/>
        </w:rPr>
        <w:t>The v2.5.0 synthetic Ag test compared 500, 1,000, 2,000 and 5,000 draws across three seeds. Across 25,500 draws, the maximum quantile change was 7.47%. This passed the selected 10% criterion for that test, not for every scenario.</w:t>
      </w:r>
    </w:p>
    <w:p>
      <w:r>
        <w:rPr>
          <w:rFonts w:ascii="Arial" w:hAnsi="Arial" w:eastAsia="Noto Sans CJK KR"/>
          <w:b w:val="0"/>
          <w:color w:val="000000"/>
        </w:rPr>
        <w:t>The v2.5.1 calculation regressions passed ten checks, and the JSDOM input/output tests passed 18 checks. JSDOM does not verify actual Chrome typography, Plotly rendering or touch behavior. Actual browser verification status is recorded separately in the distributed UI_VERIFICATION report.</w:t>
      </w:r>
    </w:p>
    <w:p>
      <w:r>
        <w:rPr>
          <w:rFonts w:ascii="Arial" w:hAnsi="Arial" w:eastAsia="Noto Sans CJK KR"/>
          <w:b w:val="0"/>
          <w:color w:val="000000"/>
        </w:rPr>
        <w:t>Archive the software version and ZIP, input and result workbooks, seed, draw count, distributions and CVs, observations, calibration dataset IDs and reported output definitions.</w:t>
      </w:r>
    </w:p>
    <w:p>
      <w:bookmarkStart w:id="146" w:name="chapter_146"/>
      <w:pPr>
        <w:pStyle w:val="Heading1"/>
      </w:pPr>
      <w:r>
        <w:rPr>
          <w:rFonts w:ascii="Arial" w:hAnsi="Arial" w:eastAsia="Noto Sans CJK KR"/>
          <w:b/>
          <w:color w:val="000000"/>
        </w:rPr>
        <w:t>15  Troubleshooting</w:t>
      </w:r>
      <w:bookmarkEnd w:id="146"/>
    </w:p>
    <w:p>
      <w:pPr>
        <w:pStyle w:val="ScreenNote"/>
      </w:pPr>
      <w:r>
        <w:t>The mobile layout reflows the same functions vertically. The examples below were verified with Chromium mobile emulation at 390 × 844 px.</w:t>
      </w:r>
    </w:p>
    <w:tbl>
      <w:tblPr>
        <w:tblW w:type="auto" w:w="0"/>
        <w:jc w:val="center"/>
        <w:tblLayout w:type="fixed"/>
        <w:tblLook w:firstColumn="1" w:firstRow="1" w:lastColumn="0" w:lastRow="0" w:noHBand="0" w:noVBand="1" w:val="04A0"/>
      </w:tblPr>
      <w:tblGrid>
        <w:gridCol w:w="5040"/>
        <w:gridCol w:w="5040"/>
      </w:tblGrid>
      <w:tr>
        <w:tc>
          <w:tcPr>
            <w:tcW w:type="dxa" w:w="4680"/>
            <w:vAlign w:val="top"/>
            <w:tcMar>
              <w:top w:w="60" w:type="dxa"/>
              <w:start w:w="60" w:type="dxa"/>
              <w:bottom w:w="60" w:type="dxa"/>
              <w:end w:w="60" w:type="dxa"/>
            </w:tcMar>
          </w:tcPr>
          <w:p>
            <w:pPr>
              <w:jc w:val="center"/>
            </w:pPr>
            <w:r>
              <w:drawing>
                <wp:inline xmlns:a="http://schemas.openxmlformats.org/drawingml/2006/main" xmlns:pic="http://schemas.openxmlformats.org/drawingml/2006/picture">
                  <wp:extent cx="2331720" cy="5046081"/>
                  <wp:docPr id="17" name="Picture 17"/>
                  <wp:cNvGraphicFramePr>
                    <a:graphicFrameLocks noChangeAspect="1"/>
                  </wp:cNvGraphicFramePr>
                  <a:graphic>
                    <a:graphicData uri="http://schemas.openxmlformats.org/drawingml/2006/picture">
                      <pic:pic>
                        <pic:nvPicPr>
                          <pic:cNvPr id="0" name="16_mobile_overview.png"/>
                          <pic:cNvPicPr/>
                        </pic:nvPicPr>
                        <pic:blipFill>
                          <a:blip r:embed="rId22"/>
                          <a:stretch>
                            <a:fillRect/>
                          </a:stretch>
                        </pic:blipFill>
                        <pic:spPr>
                          <a:xfrm>
                            <a:off x="0" y="0"/>
                            <a:ext cx="2331720" cy="5046081"/>
                          </a:xfrm>
                          <a:prstGeom prst="rect"/>
                        </pic:spPr>
                      </pic:pic>
                    </a:graphicData>
                  </a:graphic>
                </wp:inline>
              </w:drawing>
            </w:r>
          </w:p>
          <w:p>
            <w:pPr>
              <w:jc w:val="center"/>
            </w:pPr>
            <w:r>
              <w:rPr>
                <w:rFonts w:ascii="Arial" w:hAnsi="Arial"/>
                <w:i/>
                <w:sz w:val="16"/>
              </w:rPr>
              <w:t>Main screen</w:t>
            </w:r>
          </w:p>
        </w:tc>
        <w:tc>
          <w:tcPr>
            <w:tcW w:type="dxa" w:w="4680"/>
            <w:vAlign w:val="top"/>
            <w:tcMar>
              <w:top w:w="60" w:type="dxa"/>
              <w:start w:w="60" w:type="dxa"/>
              <w:bottom w:w="60" w:type="dxa"/>
              <w:end w:w="60" w:type="dxa"/>
            </w:tcMar>
          </w:tcPr>
          <w:p>
            <w:pPr>
              <w:jc w:val="center"/>
            </w:pPr>
            <w:r>
              <w:drawing>
                <wp:inline xmlns:a="http://schemas.openxmlformats.org/drawingml/2006/main" xmlns:pic="http://schemas.openxmlformats.org/drawingml/2006/picture">
                  <wp:extent cx="2331720" cy="5046081"/>
                  <wp:docPr id="18" name="Picture 18"/>
                  <wp:cNvGraphicFramePr>
                    <a:graphicFrameLocks noChangeAspect="1"/>
                  </wp:cNvGraphicFramePr>
                  <a:graphic>
                    <a:graphicData uri="http://schemas.openxmlformats.org/drawingml/2006/picture">
                      <pic:pic>
                        <pic:nvPicPr>
                          <pic:cNvPr id="0" name="17_mobile_results.png"/>
                          <pic:cNvPicPr/>
                        </pic:nvPicPr>
                        <pic:blipFill>
                          <a:blip r:embed="rId23"/>
                          <a:stretch>
                            <a:fillRect/>
                          </a:stretch>
                        </pic:blipFill>
                        <pic:spPr>
                          <a:xfrm>
                            <a:off x="0" y="0"/>
                            <a:ext cx="2331720" cy="5046081"/>
                          </a:xfrm>
                          <a:prstGeom prst="rect"/>
                        </pic:spPr>
                      </pic:pic>
                    </a:graphicData>
                  </a:graphic>
                </wp:inline>
              </w:drawing>
            </w:r>
          </w:p>
          <w:p>
            <w:pPr>
              <w:jc w:val="center"/>
            </w:pPr>
            <w:r>
              <w:rPr>
                <w:rFonts w:ascii="Arial" w:hAnsi="Arial"/>
                <w:i/>
                <w:sz w:val="16"/>
              </w:rPr>
              <w:t>Results screen</w:t>
            </w:r>
          </w:p>
        </w:tc>
      </w:tr>
    </w:tbl>
    <w:p>
      <w:pPr>
        <w:pStyle w:val="ScreenCaption"/>
        <w:jc w:val="center"/>
      </w:pPr>
      <w:r>
        <w:t>Figure 17. Mobile layout examples. Left: main screen; right: results screen.</w:t>
      </w:r>
    </w:p>
    <w:p>
      <w:r>
        <w:rPr>
          <w:rFonts w:ascii="Arial" w:hAnsi="Arial" w:eastAsia="Noto Sans CJK KR"/>
          <w:b w:val="0"/>
          <w:color w:val="000000"/>
        </w:rPr>
        <w:t>Export scenario Excel saves inputs. The results reproducibility package includes outputs, evidence, observation comparison and current diagnostics. Export diagnostics Excel saves sensitivity and repeatability separately. Recalculate after changing inputs.</w:t>
      </w:r>
    </w:p>
    <w:p>
      <w:r>
        <w:rPr>
          <w:rFonts w:ascii="Arial" w:hAnsi="Arial" w:eastAsia="Noto Sans CJK KR"/>
          <w:b w:val="0"/>
          <w:color w:val="000000"/>
        </w:rPr>
        <w:t>Save in browser and autosave depend on the current browser's storage. Clearing browser data or changing computers may remove access. Use exported Excel files for durable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Problem</w:t>
            </w:r>
          </w:p>
        </w:tc>
        <w:tc>
          <w:tcPr>
            <w:tcW w:type="dxa" w:w="7200"/>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What to check</w:t>
            </w:r>
          </w:p>
        </w:tc>
      </w:tr>
      <w:tr>
        <w:trPr>
          <w:cantSplit/>
        </w:trPr>
        <w:tc>
          <w:tcPr>
            <w:tcW w:type="dxa" w:w="288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Empty chart</w:t>
            </w:r>
          </w:p>
        </w:tc>
        <w:tc>
          <w:tcPr>
            <w:tcW w:type="dxa" w:w="720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Extract the complete ZIP and run Calculate. Open the results tab and resize the window.</w:t>
            </w:r>
          </w:p>
        </w:tc>
      </w:tr>
      <w:tr>
        <w:trPr>
          <w:cantSplit/>
        </w:trPr>
        <w:tc>
          <w:tcPr>
            <w:tcW w:type="dxa" w:w="288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No steady convergence</w:t>
            </w:r>
          </w:p>
        </w:tc>
        <w:tc>
          <w:tcPr>
            <w:tcW w:type="dxa" w:w="720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Inspect continuous inputs, removal paths and retained states. Use dynamic results when removal is physically absent.</w:t>
            </w:r>
          </w:p>
        </w:tc>
      </w:tr>
      <w:tr>
        <w:trPr>
          <w:cantSplit/>
        </w:trPr>
        <w:tc>
          <w:tcPr>
            <w:tcW w:type="dxa" w:w="288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Observation excluded</w:t>
            </w:r>
          </w:p>
        </w:tc>
        <w:tc>
          <w:tcPr>
            <w:tcW w:type="dxa" w:w="720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Read the exclusion reason. Check medium, form, basis, year, statistic and dry-weight units.</w:t>
            </w:r>
          </w:p>
        </w:tc>
      </w:tr>
      <w:tr>
        <w:trPr>
          <w:cantSplit/>
        </w:trPr>
        <w:tc>
          <w:tcPr>
            <w:tcW w:type="dxa" w:w="288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Clipped text</w:t>
            </w:r>
          </w:p>
        </w:tc>
        <w:tc>
          <w:tcPr>
            <w:tcW w:type="dxa" w:w="720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Check browser zoom at 100% and Text size. Use horizontal scrolling inside wide tables.</w:t>
            </w:r>
          </w:p>
        </w:tc>
      </w:tr>
    </w:tbl>
    <w:p>
      <w:r>
        <w:rPr>
          <w:rFonts w:ascii="Arial" w:hAnsi="Arial" w:eastAsia="Noto Sans CJK KR"/>
          <w:b w:val="0"/>
          <w:color w:val="000000"/>
        </w:rPr>
      </w:r>
    </w:p>
    <w:p>
      <w:r>
        <w:rPr>
          <w:rFonts w:ascii="Arial" w:hAnsi="Arial" w:eastAsia="Noto Sans CJK KR"/>
          <w:b w:val="0"/>
          <w:color w:val="000000"/>
        </w:rPr>
        <w:t>Verification scope:Actual browser charts and mobile rendering could not be verified in the build environment because local-file access was blocked. Source/event checks are distinct from rendered-screen verification. See the methods and published-data applicability check for scientific boundaries.</w:t>
      </w:r>
    </w:p>
    <w:p>
      <w:bookmarkStart w:id="151" w:name="chapter_151"/>
      <w:pPr>
        <w:pStyle w:val="Heading1"/>
      </w:pPr>
      <w:r>
        <w:rPr>
          <w:rFonts w:ascii="Arial" w:hAnsi="Arial" w:eastAsia="Noto Sans CJK KR"/>
          <w:b/>
          <w:color w:val="000000"/>
        </w:rPr>
        <w:t>16  Scientific interpretation boundaries</w:t>
      </w:r>
      <w:bookmarkEnd w:id="151"/>
    </w:p>
    <w:p>
      <w:pPr>
        <w:pStyle w:val="ScreenNote"/>
      </w:pPr>
      <w:r>
        <w:rPr>
          <w:b/>
        </w:rPr>
        <w:t>Interface example</w:t>
      </w:r>
    </w:p>
    <w:p>
      <w:pPr>
        <w:spacing w:before="100" w:after="40"/>
        <w:jc w:val="center"/>
      </w:pPr>
      <w:r>
        <w:drawing>
          <wp:inline xmlns:a="http://schemas.openxmlformats.org/drawingml/2006/main" xmlns:pic="http://schemas.openxmlformats.org/drawingml/2006/picture">
            <wp:extent cx="6172200" cy="4200525"/>
            <wp:docPr id="16" name="Picture 16"/>
            <wp:cNvGraphicFramePr>
              <a:graphicFrameLocks noChangeAspect="1"/>
            </wp:cNvGraphicFramePr>
            <a:graphic>
              <a:graphicData uri="http://schemas.openxmlformats.org/drawingml/2006/picture">
                <pic:pic>
                  <pic:nvPicPr>
                    <pic:cNvPr id="0" name="14_methods_limits.png"/>
                    <pic:cNvPicPr/>
                  </pic:nvPicPr>
                  <pic:blipFill>
                    <a:blip r:embed="rId21"/>
                    <a:stretch>
                      <a:fillRect/>
                    </a:stretch>
                  </pic:blipFill>
                  <pic:spPr>
                    <a:xfrm>
                      <a:off x="0" y="0"/>
                      <a:ext cx="6172200" cy="4200525"/>
                    </a:xfrm>
                    <a:prstGeom prst="rect"/>
                  </pic:spPr>
                </pic:pic>
              </a:graphicData>
            </a:graphic>
          </wp:inline>
        </w:drawing>
      </w:r>
    </w:p>
    <w:p>
      <w:pPr>
        <w:pStyle w:val="ScreenCaption"/>
        <w:jc w:val="center"/>
      </w:pPr>
      <w:r>
        <w:t>Figure 16. Methods &amp; limits workspace describing model boundaries, equations, interpretation, and limitations.</w:t>
      </w:r>
    </w:p>
    <w:p>
      <w:r>
        <w:rPr>
          <w:rFonts w:ascii="Arial" w:hAnsi="Arial" w:eastAsia="Noto Sans CJK KR"/>
          <w:b w:val="0"/>
          <w:color w:val="000000"/>
        </w:rPr>
        <w:t>A PEC is a prediction derived from defined material quantities and environmental capacities. Numerical precision does not remove uncertainty in inputs or model structure. Choose reported significant figures with the precision of the source data in mind.</w:t>
      </w:r>
    </w:p>
    <w:p>
      <w:r>
        <w:rPr>
          <w:rFonts w:ascii="Arial" w:hAnsi="Arial" w:eastAsia="Noto Sans CJK KR"/>
          <w:b w:val="0"/>
          <w:color w:val="000000"/>
        </w:rPr>
        <w:t>The model uses spatial averages, operational forms and first-order rates. It does not resolve within-river concentration gradients, complete size distributions, pH-dependent speciation equilibrium or food-web transfer. Additional modeling is needed when these processes determine the research conclusion.</w:t>
      </w:r>
    </w:p>
    <w:p>
      <w:r>
        <w:rPr>
          <w:rFonts w:ascii="Arial" w:hAnsi="Arial" w:eastAsia="Noto Sans CJK KR"/>
          <w:b w:val="0"/>
          <w:color w:val="000000"/>
        </w:rPr>
        <w:t>Do not call agreement with calibration data independent validation. Agreement in concentration scale with another model is also distinct from validation against measurements. Report model-to-model agreement, parameter fitting and field validation separately.</w:t>
      </w:r>
    </w:p>
    <w:p>
      <w:bookmarkStart w:id="155" w:name="chapter_155"/>
      <w:pPr>
        <w:pStyle w:val="Heading1"/>
      </w:pPr>
      <w:r>
        <w:rPr>
          <w:rFonts w:ascii="Arial" w:hAnsi="Arial" w:eastAsia="Noto Sans CJK KR"/>
          <w:b/>
          <w:color w:val="000000"/>
        </w:rPr>
        <w:t>A  Feature directory</w:t>
      </w:r>
      <w:bookmarkEnd w:id="155"/>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6912"/>
      </w:tblGrid>
      <w:tr>
        <w:trPr>
          <w:cantSplit/>
          <w:tblHeader/>
        </w:trPr>
        <w:tc>
          <w:tcPr>
            <w:tcW w:type="dxa" w:w="3168"/>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Workspace</w:t>
            </w:r>
          </w:p>
        </w:tc>
        <w:tc>
          <w:tcPr>
            <w:tcW w:type="dxa" w:w="6912"/>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Functions</w:t>
            </w:r>
          </w:p>
        </w:tc>
      </w:tr>
      <w:tr>
        <w:trPr>
          <w:cantSplit/>
        </w:trPr>
        <w:tc>
          <w:tcPr>
            <w:tcW w:type="dxa" w:w="31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Study setup</w:t>
            </w:r>
          </w:p>
        </w:tc>
        <w:tc>
          <w:tcPr>
            <w:tcW w:type="dxa" w:w="69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Material, domain, mode, dynamic horizon</w:t>
            </w:r>
          </w:p>
        </w:tc>
      </w:tr>
      <w:tr>
        <w:trPr>
          <w:cantSplit/>
        </w:trPr>
        <w:tc>
          <w:tcPr>
            <w:tcW w:type="dxa" w:w="31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Product inventory</w:t>
            </w:r>
          </w:p>
        </w:tc>
        <w:tc>
          <w:tcPr>
            <w:tcW w:type="dxa" w:w="69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Product amount, content, use release, lifetime, EoL</w:t>
            </w:r>
          </w:p>
        </w:tc>
      </w:tr>
      <w:tr>
        <w:trPr>
          <w:cantSplit/>
        </w:trPr>
        <w:tc>
          <w:tcPr>
            <w:tcW w:type="dxa" w:w="31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Treatment &amp; EoL</w:t>
            </w:r>
          </w:p>
        </w:tc>
        <w:tc>
          <w:tcPr>
            <w:tcW w:type="dxa" w:w="69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WWTP, incineration, landfill, recycling, reuse, sludge</w:t>
            </w:r>
          </w:p>
        </w:tc>
      </w:tr>
      <w:tr>
        <w:trPr>
          <w:cantSplit/>
        </w:trPr>
        <w:tc>
          <w:tcPr>
            <w:tcW w:type="dxa" w:w="31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Geography &amp; PEC</w:t>
            </w:r>
          </w:p>
        </w:tc>
        <w:tc>
          <w:tcPr>
            <w:tcW w:type="dxa" w:w="69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Domain statistics and environmental capacities</w:t>
            </w:r>
          </w:p>
        </w:tc>
      </w:tr>
      <w:tr>
        <w:trPr>
          <w:cantSplit/>
        </w:trPr>
        <w:tc>
          <w:tcPr>
            <w:tcW w:type="dxa" w:w="31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Nanoform &amp; fate</w:t>
            </w:r>
          </w:p>
        </w:tc>
        <w:tc>
          <w:tcPr>
            <w:tcW w:type="dxa" w:w="69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Forms, basis, initial stocks, rates, storms, external input</w:t>
            </w:r>
          </w:p>
        </w:tc>
      </w:tr>
      <w:tr>
        <w:trPr>
          <w:cantSplit/>
        </w:trPr>
        <w:tc>
          <w:tcPr>
            <w:tcW w:type="dxa" w:w="31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Evidence &amp; QA</w:t>
            </w:r>
          </w:p>
        </w:tc>
        <w:tc>
          <w:tcPr>
            <w:tcW w:type="dxa" w:w="69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Sources, observations, benchmarks, parameter audit</w:t>
            </w:r>
          </w:p>
        </w:tc>
      </w:tr>
      <w:tr>
        <w:trPr>
          <w:cantSplit/>
        </w:trPr>
        <w:tc>
          <w:tcPr>
            <w:tcW w:type="dxa" w:w="31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Uncertainty</w:t>
            </w:r>
          </w:p>
        </w:tc>
        <w:tc>
          <w:tcPr>
            <w:tcW w:type="dxa" w:w="69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Base Monte Carlo and distributions</w:t>
            </w:r>
          </w:p>
        </w:tc>
      </w:tr>
      <w:tr>
        <w:trPr>
          <w:cantSplit/>
        </w:trPr>
        <w:tc>
          <w:tcPr>
            <w:tcW w:type="dxa" w:w="31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Results</w:t>
            </w:r>
          </w:p>
        </w:tc>
        <w:tc>
          <w:tcPr>
            <w:tcW w:type="dxa" w:w="69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Sankey, flows, stocks, PECs, scenario comparison</w:t>
            </w:r>
          </w:p>
        </w:tc>
      </w:tr>
      <w:tr>
        <w:trPr>
          <w:cantSplit/>
        </w:trPr>
        <w:tc>
          <w:tcPr>
            <w:tcW w:type="dxa" w:w="31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Mixtures</w:t>
            </w:r>
          </w:p>
        </w:tc>
        <w:tc>
          <w:tcPr>
            <w:tcW w:type="dxa" w:w="69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Components, co-occurrence, HQ, HI, joint uncertainty</w:t>
            </w:r>
          </w:p>
        </w:tc>
      </w:tr>
      <w:tr>
        <w:trPr>
          <w:cantSplit/>
        </w:trPr>
        <w:tc>
          <w:tcPr>
            <w:tcW w:type="dxa" w:w="31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Expert tools</w:t>
            </w:r>
          </w:p>
        </w:tc>
        <w:tc>
          <w:tcPr>
            <w:tcW w:type="dxa" w:w="69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Trade, stock-driven MFA, reconciliation, fitting, reduced fate</w:t>
            </w:r>
          </w:p>
        </w:tc>
      </w:tr>
      <w:tr>
        <w:trPr>
          <w:cantSplit/>
        </w:trPr>
        <w:tc>
          <w:tcPr>
            <w:tcW w:type="dxa" w:w="31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Methods &amp; limits</w:t>
            </w:r>
          </w:p>
        </w:tc>
        <w:tc>
          <w:tcPr>
            <w:tcW w:type="dxa" w:w="69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Equations, boundaries and license</w:t>
            </w:r>
          </w:p>
        </w:tc>
      </w:tr>
    </w:tbl>
    <w:p>
      <w:r>
        <w:rPr>
          <w:rFonts w:ascii="Arial" w:hAnsi="Arial" w:eastAsia="Noto Sans CJK KR"/>
          <w:b w:val="0"/>
          <w:color w:val="000000"/>
        </w:rPr>
      </w:r>
    </w:p>
    <w:p>
      <w:bookmarkStart w:id="157" w:name="chapter_157"/>
      <w:pPr>
        <w:pStyle w:val="Heading1"/>
      </w:pPr>
      <w:r>
        <w:rPr>
          <w:rFonts w:ascii="Arial" w:hAnsi="Arial" w:eastAsia="Noto Sans CJK KR"/>
          <w:b/>
          <w:color w:val="000000"/>
        </w:rPr>
        <w:t>B  Units and tracking basis</w:t>
      </w:r>
      <w:bookmarkEnd w:id="157"/>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472"/>
        <w:gridCol w:w="4608"/>
      </w:tblGrid>
      <w:tr>
        <w:trPr>
          <w:cantSplit/>
          <w:tblHeader/>
        </w:trPr>
        <w:tc>
          <w:tcPr>
            <w:tcW w:type="dxa" w:w="5472"/>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Quantity</w:t>
            </w:r>
          </w:p>
        </w:tc>
        <w:tc>
          <w:tcPr>
            <w:tcW w:type="dxa" w:w="4608"/>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Unit</w:t>
            </w:r>
          </w:p>
        </w:tc>
      </w:tr>
      <w:tr>
        <w:trPr>
          <w:cantSplit/>
        </w:trPr>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Annual flow</w:t>
            </w:r>
          </w:p>
        </w:tc>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kg/year</w:t>
            </w:r>
          </w:p>
        </w:tc>
      </w:tr>
      <w:tr>
        <w:trPr>
          <w:cantSplit/>
        </w:trPr>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Stock</w:t>
            </w:r>
          </w:p>
        </w:tc>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kg</w:t>
            </w:r>
          </w:p>
        </w:tc>
      </w:tr>
      <w:tr>
        <w:trPr>
          <w:cantSplit/>
        </w:trPr>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Water and effluent PEC</w:t>
            </w:r>
          </w:p>
        </w:tc>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µg/L</w:t>
            </w:r>
          </w:p>
        </w:tc>
      </w:tr>
      <w:tr>
        <w:trPr>
          <w:cantSplit/>
        </w:trPr>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Soil sediment sludge PEC</w:t>
            </w:r>
          </w:p>
        </w:tc>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µg/kg dry</w:t>
            </w:r>
          </w:p>
        </w:tc>
      </w:tr>
      <w:tr>
        <w:trPr>
          <w:cantSplit/>
        </w:trPr>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Air PEC</w:t>
            </w:r>
          </w:p>
        </w:tc>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ng/m³</w:t>
            </w:r>
          </w:p>
        </w:tc>
      </w:tr>
      <w:tr>
        <w:trPr>
          <w:cantSplit/>
        </w:trPr>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First-order rate</w:t>
            </w:r>
          </w:p>
        </w:tc>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1/year</w:t>
            </w:r>
          </w:p>
        </w:tc>
      </w:tr>
      <w:tr>
        <w:trPr>
          <w:cantSplit/>
        </w:trPr>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Water residence time</w:t>
            </w:r>
          </w:p>
        </w:tc>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days</w:t>
            </w:r>
          </w:p>
        </w:tc>
      </w:tr>
      <w:tr>
        <w:trPr>
          <w:cantSplit/>
        </w:trPr>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River discharge</w:t>
            </w:r>
          </w:p>
        </w:tc>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m³/s</w:t>
            </w:r>
          </w:p>
        </w:tc>
      </w:tr>
      <w:tr>
        <w:trPr>
          <w:cantSplit/>
        </w:trPr>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Soil receiving area</w:t>
            </w:r>
          </w:p>
        </w:tc>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ha  [1 ha = 10 000 m²]</w:t>
            </w:r>
          </w:p>
        </w:tc>
      </w:tr>
      <w:tr>
        <w:trPr>
          <w:cantSplit/>
        </w:trPr>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Sediment area</w:t>
            </w:r>
          </w:p>
        </w:tc>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km²</w:t>
            </w:r>
          </w:p>
        </w:tc>
      </w:tr>
      <w:tr>
        <w:trPr>
          <w:cantSplit/>
        </w:trPr>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Mixing depth</w:t>
            </w:r>
          </w:p>
        </w:tc>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m</w:t>
            </w:r>
          </w:p>
        </w:tc>
      </w:tr>
      <w:tr>
        <w:trPr>
          <w:cantSplit/>
        </w:trPr>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Dry bulk density</w:t>
            </w:r>
          </w:p>
        </w:tc>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kg/m³</w:t>
            </w:r>
          </w:p>
        </w:tc>
      </w:tr>
      <w:tr>
        <w:trPr>
          <w:cantSplit/>
        </w:trPr>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Particle diameter</w:t>
            </w:r>
          </w:p>
        </w:tc>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nm</w:t>
            </w:r>
          </w:p>
        </w:tc>
      </w:tr>
      <w:tr>
        <w:trPr>
          <w:cantSplit/>
        </w:trPr>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Dynamic viscosity</w:t>
            </w:r>
          </w:p>
        </w:tc>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Pa s</w:t>
            </w:r>
          </w:p>
        </w:tc>
      </w:tr>
      <w:tr>
        <w:trPr>
          <w:cantSplit/>
        </w:trPr>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Collision kernel</w:t>
            </w:r>
          </w:p>
        </w:tc>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m³/s</w:t>
            </w:r>
          </w:p>
        </w:tc>
      </w:tr>
      <w:tr>
        <w:trPr>
          <w:cantSplit/>
        </w:trPr>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Background number</w:t>
            </w:r>
          </w:p>
        </w:tc>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1/m³</w:t>
            </w:r>
          </w:p>
        </w:tc>
      </w:tr>
      <w:tr>
        <w:trPr>
          <w:cantSplit/>
        </w:trPr>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Content and nano-enabled share</w:t>
            </w:r>
          </w:p>
        </w:tc>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w:t>
            </w:r>
          </w:p>
        </w:tc>
      </w:tr>
      <w:tr>
        <w:trPr>
          <w:cantSplit/>
        </w:trPr>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CV</w:t>
            </w:r>
          </w:p>
        </w:tc>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dimensionless</w:t>
            </w:r>
          </w:p>
        </w:tc>
      </w:tr>
    </w:tbl>
    <w:p>
      <w:r>
        <w:rPr>
          <w:rFonts w:ascii="Arial" w:hAnsi="Arial" w:eastAsia="Noto Sans CJK KR"/>
          <w:b w:val="0"/>
          <w:color w:val="000000"/>
        </w:rPr>
      </w:r>
    </w:p>
    <w:p>
      <w:r>
        <w:rPr>
          <w:rFonts w:ascii="Arial" w:hAnsi="Arial" w:eastAsia="Noto Sans CJK KR"/>
          <w:b w:val="0"/>
          <w:color w:val="000000"/>
        </w:rPr>
        <w:t>Dissolved form is not a separate mass unit. Tracking basis and form are different attributes. Element-equivalent selection converts the mass basis; it does not automatically change the physical form.</w:t>
      </w:r>
    </w:p>
    <w:p>
      <w:bookmarkStart w:id="160" w:name="chapter_160"/>
      <w:pPr>
        <w:pStyle w:val="Heading1"/>
      </w:pPr>
      <w:r>
        <w:rPr>
          <w:rFonts w:ascii="Arial" w:hAnsi="Arial" w:eastAsia="Noto Sans CJK KR"/>
          <w:b/>
          <w:color w:val="000000"/>
        </w:rPr>
        <w:t>C  Distribution files</w:t>
      </w:r>
      <w:bookmarkEnd w:id="160"/>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5472"/>
      </w:tblGrid>
      <w:tr>
        <w:trPr>
          <w:cantSplit/>
          <w:tblHeader/>
        </w:trPr>
        <w:tc>
          <w:tcPr>
            <w:tcW w:type="dxa" w:w="4608"/>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File</w:t>
            </w:r>
          </w:p>
        </w:tc>
        <w:tc>
          <w:tcPr>
            <w:tcW w:type="dxa" w:w="5472"/>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Purpose</w:t>
            </w:r>
          </w:p>
        </w:tc>
      </w:tr>
      <w:tr>
        <w:trPr>
          <w:cantSplit/>
        </w:trPr>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index.html / styles.css</w:t>
            </w:r>
          </w:p>
        </w:tc>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Interface and styles</w:t>
            </w:r>
          </w:p>
        </w:tc>
      </w:tr>
      <w:tr>
        <w:trPr>
          <w:cantSplit/>
        </w:trPr>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data.js / engine.js</w:t>
            </w:r>
          </w:p>
        </w:tc>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Base data and MFA calculations</w:t>
            </w:r>
          </w:p>
        </w:tc>
      </w:tr>
      <w:tr>
        <w:trPr>
          <w:cantSplit/>
        </w:trPr>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nanoform.js / dynamic_fate.js</w:t>
            </w:r>
          </w:p>
        </w:tc>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Form allocation and dynamic fate</w:t>
            </w:r>
          </w:p>
        </w:tc>
      </w:tr>
      <w:tr>
        <w:trPr>
          <w:cantSplit/>
        </w:trPr>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reliability_core.js / reliability_ui.js</w:t>
            </w:r>
          </w:p>
        </w:tc>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Numerical diagnostics and observation comparison</w:t>
            </w:r>
          </w:p>
        </w:tc>
      </w:tr>
      <w:tr>
        <w:trPr>
          <w:cantSplit/>
        </w:trPr>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research_core.js / research_ui.js</w:t>
            </w:r>
          </w:p>
        </w:tc>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Evidence, sensitivity and repeatability</w:t>
            </w:r>
          </w:p>
        </w:tc>
      </w:tr>
      <w:tr>
        <w:trPr>
          <w:cantSplit/>
        </w:trPr>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excel_io.js</w:t>
            </w:r>
          </w:p>
        </w:tc>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Excel import and export</w:t>
            </w:r>
          </w:p>
        </w:tc>
      </w:tr>
      <w:tr>
        <w:trPr>
          <w:cantSplit/>
        </w:trPr>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USER_MANUAL_EN.html / USER_MANUAL_KO.html</w:t>
            </w:r>
          </w:p>
        </w:tc>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Quick web guides</w:t>
            </w:r>
          </w:p>
        </w:tc>
      </w:tr>
      <w:tr>
        <w:trPr>
          <w:cantSplit/>
        </w:trPr>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K-NanoMFA_User_Manual_v2.5.1_EN.docx and .pdf</w:t>
            </w:r>
          </w:p>
        </w:tc>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Detailed English manual</w:t>
            </w:r>
          </w:p>
        </w:tc>
      </w:tr>
      <w:tr>
        <w:trPr>
          <w:cantSplit/>
        </w:trPr>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K-NanoMFA_User_Manual_v2.5.1_KO.docx and .pdf</w:t>
            </w:r>
          </w:p>
        </w:tc>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Detailed Korean manual</w:t>
            </w:r>
          </w:p>
        </w:tc>
      </w:tr>
      <w:tr>
        <w:trPr>
          <w:cantSplit/>
        </w:trPr>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SCIENTIFIC_METHODS_v2.5.0.md</w:t>
            </w:r>
          </w:p>
        </w:tc>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Equations and assumptions</w:t>
            </w:r>
          </w:p>
        </w:tc>
      </w:tr>
      <w:tr>
        <w:trPr>
          <w:cantSplit/>
        </w:trPr>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UI_VERIFICATION_v2.5.1.md</w:t>
            </w:r>
          </w:p>
        </w:tc>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UI verification scope</w:t>
            </w:r>
          </w:p>
        </w:tc>
      </w:tr>
      <w:tr>
        <w:trPr>
          <w:cantSplit/>
        </w:trPr>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FILE_CHECKSUMS.sha256</w:t>
            </w:r>
          </w:p>
        </w:tc>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File integrity manifest</w:t>
            </w:r>
          </w:p>
        </w:tc>
      </w:tr>
    </w:tbl>
    <w:p>
      <w:r>
        <w:rPr>
          <w:rFonts w:ascii="Arial" w:hAnsi="Arial" w:eastAsia="Noto Sans CJK KR"/>
          <w:b w:val="0"/>
          <w:color w:val="000000"/>
        </w:rPr>
      </w:r>
    </w:p>
    <w:p>
      <w:bookmarkStart w:id="162" w:name="chapter_162"/>
      <w:pPr>
        <w:pStyle w:val="Heading1"/>
      </w:pPr>
      <w:r>
        <w:rPr>
          <w:rFonts w:ascii="Arial" w:hAnsi="Arial" w:eastAsia="Noto Sans CJK KR"/>
          <w:b/>
          <w:color w:val="000000"/>
        </w:rPr>
        <w:t>D  MFA terms and output fields</w:t>
      </w:r>
      <w:bookmarkEnd w:id="16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056"/>
      </w:tblGrid>
      <w:tr>
        <w:trPr>
          <w:cantSplit/>
          <w:tblHeader/>
        </w:trPr>
        <w:tc>
          <w:tcPr>
            <w:tcW w:type="dxa" w:w="3024"/>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Term</w:t>
            </w:r>
          </w:p>
        </w:tc>
        <w:tc>
          <w:tcPr>
            <w:tcW w:type="dxa" w:w="7056"/>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Meaning</w:t>
            </w:r>
          </w:p>
        </w:tc>
      </w:tr>
      <w:tr>
        <w:trPr>
          <w:cantSplit/>
        </w:trPr>
        <w:tc>
          <w:tcPr>
            <w:tcW w:type="dxa" w:w="3024"/>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Process</w:t>
            </w:r>
          </w:p>
        </w:tc>
        <w:tc>
          <w:tcPr>
            <w:tcW w:type="dxa" w:w="7056"/>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A modeled activity such as use or treatment</w:t>
            </w:r>
          </w:p>
        </w:tc>
      </w:tr>
      <w:tr>
        <w:trPr>
          <w:cantSplit/>
        </w:trPr>
        <w:tc>
          <w:tcPr>
            <w:tcW w:type="dxa" w:w="3024"/>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Flow</w:t>
            </w:r>
          </w:p>
        </w:tc>
        <w:tc>
          <w:tcPr>
            <w:tcW w:type="dxa" w:w="7056"/>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Material exchanged between processes or across a boundary</w:t>
            </w:r>
          </w:p>
        </w:tc>
      </w:tr>
      <w:tr>
        <w:trPr>
          <w:cantSplit/>
        </w:trPr>
        <w:tc>
          <w:tcPr>
            <w:tcW w:type="dxa" w:w="3024"/>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Inflow / outflow</w:t>
            </w:r>
          </w:p>
        </w:tc>
        <w:tc>
          <w:tcPr>
            <w:tcW w:type="dxa" w:w="7056"/>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Flow entering or leaving a defined boundary</w:t>
            </w:r>
          </w:p>
        </w:tc>
      </w:tr>
      <w:tr>
        <w:trPr>
          <w:cantSplit/>
        </w:trPr>
        <w:tc>
          <w:tcPr>
            <w:tcW w:type="dxa" w:w="3024"/>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Stock</w:t>
            </w:r>
          </w:p>
        </w:tc>
        <w:tc>
          <w:tcPr>
            <w:tcW w:type="dxa" w:w="7056"/>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Retained mass at a specified time</w:t>
            </w:r>
          </w:p>
        </w:tc>
      </w:tr>
      <w:tr>
        <w:trPr>
          <w:cantSplit/>
        </w:trPr>
        <w:tc>
          <w:tcPr>
            <w:tcW w:type="dxa" w:w="3024"/>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Stock change</w:t>
            </w:r>
          </w:p>
        </w:tc>
        <w:tc>
          <w:tcPr>
            <w:tcW w:type="dxa" w:w="7056"/>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Change in retained mass over an interval</w:t>
            </w:r>
          </w:p>
        </w:tc>
      </w:tr>
      <w:tr>
        <w:trPr>
          <w:cantSplit/>
        </w:trPr>
        <w:tc>
          <w:tcPr>
            <w:tcW w:type="dxa" w:w="3024"/>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Transfer coefficient</w:t>
            </w:r>
          </w:p>
        </w:tc>
        <w:tc>
          <w:tcPr>
            <w:tcW w:type="dxa" w:w="7056"/>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Fraction allocating process inflow</w:t>
            </w:r>
          </w:p>
        </w:tc>
      </w:tr>
      <w:tr>
        <w:trPr>
          <w:cantSplit/>
        </w:trPr>
        <w:tc>
          <w:tcPr>
            <w:tcW w:type="dxa" w:w="3024"/>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Fate compartment</w:t>
            </w:r>
          </w:p>
        </w:tc>
        <w:tc>
          <w:tcPr>
            <w:tcW w:type="dxa" w:w="7056"/>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Environmental state space, not automatically an MFA process</w:t>
            </w:r>
          </w:p>
        </w:tc>
      </w:tr>
      <w:tr>
        <w:trPr>
          <w:cantSplit/>
        </w:trPr>
        <w:tc>
          <w:tcPr>
            <w:tcW w:type="dxa" w:w="3024"/>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Kinetic pathway</w:t>
            </w:r>
          </w:p>
        </w:tc>
        <w:tc>
          <w:tcPr>
            <w:tcW w:type="dxa" w:w="7056"/>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State transformation or intercompartment transfer</w:t>
            </w:r>
          </w:p>
        </w:tc>
      </w:tr>
    </w:tbl>
    <w:p>
      <w:r>
        <w:rPr>
          <w:rFonts w:ascii="Arial" w:hAnsi="Arial" w:eastAsia="Noto Sans CJK KR"/>
          <w:b w:val="0"/>
          <w:color w:val="000000"/>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5760"/>
      </w:tblGrid>
      <w:tr>
        <w:trPr>
          <w:cantSplit/>
          <w:tblHeader/>
        </w:trPr>
        <w:tc>
          <w:tcPr>
            <w:tcW w:type="dxa" w:w="4320"/>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Legacy field</w:t>
            </w:r>
          </w:p>
        </w:tc>
        <w:tc>
          <w:tcPr>
            <w:tcW w:type="dxa" w:w="5760"/>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Interpretation</w:t>
            </w:r>
          </w:p>
        </w:tc>
      </w:tr>
      <w:tr>
        <w:trPr>
          <w:cantSplit/>
        </w:trPr>
        <w:tc>
          <w:tcPr>
            <w:tcW w:type="dxa" w:w="432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terminal</w:t>
            </w:r>
          </w:p>
        </w:tc>
        <w:tc>
          <w:tcPr>
            <w:tcW w:type="dxa" w:w="576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Final annual flows and stock additions</w:t>
            </w:r>
          </w:p>
        </w:tc>
      </w:tr>
      <w:tr>
        <w:trPr>
          <w:cantSplit/>
        </w:trPr>
        <w:tc>
          <w:tcPr>
            <w:tcW w:type="dxa" w:w="432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primary_input_kg_y</w:t>
            </w:r>
          </w:p>
        </w:tc>
        <w:tc>
          <w:tcPr>
            <w:tcW w:type="dxa" w:w="576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Primary market inflow</w:t>
            </w:r>
          </w:p>
        </w:tc>
      </w:tr>
      <w:tr>
        <w:trPr>
          <w:cantSplit/>
        </w:trPr>
        <w:tc>
          <w:tcPr>
            <w:tcW w:type="dxa" w:w="432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transformation_loss_kg_y</w:t>
            </w:r>
          </w:p>
        </w:tc>
        <w:tc>
          <w:tcPr>
            <w:tcW w:type="dxa" w:w="576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Transformation outflow beyond the tracking basis</w:t>
            </w:r>
          </w:p>
        </w:tc>
      </w:tr>
      <w:tr>
        <w:trPr>
          <w:cantSplit/>
        </w:trPr>
        <w:tc>
          <w:tcPr>
            <w:tcW w:type="dxa" w:w="432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cumulative_external_sinks_kg</w:t>
            </w:r>
          </w:p>
        </w:tc>
        <w:tc>
          <w:tcPr>
            <w:tcW w:type="dxa" w:w="576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Cumulative external outflow</w:t>
            </w:r>
          </w:p>
        </w:tc>
      </w:tr>
    </w:tbl>
    <w:p>
      <w:r>
        <w:rPr>
          <w:rFonts w:ascii="Arial" w:hAnsi="Arial" w:eastAsia="Noto Sans CJK KR"/>
          <w:b w:val="0"/>
          <w:color w:val="000000"/>
        </w:rPr>
      </w:r>
    </w:p>
    <w:p>
      <w:bookmarkStart w:id="165" w:name="chapter_165"/>
      <w:pPr>
        <w:pStyle w:val="Heading1"/>
      </w:pPr>
      <w:r>
        <w:rPr>
          <w:rFonts w:ascii="Arial" w:hAnsi="Arial" w:eastAsia="Noto Sans CJK KR"/>
          <w:b/>
          <w:color w:val="000000"/>
        </w:rPr>
        <w:t>E  Observation data columns</w:t>
      </w:r>
      <w:bookmarkEnd w:id="165"/>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6768"/>
      </w:tblGrid>
      <w:tr>
        <w:trPr>
          <w:cantSplit/>
          <w:tblHeader/>
        </w:trPr>
        <w:tc>
          <w:tcPr>
            <w:tcW w:type="dxa" w:w="3312"/>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Column</w:t>
            </w:r>
          </w:p>
        </w:tc>
        <w:tc>
          <w:tcPr>
            <w:tcW w:type="dxa" w:w="6768"/>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Meaning and check</w:t>
            </w:r>
          </w:p>
        </w:tc>
      </w:tr>
      <w:tr>
        <w:trPr>
          <w:cantSplit/>
        </w:trPr>
        <w:tc>
          <w:tcPr>
            <w:tcW w:type="dxa" w:w="33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id</w:t>
            </w:r>
          </w:p>
        </w:tc>
        <w:tc>
          <w:tcPr>
            <w:tcW w:type="dxa" w:w="67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Row identifier</w:t>
            </w:r>
          </w:p>
        </w:tc>
      </w:tr>
      <w:tr>
        <w:trPr>
          <w:cantSplit/>
        </w:trPr>
        <w:tc>
          <w:tcPr>
            <w:tcW w:type="dxa" w:w="33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material</w:t>
            </w:r>
          </w:p>
        </w:tc>
        <w:tc>
          <w:tcPr>
            <w:tcW w:type="dxa" w:w="67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Matches active material</w:t>
            </w:r>
          </w:p>
        </w:tc>
      </w:tr>
      <w:tr>
        <w:trPr>
          <w:cantSplit/>
        </w:trPr>
        <w:tc>
          <w:tcPr>
            <w:tcW w:type="dxa" w:w="33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domain_id</w:t>
            </w:r>
          </w:p>
        </w:tc>
        <w:tc>
          <w:tcPr>
            <w:tcW w:type="dxa" w:w="67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Matches active domain ID</w:t>
            </w:r>
          </w:p>
        </w:tc>
      </w:tr>
      <w:tr>
        <w:trPr>
          <w:cantSplit/>
        </w:trPr>
        <w:tc>
          <w:tcPr>
            <w:tcW w:type="dxa" w:w="33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model_source</w:t>
            </w:r>
          </w:p>
        </w:tc>
        <w:tc>
          <w:tcPr>
            <w:tcW w:type="dxa" w:w="67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base or fate28</w:t>
            </w:r>
          </w:p>
        </w:tc>
      </w:tr>
      <w:tr>
        <w:trPr>
          <w:cantSplit/>
        </w:trPr>
        <w:tc>
          <w:tcPr>
            <w:tcW w:type="dxa" w:w="33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medium / form</w:t>
            </w:r>
          </w:p>
        </w:tc>
        <w:tc>
          <w:tcPr>
            <w:tcW w:type="dxa" w:w="67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Medium and measured form</w:t>
            </w:r>
          </w:p>
        </w:tc>
      </w:tr>
      <w:tr>
        <w:trPr>
          <w:cantSplit/>
        </w:trPr>
        <w:tc>
          <w:tcPr>
            <w:tcW w:type="dxa" w:w="33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tracking_basis</w:t>
            </w:r>
          </w:p>
        </w:tc>
        <w:tc>
          <w:tcPr>
            <w:tcW w:type="dxa" w:w="67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Parent or element equivalent</w:t>
            </w:r>
          </w:p>
        </w:tc>
      </w:tr>
      <w:tr>
        <w:trPr>
          <w:cantSplit/>
        </w:trPr>
        <w:tc>
          <w:tcPr>
            <w:tcW w:type="dxa" w:w="33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statistic / year</w:t>
            </w:r>
          </w:p>
        </w:tc>
        <w:tc>
          <w:tcPr>
            <w:tcW w:type="dxa" w:w="67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Time statistic and year</w:t>
            </w:r>
          </w:p>
        </w:tc>
      </w:tr>
      <w:tr>
        <w:trPr>
          <w:cantSplit/>
        </w:trPr>
        <w:tc>
          <w:tcPr>
            <w:tcW w:type="dxa" w:w="33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observed / unit</w:t>
            </w:r>
          </w:p>
        </w:tc>
        <w:tc>
          <w:tcPr>
            <w:tcW w:type="dxa" w:w="67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Measured concentration and unit</w:t>
            </w:r>
          </w:p>
        </w:tc>
      </w:tr>
      <w:tr>
        <w:trPr>
          <w:cantSplit/>
        </w:trPr>
        <w:tc>
          <w:tcPr>
            <w:tcW w:type="dxa" w:w="33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role</w:t>
            </w:r>
          </w:p>
        </w:tc>
        <w:tc>
          <w:tcPr>
            <w:tcW w:type="dxa" w:w="67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calibration or validation</w:t>
            </w:r>
          </w:p>
        </w:tc>
      </w:tr>
      <w:tr>
        <w:trPr>
          <w:cantSplit/>
        </w:trPr>
        <w:tc>
          <w:tcPr>
            <w:tcW w:type="dxa" w:w="33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source_note</w:t>
            </w:r>
          </w:p>
        </w:tc>
        <w:tc>
          <w:tcPr>
            <w:tcW w:type="dxa" w:w="67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Source and method note</w:t>
            </w:r>
          </w:p>
        </w:tc>
      </w:tr>
      <w:tr>
        <w:trPr>
          <w:cantSplit/>
        </w:trPr>
        <w:tc>
          <w:tcPr>
            <w:tcW w:type="dxa" w:w="33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qualifier</w:t>
            </w:r>
          </w:p>
        </w:tc>
        <w:tc>
          <w:tcPr>
            <w:tcW w:type="dxa" w:w="67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Equality or censoring symbol</w:t>
            </w:r>
          </w:p>
        </w:tc>
      </w:tr>
      <w:tr>
        <w:trPr>
          <w:cantSplit/>
        </w:trPr>
        <w:tc>
          <w:tcPr>
            <w:tcW w:type="dxa" w:w="33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dataset_id</w:t>
            </w:r>
          </w:p>
        </w:tc>
        <w:tc>
          <w:tcPr>
            <w:tcW w:type="dxa" w:w="67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Dataset identifier</w:t>
            </w:r>
          </w:p>
        </w:tc>
      </w:tr>
      <w:tr>
        <w:trPr>
          <w:cantSplit/>
        </w:trPr>
        <w:tc>
          <w:tcPr>
            <w:tcW w:type="dxa" w:w="33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analytical_method</w:t>
            </w:r>
          </w:p>
        </w:tc>
        <w:tc>
          <w:tcPr>
            <w:tcW w:type="dxa" w:w="67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Analytical method and fraction</w:t>
            </w:r>
          </w:p>
        </w:tc>
      </w:tr>
      <w:tr>
        <w:trPr>
          <w:cantSplit/>
        </w:trPr>
        <w:tc>
          <w:tcPr>
            <w:tcW w:type="dxa" w:w="33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sampling_period</w:t>
            </w:r>
          </w:p>
        </w:tc>
        <w:tc>
          <w:tcPr>
            <w:tcW w:type="dxa" w:w="67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full_year / year_end / steady_representative</w:t>
            </w:r>
          </w:p>
        </w:tc>
      </w:tr>
      <w:tr>
        <w:trPr>
          <w:cantSplit/>
        </w:trPr>
        <w:tc>
          <w:tcPr>
            <w:tcW w:type="dxa" w:w="33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background_treatment</w:t>
            </w:r>
          </w:p>
        </w:tc>
        <w:tc>
          <w:tcPr>
            <w:tcW w:type="dxa" w:w="67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Background removal or documented negligible background</w:t>
            </w:r>
          </w:p>
        </w:tc>
      </w:tr>
      <w:tr>
        <w:trPr>
          <w:cantSplit/>
        </w:trPr>
        <w:tc>
          <w:tcPr>
            <w:tcW w:type="dxa" w:w="33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measurand_scope</w:t>
            </w:r>
          </w:p>
        </w:tc>
        <w:tc>
          <w:tcPr>
            <w:tcW w:type="dxa" w:w="67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Measurand such as engineered_material</w:t>
            </w:r>
          </w:p>
        </w:tc>
      </w:tr>
      <w:tr>
        <w:trPr>
          <w:cantSplit/>
        </w:trPr>
        <w:tc>
          <w:tcPr>
            <w:tcW w:type="dxa" w:w="33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independence</w:t>
            </w:r>
          </w:p>
        </w:tc>
        <w:tc>
          <w:tcPr>
            <w:tcW w:type="dxa" w:w="67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Independence declaration</w:t>
            </w:r>
          </w:p>
        </w:tc>
      </w:tr>
    </w:tbl>
    <w:p>
      <w:r>
        <w:rPr>
          <w:rFonts w:ascii="Arial" w:hAnsi="Arial" w:eastAsia="Noto Sans CJK KR"/>
          <w:b w:val="0"/>
          <w:color w:val="000000"/>
        </w:rPr>
      </w:r>
    </w:p>
    <w:p>
      <w:r>
        <w:rPr>
          <w:rFonts w:ascii="Arial" w:hAnsi="Arial" w:eastAsia="Noto Sans CJK KR"/>
          <w:b w:val="0"/>
          <w:color w:val="000000"/>
        </w:rPr>
        <w:t>Use the choices supplied in the form. Do not declare independent validation when the source or independence is unknown.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Noto Sans CJK KR"/>
        <w:b w:val="0"/>
        <w:color w:val="000000"/>
        <w:sz w:val="16"/>
      </w:rPr>
      <w:t xml:space="preserve">K-NanoMFA v2.5.1  |  EN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Fonts w:eastAsia="Noto Sans CJK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line="269" w:lineRule="auto"/>
      <w:outlineLvl w:val="0"/>
    </w:pPr>
    <w:rPr>
      <w:rFonts w:asciiTheme="majorHAnsi" w:eastAsiaTheme="majorEastAsia" w:hAnsiTheme="majorHAnsi" w:cstheme="majorBidi" w:ascii="Arial" w:hAnsi="Arial"/>
      <w:b/>
      <w:bCs/>
      <w:color w:val="000000"/>
      <w:sz w:val="30"/>
      <w:szCs w:val="28"/>
      <w:rFonts w:eastAsia="Noto Sans CJK KR"/>
    </w:rPr>
  </w:style>
  <w:style w:type="paragraph" w:styleId="Heading2">
    <w:name w:val="heading 2"/>
    <w:basedOn w:val="Normal"/>
    <w:next w:val="Normal"/>
    <w:link w:val="Heading2Char"/>
    <w:uiPriority w:val="9"/>
    <w:unhideWhenUsed/>
    <w:qFormat/>
    <w:rsid w:val="00FC693F"/>
    <w:pPr>
      <w:keepNext/>
      <w:keepLines/>
      <w:spacing w:before="260" w:after="140" w:line="269" w:lineRule="auto"/>
      <w:outlineLvl w:val="1"/>
    </w:pPr>
    <w:rPr>
      <w:rFonts w:asciiTheme="majorHAnsi" w:eastAsiaTheme="majorEastAsia" w:hAnsiTheme="majorHAnsi" w:cstheme="majorBidi" w:ascii="Arial" w:hAnsi="Arial"/>
      <w:b/>
      <w:bCs/>
      <w:color w:val="000000"/>
      <w:sz w:val="24"/>
      <w:szCs w:val="26"/>
      <w:rFonts w:eastAsia="Noto Sans CJK KR"/>
    </w:rPr>
  </w:style>
  <w:style w:type="paragraph" w:styleId="Heading3">
    <w:name w:val="heading 3"/>
    <w:basedOn w:val="Normal"/>
    <w:next w:val="Normal"/>
    <w:link w:val="Heading3Char"/>
    <w:uiPriority w:val="9"/>
    <w:unhideWhenUsed/>
    <w:qFormat/>
    <w:rsid w:val="00FC693F"/>
    <w:pPr>
      <w:keepNext/>
      <w:keepLines/>
      <w:spacing w:before="260" w:after="140" w:line="269" w:lineRule="auto"/>
      <w:outlineLvl w:val="2"/>
    </w:pPr>
    <w:rPr>
      <w:rFonts w:asciiTheme="majorHAnsi" w:eastAsiaTheme="majorEastAsia" w:hAnsiTheme="majorHAnsi" w:cstheme="majorBidi" w:ascii="Arial" w:hAnsi="Arial"/>
      <w:b/>
      <w:bCs/>
      <w:color w:val="000000"/>
      <w:sz w:val="20"/>
      <w:rFonts w:eastAsia="Noto Sans CJK K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Arial" w:hAnsi="Arial"/>
      <w:color w:val="000000"/>
      <w:spacing w:val="5"/>
      <w:kern w:val="28"/>
      <w:sz w:val="48"/>
      <w:szCs w:val="52"/>
      <w:rFonts w:eastAsia="Noto Sans CJK K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69" w:lineRule="auto"/>
    </w:pPr>
    <w:rPr>
      <w:rFonts w:asciiTheme="majorHAnsi" w:eastAsiaTheme="majorEastAsia" w:hAnsiTheme="majorHAnsi" w:cstheme="majorBidi" w:ascii="Arial" w:hAnsi="Arial"/>
      <w:i/>
      <w:iCs/>
      <w:color w:val="000000"/>
      <w:spacing w:val="15"/>
      <w:sz w:val="20"/>
      <w:szCs w:val="24"/>
      <w:rFonts w:eastAsia="Noto Sans CJK K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140"/>
    </w:pPr>
    <w:rPr>
      <w:rFonts w:ascii="Arial" w:hAnsi="Arial"/>
      <w:b/>
      <w:bCs/>
      <w:color w:val="000000"/>
      <w:sz w:val="20"/>
      <w:szCs w:val="18"/>
      <w:rFonts w:eastAsia="Noto Sans CJK KR"/>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reenCaption">
    <w:name w:val="Screen Caption"/>
    <w:pPr>
      <w:spacing w:before="60" w:after="160"/>
    </w:pPr>
    <w:rPr>
      <w:rFonts w:ascii="Arial" w:hAnsi="Arial"/>
      <w:i/>
      <w:color w:val="464646"/>
      <w:sz w:val="17"/>
    </w:rPr>
  </w:style>
  <w:style w:type="paragraph" w:customStyle="1" w:styleId="ScreenNote">
    <w:name w:val="Screen Note"/>
    <w:pPr>
      <w:spacing w:before="80" w:after="120"/>
    </w:pPr>
    <w:rPr>
      <w:rFonts w:ascii="Arial" w:hAnsi="Arial"/>
      <w:color w:val="1E463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K-NanoMFA v2.5.1 User Manual</dc:title>
  <dc:subject>K-NanoMFA v2.5.1 user manual with verified interface screenshots</dc:subject>
  <dc:creator>Prof. Younghun Kim</dc:creator>
  <cp:keywords/>
  <dc:description>Screenshots captured from Chromium rendering of the packaged v2.5.1 web app.</dc:description>
  <cp:lastModifiedBy/>
  <cp:revision>1</cp:revision>
  <dcterms:created xsi:type="dcterms:W3CDTF">2013-12-23T23:15:00Z</dcterms:created>
  <dcterms:modified xsi:type="dcterms:W3CDTF">2013-12-23T23:15:00Z</dcterms:modified>
  <cp:category/>
</cp:coreProperties>
</file>