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0B6B57"/>
          <w:sz w:val="68"/>
        </w:rPr>
        <w:t>K-NanoMFA</w:t>
      </w:r>
    </w:p>
    <w:p>
      <w:pPr>
        <w:jc w:val="center"/>
      </w:pPr>
      <w:r>
        <w:rPr>
          <w:b/>
          <w:color w:val="184E43"/>
          <w:sz w:val="48"/>
        </w:rPr>
        <w:t>User Manual</w:t>
      </w:r>
    </w:p>
    <w:p>
      <w:pPr>
        <w:jc w:val="center"/>
      </w:pPr>
      <w:r>
        <w:t>Version 1.2-en · Multi-Material and Co-Exposure Edition</w:t>
      </w:r>
    </w:p>
    <w:p/>
    <w:p>
      <w:pPr>
        <w:jc w:val="center"/>
      </w:pPr>
      <w:r/>
    </w:p>
    <w:p>
      <w:pPr>
        <w:spacing w:before="600"/>
        <w:jc w:val="center"/>
      </w:pPr>
      <w:r>
        <w:rPr>
          <w:b/>
        </w:rPr>
        <w:t>Developer</w:t>
        <w:br/>
      </w:r>
      <w:r>
        <w:t>Prof. Younghun Kim</w:t>
        <w:br/>
        <w:t>Kwangwoon University</w:t>
        <w:br/>
        <w:t>korea1@kw.ac.kr</w:t>
      </w:r>
    </w:p>
    <w:p>
      <w:pPr>
        <w:spacing w:before="320"/>
        <w:jc w:val="center"/>
      </w:pPr>
      <w:r>
        <w:t>Initial release: 17 July 2026</w:t>
        <w:br/>
        <w:t>Current version: 1.2-en</w:t>
        <w:br/>
        <w:t>License: MIT License</w:t>
      </w:r>
    </w:p>
    <w:tbl>
      <w:tblPr>
        <w:tblStyle w:val="TableGrid"/>
        <w:tblW w:type="auto" w:w="0"/>
        <w:jc w:val="center"/>
        <w:tblLook w:firstColumn="1" w:firstRow="1" w:lastColumn="0" w:lastRow="0" w:noHBand="0" w:noVBand="1" w:val="04A0"/>
      </w:tblPr>
      <w:tblGrid>
        <w:gridCol w:w="9524"/>
      </w:tblGrid>
      <w:tr>
        <w:trPr>
          <w:tblHeader/>
          <w:cantSplit/>
        </w:trPr>
        <w:tc>
          <w:tcPr>
            <w:tcW w:type="dxa" w:w="9524"/>
            <w:shd w:fill="EEF8F4"/>
          </w:tcPr>
          <w:p>
            <w:r>
              <w:rPr>
                <w:b/>
                <w:color w:val="0B6B57"/>
              </w:rPr>
              <w:t xml:space="preserve">Scope and responsibility: </w:t>
            </w:r>
            <w:r>
              <w:t>K-NanoMFA is a screening-level research tool. The user remains responsible for input validation, boundary selection, result interpretation, and independent verification. It is not a regulatory or site-specific risk-assessment model.</w:t>
            </w:r>
          </w:p>
        </w:tc>
      </w:tr>
    </w:tbl>
    <w:p>
      <w:pPr>
        <w:spacing w:after="20"/>
      </w:pPr>
    </w:p>
    <w:p>
      <w:r/>
    </w:p>
    <w:p>
      <w:pPr>
        <w:pStyle w:val="Heading1"/>
      </w:pPr>
      <w:r>
        <w:t>Document control</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2835"/>
            <w:vAlign w:val="center"/>
            <w:shd w:fill="0B6B57"/>
          </w:tcPr>
          <w:p>
            <w:r/>
            <w:r>
              <w:rPr>
                <w:rFonts w:ascii="Arial" w:hAnsi="Arial"/>
                <w:b/>
                <w:color w:val="FFFFFF"/>
                <w:sz w:val="18"/>
              </w:rPr>
              <w:t>Item</w:t>
            </w:r>
          </w:p>
        </w:tc>
        <w:tc>
          <w:tcPr>
            <w:tcW w:type="dxa" w:w="6236"/>
            <w:vAlign w:val="center"/>
            <w:shd w:fill="0B6B57"/>
          </w:tcPr>
          <w:p>
            <w:r/>
            <w:r>
              <w:rPr>
                <w:rFonts w:ascii="Arial" w:hAnsi="Arial"/>
                <w:b/>
                <w:color w:val="FFFFFF"/>
                <w:sz w:val="18"/>
              </w:rPr>
              <w:t>Information</w:t>
            </w:r>
          </w:p>
        </w:tc>
      </w:tr>
      <w:tr>
        <w:trPr>
          <w:cantSplit/>
        </w:trPr>
        <w:tc>
          <w:tcPr>
            <w:tcW w:type="dxa" w:w="2835"/>
            <w:vAlign w:val="center"/>
          </w:tcPr>
          <w:p>
            <w:r/>
            <w:r>
              <w:rPr>
                <w:rFonts w:ascii="Arial" w:hAnsi="Arial"/>
                <w:b w:val="0"/>
                <w:sz w:val="18"/>
              </w:rPr>
              <w:t>Software</w:t>
            </w:r>
          </w:p>
        </w:tc>
        <w:tc>
          <w:tcPr>
            <w:tcW w:type="dxa" w:w="6236"/>
            <w:vAlign w:val="center"/>
          </w:tcPr>
          <w:p>
            <w:r/>
            <w:r>
              <w:rPr>
                <w:rFonts w:ascii="Arial" w:hAnsi="Arial"/>
                <w:b w:val="0"/>
                <w:sz w:val="18"/>
              </w:rPr>
              <w:t>K-NanoMFA</w:t>
            </w:r>
          </w:p>
        </w:tc>
      </w:tr>
      <w:tr>
        <w:trPr>
          <w:cantSplit/>
        </w:trPr>
        <w:tc>
          <w:tcPr>
            <w:tcW w:type="dxa" w:w="2835"/>
            <w:vAlign w:val="center"/>
            <w:shd w:fill="F1F6F4"/>
          </w:tcPr>
          <w:p>
            <w:r/>
            <w:r>
              <w:rPr>
                <w:rFonts w:ascii="Arial" w:hAnsi="Arial"/>
                <w:b w:val="0"/>
                <w:sz w:val="18"/>
              </w:rPr>
              <w:t>Manual version</w:t>
            </w:r>
          </w:p>
        </w:tc>
        <w:tc>
          <w:tcPr>
            <w:tcW w:type="dxa" w:w="6236"/>
            <w:vAlign w:val="center"/>
            <w:shd w:fill="F1F6F4"/>
          </w:tcPr>
          <w:p>
            <w:r/>
            <w:r>
              <w:rPr>
                <w:rFonts w:ascii="Arial" w:hAnsi="Arial"/>
                <w:b w:val="0"/>
                <w:sz w:val="18"/>
              </w:rPr>
            </w:r>
            <w:r>
              <w:t>1.2-en</w:t>
            </w:r>
          </w:p>
        </w:tc>
      </w:tr>
      <w:tr>
        <w:trPr>
          <w:cantSplit/>
        </w:trPr>
        <w:tc>
          <w:tcPr>
            <w:tcW w:type="dxa" w:w="2835"/>
            <w:vAlign w:val="center"/>
          </w:tcPr>
          <w:p>
            <w:r/>
            <w:r>
              <w:rPr>
                <w:rFonts w:ascii="Arial" w:hAnsi="Arial"/>
                <w:b w:val="0"/>
                <w:sz w:val="18"/>
              </w:rPr>
              <w:t>Software release</w:t>
            </w:r>
          </w:p>
        </w:tc>
        <w:tc>
          <w:tcPr>
            <w:tcW w:type="dxa" w:w="6236"/>
            <w:vAlign w:val="center"/>
          </w:tcPr>
          <w:p>
            <w:r/>
            <w:r>
              <w:rPr>
                <w:rFonts w:ascii="Arial" w:hAnsi="Arial"/>
                <w:b w:val="0"/>
                <w:sz w:val="18"/>
              </w:rPr>
            </w:r>
            <w:r>
              <w:t>1.2-en</w:t>
            </w:r>
          </w:p>
        </w:tc>
      </w:tr>
      <w:tr>
        <w:trPr>
          <w:cantSplit/>
        </w:trPr>
        <w:tc>
          <w:tcPr>
            <w:tcW w:type="dxa" w:w="2835"/>
            <w:vAlign w:val="center"/>
            <w:shd w:fill="F1F6F4"/>
          </w:tcPr>
          <w:p>
            <w:r/>
            <w:r>
              <w:rPr>
                <w:rFonts w:ascii="Arial" w:hAnsi="Arial"/>
                <w:b w:val="0"/>
                <w:sz w:val="18"/>
              </w:rPr>
              <w:t>Developer</w:t>
            </w:r>
          </w:p>
        </w:tc>
        <w:tc>
          <w:tcPr>
            <w:tcW w:type="dxa" w:w="6236"/>
            <w:vAlign w:val="center"/>
            <w:shd w:fill="F1F6F4"/>
          </w:tcPr>
          <w:p>
            <w:r/>
            <w:r>
              <w:rPr>
                <w:rFonts w:ascii="Arial" w:hAnsi="Arial"/>
                <w:b w:val="0"/>
                <w:sz w:val="18"/>
              </w:rPr>
              <w:t>Prof. Younghun Kim, Kwangwoon University</w:t>
            </w:r>
          </w:p>
        </w:tc>
      </w:tr>
      <w:tr>
        <w:trPr>
          <w:cantSplit/>
        </w:trPr>
        <w:tc>
          <w:tcPr>
            <w:tcW w:type="dxa" w:w="2835"/>
            <w:vAlign w:val="center"/>
          </w:tcPr>
          <w:p>
            <w:r/>
            <w:r>
              <w:rPr>
                <w:rFonts w:ascii="Arial" w:hAnsi="Arial"/>
                <w:b w:val="0"/>
                <w:sz w:val="18"/>
              </w:rPr>
              <w:t>Contact</w:t>
            </w:r>
          </w:p>
        </w:tc>
        <w:tc>
          <w:tcPr>
            <w:tcW w:type="dxa" w:w="6236"/>
            <w:vAlign w:val="center"/>
          </w:tcPr>
          <w:p>
            <w:r/>
            <w:r>
              <w:rPr>
                <w:rFonts w:ascii="Arial" w:hAnsi="Arial"/>
                <w:b w:val="0"/>
                <w:sz w:val="18"/>
              </w:rPr>
              <w:t>korea1@kw.ac.kr</w:t>
            </w:r>
          </w:p>
        </w:tc>
      </w:tr>
      <w:tr>
        <w:trPr>
          <w:cantSplit/>
        </w:trPr>
        <w:tc>
          <w:tcPr>
            <w:tcW w:type="dxa" w:w="2835"/>
            <w:vAlign w:val="center"/>
            <w:shd w:fill="F1F6F4"/>
          </w:tcPr>
          <w:p>
            <w:r/>
            <w:r>
              <w:rPr>
                <w:rFonts w:ascii="Arial" w:hAnsi="Arial"/>
                <w:b w:val="0"/>
                <w:sz w:val="18"/>
              </w:rPr>
              <w:t>License</w:t>
            </w:r>
          </w:p>
        </w:tc>
        <w:tc>
          <w:tcPr>
            <w:tcW w:type="dxa" w:w="6236"/>
            <w:vAlign w:val="center"/>
            <w:shd w:fill="F1F6F4"/>
          </w:tcPr>
          <w:p>
            <w:r/>
            <w:r>
              <w:rPr>
                <w:rFonts w:ascii="Arial" w:hAnsi="Arial"/>
                <w:b w:val="0"/>
                <w:sz w:val="18"/>
              </w:rPr>
              <w:t>MIT License</w:t>
            </w:r>
          </w:p>
        </w:tc>
      </w:tr>
      <w:tr>
        <w:trPr>
          <w:cantSplit/>
        </w:trPr>
        <w:tc>
          <w:tcPr>
            <w:tcW w:type="dxa" w:w="2835"/>
            <w:vAlign w:val="center"/>
          </w:tcPr>
          <w:p>
            <w:r/>
            <w:r>
              <w:rPr>
                <w:rFonts w:ascii="Arial" w:hAnsi="Arial"/>
                <w:b w:val="0"/>
                <w:sz w:val="18"/>
              </w:rPr>
              <w:t>Intended use</w:t>
            </w:r>
          </w:p>
        </w:tc>
        <w:tc>
          <w:tcPr>
            <w:tcW w:type="dxa" w:w="6236"/>
            <w:vAlign w:val="center"/>
          </w:tcPr>
          <w:p>
            <w:r/>
            <w:r>
              <w:rPr>
                <w:rFonts w:ascii="Arial" w:hAnsi="Arial"/>
                <w:b w:val="0"/>
                <w:sz w:val="18"/>
              </w:rPr>
              <w:t>Research, education, scenario analysis, and screening-level exposure assessment</w:t>
            </w:r>
          </w:p>
        </w:tc>
      </w:tr>
      <w:tr>
        <w:trPr>
          <w:cantSplit/>
        </w:trPr>
        <w:tc>
          <w:tcPr>
            <w:tcW w:type="dxa" w:w="2835"/>
            <w:vAlign w:val="center"/>
            <w:shd w:fill="F1F6F4"/>
          </w:tcPr>
          <w:p>
            <w:r/>
            <w:r>
              <w:rPr>
                <w:rFonts w:ascii="Arial" w:hAnsi="Arial"/>
                <w:b w:val="0"/>
                <w:sz w:val="18"/>
              </w:rPr>
              <w:t>Not intended for</w:t>
            </w:r>
          </w:p>
        </w:tc>
        <w:tc>
          <w:tcPr>
            <w:tcW w:type="dxa" w:w="6236"/>
            <w:vAlign w:val="center"/>
            <w:shd w:fill="F1F6F4"/>
          </w:tcPr>
          <w:p>
            <w:r/>
            <w:r>
              <w:rPr>
                <w:rFonts w:ascii="Arial" w:hAnsi="Arial"/>
                <w:b w:val="0"/>
                <w:sz w:val="18"/>
              </w:rPr>
              <w:t>Regulatory compliance decisions, legal advice, site-specific engineering design, or definitive environmental-risk determination</w:t>
            </w:r>
          </w:p>
        </w:tc>
      </w:tr>
    </w:tbl>
    <w:p>
      <w:pPr>
        <w:spacing w:after="20"/>
      </w:pPr>
    </w:p>
    <w:p>
      <w:pPr>
        <w:pStyle w:val="Heading2"/>
      </w:pPr>
      <w:r>
        <w:t>How to use this manual</w:t>
      </w:r>
    </w:p>
    <w:p>
      <w:pPr>
        <w:pStyle w:val="ListBullet"/>
      </w:pPr>
      <w:r>
        <w:t>New users should read Sections 1–5 and complete the quick-start example before using advanced modules.</w:t>
      </w:r>
    </w:p>
    <w:p>
      <w:pPr>
        <w:pStyle w:val="ListBullet"/>
      </w:pPr>
      <w:r>
        <w:t>Experienced MFA users may proceed directly to Sections 6–14 for input structures, uncertainty, evidence grading, mixture assessment, and validation.</w:t>
      </w:r>
    </w:p>
    <w:p>
      <w:pPr>
        <w:pStyle w:val="ListBullet"/>
      </w:pPr>
      <w:r>
        <w:t>All bundled values are editable. Replacing a default should be accompanied by a source note, evidence-class update, and appropriate uncertainty setting.</w:t>
      </w:r>
    </w:p>
    <w:p>
      <w:pPr>
        <w:pStyle w:val="ListBullet"/>
      </w:pPr>
      <w:r>
        <w:t>The application and manual are written in English to support international distribution.</w:t>
      </w:r>
    </w:p>
    <w:p>
      <w:r/>
    </w:p>
    <w:p>
      <w:pPr>
        <w:pStyle w:val="Heading1"/>
      </w:pPr>
      <w:r>
        <w:t>Contents</w:t>
      </w:r>
    </w:p>
    <w:p>
      <w:pPr>
        <w:pStyle w:val="ListNumber"/>
      </w:pPr>
      <w:r>
        <w:t>1. Purpose, scope, and model boundary</w:t>
      </w:r>
    </w:p>
    <w:p>
      <w:pPr>
        <w:pStyle w:val="ListNumber"/>
      </w:pPr>
      <w:r>
        <w:t>2. Installation and deployment</w:t>
      </w:r>
    </w:p>
    <w:p>
      <w:pPr>
        <w:pStyle w:val="ListNumber"/>
      </w:pPr>
      <w:r>
        <w:t>3. Guided workflow and interface map</w:t>
      </w:r>
    </w:p>
    <w:p>
      <w:pPr>
        <w:pStyle w:val="ListNumber"/>
      </w:pPr>
      <w:r>
        <w:t>4. Quick-start: static deterministic MFA</w:t>
      </w:r>
    </w:p>
    <w:p>
      <w:pPr>
        <w:pStyle w:val="ListNumber"/>
      </w:pPr>
      <w:r>
        <w:t>5. Static probabilistic and dynamic probabilistic MFA</w:t>
      </w:r>
    </w:p>
    <w:p>
      <w:pPr>
        <w:pStyle w:val="ListNumber"/>
      </w:pPr>
      <w:r>
        <w:t>6. Product categories and life-cycle settings</w:t>
      </w:r>
    </w:p>
    <w:p>
      <w:pPr>
        <w:pStyle w:val="ListNumber"/>
      </w:pPr>
      <w:r>
        <w:t>7. Treatment facilities and geographic PEC settings</w:t>
      </w:r>
    </w:p>
    <w:p>
      <w:pPr>
        <w:pStyle w:val="ListNumber"/>
      </w:pPr>
      <w:r>
        <w:t>8. Results, Sankey diagrams, and environmental-media PECs</w:t>
      </w:r>
    </w:p>
    <w:p>
      <w:pPr>
        <w:pStyle w:val="ListNumber"/>
      </w:pPr>
      <w:r>
        <w:t>9. Scenario comparison</w:t>
      </w:r>
    </w:p>
    <w:p>
      <w:pPr>
        <w:pStyle w:val="ListNumber"/>
      </w:pPr>
      <w:r>
        <w:t>10. Uncertainty, data quality, and sensitivity</w:t>
      </w:r>
    </w:p>
    <w:p>
      <w:pPr>
        <w:pStyle w:val="ListNumber"/>
      </w:pPr>
      <w:r>
        <w:t>11. Default-data provenance and evidence classes</w:t>
      </w:r>
    </w:p>
    <w:p>
      <w:pPr>
        <w:pStyle w:val="ListNumber"/>
      </w:pPr>
      <w:r>
        <w:t>12. Literature benchmark validation</w:t>
      </w:r>
    </w:p>
    <w:p>
      <w:pPr>
        <w:pStyle w:val="ListNumber"/>
      </w:pPr>
      <w:r>
        <w:t>13. Advanced MFA, fate, and validation modules</w:t>
      </w:r>
    </w:p>
    <w:p>
      <w:pPr>
        <w:pStyle w:val="ListNumber"/>
      </w:pPr>
      <w:r>
        <w:t>14. Multi-material MFA and co-exposure</w:t>
      </w:r>
    </w:p>
    <w:p>
      <w:pPr>
        <w:pStyle w:val="ListNumber"/>
      </w:pPr>
      <w:r>
        <w:t>15. Saving, exporting, and reproducibility</w:t>
      </w:r>
    </w:p>
    <w:p>
      <w:pPr>
        <w:pStyle w:val="ListNumber"/>
      </w:pPr>
      <w:r>
        <w:t>16. Troubleshooting</w:t>
      </w:r>
    </w:p>
    <w:p>
      <w:pPr>
        <w:pStyle w:val="ListNumber"/>
      </w:pPr>
      <w:r>
        <w:t>17. Scientific limitations, license, and disclaimer</w:t>
      </w:r>
    </w:p>
    <w:p>
      <w:pPr>
        <w:pStyle w:val="ListNumber"/>
      </w:pPr>
      <w:r>
        <w:t>18. References</w:t>
      </w:r>
    </w:p>
    <w:p>
      <w:r/>
    </w:p>
    <w:p>
      <w:pPr>
        <w:pStyle w:val="Heading1"/>
      </w:pPr>
      <w:r>
        <w:t>1. Purpose, scope, and model boundary</w:t>
      </w:r>
    </w:p>
    <w:p>
      <w:r>
        <w:t>K-NanoMFA is a browser-based material-flow-analysis platform for engineered nanomaterials. It links market input, product categories, use-stage release, end-of-life routing, treatment processes, circular flows, terminal destinations, and screening predicted environmental concentrations (PECs).</w:t>
      </w:r>
    </w:p>
    <w:p>
      <w:r>
        <w:t>For a custom material, the provenance register uses the user-entered evidence class, source/reference, and limitations. The inherited template is shown as an initialization basis only; it is not treated as direct evidence for the new material.</w:t>
      </w:r>
    </w:p>
    <w:p>
      <w:pPr>
        <w:pStyle w:val="Heading2"/>
      </w:pPr>
      <w:r>
        <w:t>1.1 Supported materials</w:t>
      </w:r>
    </w:p>
    <w:p>
      <w:pPr>
        <w:pStyle w:val="ListBullet"/>
      </w:pPr>
      <w:r>
        <w:t>Carbon nanotubes (CNT)</w:t>
      </w:r>
    </w:p>
    <w:p>
      <w:pPr>
        <w:pStyle w:val="ListBullet"/>
      </w:pPr>
      <w:r>
        <w:t>Carbon black</w:t>
      </w:r>
    </w:p>
    <w:p>
      <w:pPr>
        <w:pStyle w:val="ListBullet"/>
      </w:pPr>
      <w:r>
        <w:t>Graphene and graphene-based materials</w:t>
      </w:r>
    </w:p>
    <w:p>
      <w:pPr>
        <w:pStyle w:val="ListBullet"/>
      </w:pPr>
      <w:r>
        <w:t>Fullerenes</w:t>
      </w:r>
    </w:p>
    <w:p>
      <w:pPr>
        <w:pStyle w:val="ListBullet"/>
      </w:pPr>
      <w:r>
        <w:t>Silver nanoparticles (AgNP)</w:t>
      </w:r>
    </w:p>
    <w:p>
      <w:pPr>
        <w:pStyle w:val="ListBullet"/>
      </w:pPr>
      <w:r>
        <w:t>Nano-TiO₂</w:t>
      </w:r>
    </w:p>
    <w:p>
      <w:pPr>
        <w:pStyle w:val="ListBullet"/>
      </w:pPr>
      <w:r>
        <w:t>Nano-ZnO</w:t>
      </w:r>
    </w:p>
    <w:p>
      <w:pPr>
        <w:pStyle w:val="ListBullet"/>
      </w:pPr>
      <w:r>
        <w:t>Nano-SiO₂</w:t>
      </w:r>
    </w:p>
    <w:p>
      <w:pPr>
        <w:pStyle w:val="ListBullet"/>
      </w:pPr>
      <w:r>
        <w:t>Nanocellulose</w:t>
      </w:r>
    </w:p>
    <w:p>
      <w:pPr>
        <w:pStyle w:val="ListBullet"/>
      </w:pPr>
      <w:r>
        <w:t>Nanoclay</w:t>
      </w:r>
    </w:p>
    <w:p>
      <w:pPr>
        <w:pStyle w:val="ListBullet"/>
      </w:pPr>
      <w:r>
        <w:t>Custom nanomaterial scenario</w:t>
      </w:r>
    </w:p>
    <w:p>
      <w:pPr>
        <w:pStyle w:val="Heading2"/>
      </w:pPr>
      <w:r>
        <w:t>1.2 Geographic domains</w:t>
      </w:r>
    </w:p>
    <w:p>
      <w:r>
        <w:t>National domains are included for the Republic of Korea, China, United States, Japan, Germany, France, United Kingdom, India, Canada, and Australia. Korea additionally contains 17 subnational domains. The selected domain affects market-input scaling, wastewater and sludge denominators, receiving-water flow, soil and sediment capacity, atmospheric volume, and optional country waste routes.</w:t>
      </w:r>
    </w:p>
    <w:p>
      <w:pPr>
        <w:pStyle w:val="Heading2"/>
      </w:pPr>
      <w:r>
        <w:t>1.3 Model outputs</w:t>
      </w:r>
    </w:p>
    <w:p>
      <w:pPr>
        <w:pStyle w:val="ListBullet"/>
      </w:pPr>
      <w:r>
        <w:t>Mass-conserving process flows and Sankey diagrams</w:t>
      </w:r>
    </w:p>
    <w:p>
      <w:pPr>
        <w:pStyle w:val="ListBullet"/>
      </w:pPr>
      <w:r>
        <w:t>Terminal destinations and process stocks</w:t>
      </w:r>
    </w:p>
    <w:p>
      <w:pPr>
        <w:pStyle w:val="ListBullet"/>
      </w:pPr>
      <w:r>
        <w:t>WWTP effluent and sewage-sludge concentrations</w:t>
      </w:r>
    </w:p>
    <w:p>
      <w:pPr>
        <w:pStyle w:val="ListBullet"/>
      </w:pPr>
      <w:r>
        <w:t>Air, surface-water, soil, and active-sediment PECs</w:t>
      </w:r>
    </w:p>
    <w:p>
      <w:pPr>
        <w:pStyle w:val="ListBullet"/>
      </w:pPr>
      <w:r>
        <w:t>P5, P50, and P95 uncertainty summaries</w:t>
      </w:r>
    </w:p>
    <w:p>
      <w:pPr>
        <w:pStyle w:val="ListBullet"/>
      </w:pPr>
      <w:r>
        <w:t>Sensitivity rankings, data-quality scores, benchmark comparisons, and advanced validation statistics</w:t>
      </w:r>
    </w:p>
    <w:tbl>
      <w:tblPr>
        <w:tblStyle w:val="TableGrid"/>
        <w:tblW w:type="auto" w:w="0"/>
        <w:jc w:val="center"/>
        <w:tblLook w:firstColumn="1" w:firstRow="1" w:lastColumn="0" w:lastRow="0" w:noHBand="0" w:noVBand="1" w:val="04A0"/>
      </w:tblPr>
      <w:tblGrid>
        <w:gridCol w:w="9524"/>
      </w:tblGrid>
      <w:tr>
        <w:trPr>
          <w:tblHeader/>
          <w:cantSplit/>
        </w:trPr>
        <w:tc>
          <w:tcPr>
            <w:tcW w:type="dxa" w:w="9524"/>
            <w:shd w:fill="EEF8F4"/>
          </w:tcPr>
          <w:p>
            <w:r>
              <w:rPr>
                <w:b/>
                <w:color w:val="0B6B57"/>
              </w:rPr>
              <w:t xml:space="preserve">Interpretation note: </w:t>
            </w:r>
            <w:r>
              <w:t>The base PEC module is a screening calculation. The optional multimedia module is a reduced-form first-order process model and does not replace a calibrated nano-specific multimedia fate model.</w:t>
            </w:r>
          </w:p>
        </w:tc>
      </w:tr>
    </w:tbl>
    <w:p>
      <w:pPr>
        <w:spacing w:after="20"/>
      </w:pPr>
    </w:p>
    <w:p>
      <w:r/>
    </w:p>
    <w:p>
      <w:pPr>
        <w:pStyle w:val="Heading1"/>
      </w:pPr>
      <w:r>
        <w:t>2. Installation and deployment</w:t>
      </w:r>
    </w:p>
    <w:p>
      <w:pPr>
        <w:pStyle w:val="Heading2"/>
      </w:pPr>
      <w:r>
        <w:t>2.1 Local execution</w:t>
      </w:r>
    </w:p>
    <w:p>
      <w:pPr>
        <w:ind w:left="369" w:hanging="369"/>
      </w:pPr>
      <w:r>
        <w:rPr>
          <w:b/>
        </w:rPr>
        <w:t xml:space="preserve">1. </w:t>
      </w:r>
      <w:r>
        <w:t>Extract the distribution archive.</w:t>
      </w:r>
    </w:p>
    <w:p>
      <w:pPr>
        <w:ind w:left="369" w:hanging="369"/>
      </w:pPr>
      <w:r>
        <w:rPr>
          <w:b/>
        </w:rPr>
        <w:t xml:space="preserve">2. </w:t>
      </w:r>
      <w:r>
        <w:t>Open a terminal in the extracted directory.</w:t>
      </w:r>
    </w:p>
    <w:p>
      <w:pPr>
        <w:ind w:left="369" w:hanging="369"/>
      </w:pPr>
      <w:r>
        <w:rPr>
          <w:b/>
        </w:rPr>
        <w:t xml:space="preserve">3. </w:t>
      </w:r>
      <w:r>
        <w:t>Run: python -m http.server 8080</w:t>
      </w:r>
    </w:p>
    <w:p>
      <w:pPr>
        <w:ind w:left="369" w:hanging="369"/>
      </w:pPr>
      <w:r>
        <w:rPr>
          <w:b/>
        </w:rPr>
        <w:t xml:space="preserve">4. </w:t>
      </w:r>
      <w:r>
        <w:t>Open http://localhost:8080 in a modern browser.</w:t>
      </w:r>
    </w:p>
    <w:p>
      <w:r>
        <w:t>Windows users may double-click serve_local.bat. macOS and Linux users may run ./serve_local.sh.</w:t>
      </w:r>
    </w:p>
    <w:p>
      <w:pPr>
        <w:pStyle w:val="Heading2"/>
      </w:pPr>
      <w:r>
        <w:t>2.2 Public deployment</w:t>
      </w:r>
    </w:p>
    <w:p>
      <w:r>
        <w:t>The application is static and can be deployed on GitHub Pages, Netlify, Vercel, an institutional server, or a containerized nginx service. Upload the complete directory so that index.html, JavaScript files, Plotly, the manual, license, and documentation remain together.</w:t>
      </w:r>
    </w:p>
    <w:p>
      <w:pPr>
        <w:pStyle w:val="Heading2"/>
      </w:pPr>
      <w:r>
        <w:t>2.3 Browser and data privacy</w:t>
      </w:r>
    </w:p>
    <w:p>
      <w:pPr>
        <w:pStyle w:val="ListBullet"/>
      </w:pPr>
      <w:r>
        <w:t>Calculations run in the browser.</w:t>
      </w:r>
    </w:p>
    <w:p>
      <w:pPr>
        <w:pStyle w:val="ListBullet"/>
      </w:pPr>
      <w:r>
        <w:t>Scenario data stored with “Save in browser” remain in that browser profile.</w:t>
      </w:r>
    </w:p>
    <w:p>
      <w:pPr>
        <w:pStyle w:val="ListBullet"/>
      </w:pPr>
      <w:r>
        <w:t>No central database or developer-side collection is included in the distributed application.</w:t>
      </w:r>
    </w:p>
    <w:p>
      <w:pPr>
        <w:pStyle w:val="ListBullet"/>
      </w:pPr>
      <w:r>
        <w:t>JSON and CSV files are created locally by the browser.</w:t>
      </w:r>
    </w:p>
    <w:p>
      <w:r/>
    </w:p>
    <w:p>
      <w:pPr>
        <w:pStyle w:val="Heading1"/>
      </w:pPr>
      <w:r>
        <w:t>3. Guided workflow and interface map</w:t>
      </w:r>
    </w:p>
    <w:p>
      <w:pPr>
        <w:jc w:val="center"/>
      </w:pPr>
      <w:r/>
    </w:p>
    <w:p>
      <w:pPr>
        <w:pStyle w:val="CaptionSmall"/>
      </w:pPr>
      <w:r>
        <w:t>Figure 1. Six-step workflow embedded in K-NanoMFA v1.2.</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2551"/>
            <w:vAlign w:val="center"/>
            <w:shd w:fill="0B6B57"/>
          </w:tcPr>
          <w:p>
            <w:r/>
            <w:r>
              <w:rPr>
                <w:rFonts w:ascii="Arial" w:hAnsi="Arial"/>
                <w:b/>
                <w:color w:val="FFFFFF"/>
                <w:sz w:val="18"/>
              </w:rPr>
              <w:t>Step</w:t>
            </w:r>
          </w:p>
        </w:tc>
        <w:tc>
          <w:tcPr>
            <w:tcW w:type="dxa" w:w="6520"/>
            <w:vAlign w:val="center"/>
            <w:shd w:fill="0B6B57"/>
          </w:tcPr>
          <w:p>
            <w:r/>
            <w:r>
              <w:rPr>
                <w:rFonts w:ascii="Arial" w:hAnsi="Arial"/>
                <w:b/>
                <w:color w:val="FFFFFF"/>
                <w:sz w:val="18"/>
              </w:rPr>
              <w:t>Required user action</w:t>
            </w:r>
          </w:p>
        </w:tc>
      </w:tr>
      <w:tr>
        <w:trPr>
          <w:cantSplit/>
        </w:trPr>
        <w:tc>
          <w:tcPr>
            <w:tcW w:type="dxa" w:w="2551"/>
            <w:vAlign w:val="center"/>
          </w:tcPr>
          <w:p>
            <w:r>
              <w:t>1. Define the study</w:t>
            </w:r>
          </w:p>
        </w:tc>
        <w:tc>
          <w:tcPr>
            <w:tcW w:type="dxa" w:w="6520"/>
            <w:vAlign w:val="center"/>
          </w:tcPr>
          <w:p>
            <w:r>
              <w:t>Choose model mode, assessment mode, target material or component set, country/domain, geographic input basis, annual input, and base year or dynamic horizon.</w:t>
            </w:r>
          </w:p>
        </w:tc>
      </w:tr>
      <w:tr>
        <w:trPr>
          <w:cantSplit/>
        </w:trPr>
        <w:tc>
          <w:tcPr>
            <w:tcW w:type="dxa" w:w="2551"/>
            <w:vAlign w:val="center"/>
            <w:shd w:fill="F1F6F4"/>
          </w:tcPr>
          <w:p>
            <w:r>
              <w:t>2. Review life-cycle defaults</w:t>
            </w:r>
          </w:p>
        </w:tc>
        <w:tc>
          <w:tcPr>
            <w:tcW w:type="dxa" w:w="6520"/>
            <w:vAlign w:val="center"/>
            <w:shd w:fill="F1F6F4"/>
          </w:tcPr>
          <w:p>
            <w:r/>
            <w:r>
              <w:rPr>
                <w:rFonts w:ascii="Arial" w:hAnsi="Arial"/>
                <w:b w:val="0"/>
                <w:sz w:val="18"/>
              </w:rPr>
              <w:t>Inspect product shares, use-stage releases, EoL routes, lifetimes, treatment transfer coefficients, and sludge management.</w:t>
            </w:r>
          </w:p>
        </w:tc>
      </w:tr>
      <w:tr>
        <w:trPr>
          <w:cantSplit/>
        </w:trPr>
        <w:tc>
          <w:tcPr>
            <w:tcW w:type="dxa" w:w="2551"/>
            <w:vAlign w:val="center"/>
          </w:tcPr>
          <w:p>
            <w:r>
              <w:t>3. Check evidence</w:t>
            </w:r>
          </w:p>
        </w:tc>
        <w:tc>
          <w:tcPr>
            <w:tcW w:type="dxa" w:w="6520"/>
            <w:vAlign w:val="center"/>
          </w:tcPr>
          <w:p>
            <w:r/>
            <w:r>
              <w:rPr>
                <w:rFonts w:ascii="Arial" w:hAnsi="Arial"/>
                <w:b w:val="0"/>
                <w:sz w:val="18"/>
              </w:rPr>
              <w:t>Review the provenance register, evidence class, data-quality scores, uncertainty coefficients, and benchmark applicability.</w:t>
            </w:r>
          </w:p>
        </w:tc>
      </w:tr>
      <w:tr>
        <w:trPr>
          <w:cantSplit/>
        </w:trPr>
        <w:tc>
          <w:tcPr>
            <w:tcW w:type="dxa" w:w="2551"/>
            <w:vAlign w:val="center"/>
            <w:shd w:fill="F1F6F4"/>
          </w:tcPr>
          <w:p>
            <w:r>
              <w:t>4. Configure co-exposure when applicable</w:t>
            </w:r>
          </w:p>
        </w:tc>
        <w:tc>
          <w:tcPr>
            <w:tcW w:type="dxa" w:w="6520"/>
            <w:vAlign w:val="center"/>
            <w:shd w:fill="F1F6F4"/>
          </w:tcPr>
          <w:p>
            <w:r>
              <w:t>For multi-material projects, add components, define direct or formulation inputs, align tracking bases, enter comparable PNECs, and document grouping and interaction evidence.</w:t>
            </w:r>
          </w:p>
        </w:tc>
      </w:tr>
      <w:tr>
        <w:trPr>
          <w:cantSplit/>
        </w:trPr>
        <w:tc>
          <w:tcPr>
            <w:tcW w:type="dxa" w:w="2551"/>
            <w:vAlign w:val="center"/>
          </w:tcPr>
          <w:p>
            <w:r>
              <w:t>5. Run and interpret</w:t>
            </w:r>
          </w:p>
        </w:tc>
        <w:tc>
          <w:tcPr>
            <w:tcW w:type="dxa" w:w="6520"/>
            <w:vAlign w:val="center"/>
          </w:tcPr>
          <w:p>
            <w:r>
              <w:t>Calculate the model and inspect mass-balance closure, Sankey flows, material-specific terminal destinations, PECs, co-occurrence, and mixture indices.</w:t>
            </w:r>
          </w:p>
        </w:tc>
      </w:tr>
      <w:tr>
        <w:trPr>
          <w:cantSplit/>
        </w:trPr>
        <w:tc>
          <w:tcPr>
            <w:tcW w:type="dxa" w:w="4762"/>
          </w:tcPr>
          <w:p>
            <w:r>
              <w:t>6. Test and compare</w:t>
            </w:r>
          </w:p>
        </w:tc>
        <w:tc>
          <w:tcPr>
            <w:tcW w:type="dxa" w:w="4762"/>
          </w:tcPr>
          <w:p>
            <w:r>
              <w:t>Run uncertainty and sensitivity, scenario comparison, assessment benchmarks or observations, joint mixture uncertainty, and export reproducible files.</w:t>
            </w:r>
          </w:p>
        </w:tc>
      </w:tr>
    </w:tbl>
    <w:p>
      <w:pPr>
        <w:spacing w:after="20"/>
      </w:pPr>
    </w:p>
    <w:p>
      <w:pPr>
        <w:pStyle w:val="Heading2"/>
      </w:pPr>
      <w:r>
        <w:t>3.1 Context-sensitive guidance</w:t>
      </w:r>
    </w:p>
    <w:p>
      <w:r>
        <w:t>The green “Next recommended action” box changes with the session state. Before calculation it directs the user to review defaults and run the model. After calculation it recommends uncertainty analysis, scenario storage, comparison, benchmark review, or export.</w:t>
      </w:r>
    </w:p>
    <w:p>
      <w:pPr>
        <w:pStyle w:val="Heading2"/>
      </w:pPr>
      <w:r>
        <w:t>3.2 Main tabs</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2835"/>
            <w:vAlign w:val="center"/>
            <w:shd w:fill="0B6B57"/>
          </w:tcPr>
          <w:p>
            <w:r/>
            <w:r>
              <w:rPr>
                <w:rFonts w:ascii="Arial" w:hAnsi="Arial"/>
                <w:b/>
                <w:color w:val="FFFFFF"/>
                <w:sz w:val="15"/>
              </w:rPr>
              <w:t>Tab</w:t>
            </w:r>
          </w:p>
        </w:tc>
        <w:tc>
          <w:tcPr>
            <w:tcW w:type="dxa" w:w="6236"/>
            <w:vAlign w:val="center"/>
            <w:shd w:fill="0B6B57"/>
          </w:tcPr>
          <w:p>
            <w:r/>
            <w:r>
              <w:rPr>
                <w:rFonts w:ascii="Arial" w:hAnsi="Arial"/>
                <w:b/>
                <w:color w:val="FFFFFF"/>
                <w:sz w:val="15"/>
              </w:rPr>
              <w:t>Purpose</w:t>
            </w:r>
          </w:p>
        </w:tc>
      </w:tr>
      <w:tr>
        <w:trPr>
          <w:cantSplit/>
        </w:trPr>
        <w:tc>
          <w:tcPr>
            <w:tcW w:type="dxa" w:w="2835"/>
            <w:vAlign w:val="center"/>
          </w:tcPr>
          <w:p>
            <w:r/>
            <w:r>
              <w:rPr>
                <w:rFonts w:ascii="Arial" w:hAnsi="Arial"/>
                <w:b w:val="0"/>
                <w:sz w:val="15"/>
              </w:rPr>
              <w:t>Model setup</w:t>
            </w:r>
          </w:p>
        </w:tc>
        <w:tc>
          <w:tcPr>
            <w:tcW w:type="dxa" w:w="6236"/>
            <w:vAlign w:val="center"/>
          </w:tcPr>
          <w:p>
            <w:r/>
            <w:r>
              <w:rPr>
                <w:rFonts w:ascii="Arial" w:hAnsi="Arial"/>
                <w:b w:val="0"/>
                <w:sz w:val="15"/>
              </w:rPr>
              <w:t>Select temporal structure and inspect geographic scaling and active product categories.</w:t>
            </w:r>
          </w:p>
        </w:tc>
      </w:tr>
      <w:tr>
        <w:trPr>
          <w:cantSplit/>
        </w:trPr>
        <w:tc>
          <w:tcPr>
            <w:tcW w:type="dxa" w:w="2835"/>
            <w:vAlign w:val="center"/>
            <w:shd w:fill="F1F6F4"/>
          </w:tcPr>
          <w:p>
            <w:r/>
            <w:r>
              <w:rPr>
                <w:rFonts w:ascii="Arial" w:hAnsi="Arial"/>
                <w:b w:val="0"/>
                <w:sz w:val="15"/>
              </w:rPr>
              <w:t>Products and life cycle</w:t>
            </w:r>
          </w:p>
        </w:tc>
        <w:tc>
          <w:tcPr>
            <w:tcW w:type="dxa" w:w="6236"/>
            <w:vAlign w:val="center"/>
            <w:shd w:fill="F1F6F4"/>
          </w:tcPr>
          <w:p>
            <w:r/>
            <w:r>
              <w:rPr>
                <w:rFonts w:ascii="Arial" w:hAnsi="Arial"/>
                <w:b w:val="0"/>
                <w:sz w:val="15"/>
              </w:rPr>
              <w:t>Edit product allocation, use release, EoL routing, and dynamic lifetime data.</w:t>
            </w:r>
          </w:p>
        </w:tc>
      </w:tr>
      <w:tr>
        <w:trPr>
          <w:cantSplit/>
        </w:trPr>
        <w:tc>
          <w:tcPr>
            <w:tcW w:type="dxa" w:w="2835"/>
            <w:vAlign w:val="center"/>
          </w:tcPr>
          <w:p>
            <w:r/>
            <w:r>
              <w:rPr>
                <w:rFonts w:ascii="Arial" w:hAnsi="Arial"/>
                <w:b w:val="0"/>
                <w:sz w:val="15"/>
              </w:rPr>
              <w:t>Treatment facilities</w:t>
            </w:r>
          </w:p>
        </w:tc>
        <w:tc>
          <w:tcPr>
            <w:tcW w:type="dxa" w:w="6236"/>
            <w:vAlign w:val="center"/>
          </w:tcPr>
          <w:p>
            <w:r/>
            <w:r>
              <w:rPr>
                <w:rFonts w:ascii="Arial" w:hAnsi="Arial"/>
                <w:b w:val="0"/>
                <w:sz w:val="15"/>
              </w:rPr>
              <w:t>Edit WWTP, incineration, landfill, recycling, reuse, biological treatment, and sludge routes.</w:t>
            </w:r>
          </w:p>
        </w:tc>
      </w:tr>
      <w:tr>
        <w:trPr>
          <w:cantSplit/>
        </w:trPr>
        <w:tc>
          <w:tcPr>
            <w:tcW w:type="dxa" w:w="2835"/>
            <w:vAlign w:val="center"/>
            <w:shd w:fill="F1F6F4"/>
          </w:tcPr>
          <w:p>
            <w:r/>
            <w:r>
              <w:rPr>
                <w:rFonts w:ascii="Arial" w:hAnsi="Arial"/>
                <w:b w:val="0"/>
                <w:sz w:val="15"/>
              </w:rPr>
              <w:t>Geography and PEC</w:t>
            </w:r>
          </w:p>
        </w:tc>
        <w:tc>
          <w:tcPr>
            <w:tcW w:type="dxa" w:w="6236"/>
            <w:vAlign w:val="center"/>
            <w:shd w:fill="F1F6F4"/>
          </w:tcPr>
          <w:p>
            <w:r/>
            <w:r>
              <w:rPr>
                <w:rFonts w:ascii="Arial" w:hAnsi="Arial"/>
                <w:b w:val="0"/>
                <w:sz w:val="15"/>
              </w:rPr>
              <w:t>Edit receiving-environment capacity and residence-time parameters.</w:t>
            </w:r>
          </w:p>
        </w:tc>
      </w:tr>
      <w:tr>
        <w:trPr>
          <w:cantSplit/>
        </w:trPr>
        <w:tc>
          <w:tcPr>
            <w:tcW w:type="dxa" w:w="2835"/>
            <w:vAlign w:val="center"/>
          </w:tcPr>
          <w:p>
            <w:r/>
            <w:r>
              <w:rPr>
                <w:rFonts w:ascii="Arial" w:hAnsi="Arial"/>
                <w:b w:val="0"/>
                <w:sz w:val="15"/>
              </w:rPr>
              <w:t>Results</w:t>
            </w:r>
          </w:p>
        </w:tc>
        <w:tc>
          <w:tcPr>
            <w:tcW w:type="dxa" w:w="6236"/>
            <w:vAlign w:val="center"/>
          </w:tcPr>
          <w:p>
            <w:r/>
            <w:r>
              <w:rPr>
                <w:rFonts w:ascii="Arial" w:hAnsi="Arial"/>
                <w:b w:val="0"/>
                <w:sz w:val="15"/>
              </w:rPr>
              <w:t>Inspect Sankey flows, terminal destinations, PECs, tables, and scenario comparison.</w:t>
            </w:r>
          </w:p>
        </w:tc>
      </w:tr>
      <w:tr>
        <w:trPr>
          <w:cantSplit/>
        </w:trPr>
        <w:tc>
          <w:tcPr>
            <w:tcW w:type="dxa" w:w="2835"/>
            <w:vAlign w:val="center"/>
            <w:shd w:fill="F1F6F4"/>
          </w:tcPr>
          <w:p>
            <w:r/>
            <w:r>
              <w:rPr>
                <w:rFonts w:ascii="Arial" w:hAnsi="Arial"/>
                <w:b w:val="0"/>
                <w:sz w:val="15"/>
              </w:rPr>
              <w:t>Uncertainty</w:t>
            </w:r>
          </w:p>
        </w:tc>
        <w:tc>
          <w:tcPr>
            <w:tcW w:type="dxa" w:w="6236"/>
            <w:vAlign w:val="center"/>
            <w:shd w:fill="F1F6F4"/>
          </w:tcPr>
          <w:p>
            <w:r/>
            <w:r>
              <w:rPr>
                <w:rFonts w:ascii="Arial" w:hAnsi="Arial"/>
                <w:b w:val="0"/>
                <w:sz w:val="15"/>
              </w:rPr>
              <w:t>Run probabilistic simulations and view P5–P50–P95 outputs.</w:t>
            </w:r>
          </w:p>
        </w:tc>
      </w:tr>
      <w:tr>
        <w:trPr>
          <w:cantSplit/>
        </w:trPr>
        <w:tc>
          <w:tcPr>
            <w:tcW w:type="dxa" w:w="2835"/>
            <w:vAlign w:val="center"/>
          </w:tcPr>
          <w:p>
            <w:r/>
            <w:r>
              <w:rPr>
                <w:rFonts w:ascii="Arial" w:hAnsi="Arial"/>
                <w:b w:val="0"/>
                <w:sz w:val="15"/>
              </w:rPr>
              <w:t>Evidence, QA and sensitivity</w:t>
            </w:r>
          </w:p>
        </w:tc>
        <w:tc>
          <w:tcPr>
            <w:tcW w:type="dxa" w:w="6236"/>
            <w:vAlign w:val="center"/>
          </w:tcPr>
          <w:p>
            <w:r/>
            <w:r>
              <w:rPr>
                <w:rFonts w:ascii="Arial" w:hAnsi="Arial"/>
                <w:b w:val="0"/>
                <w:sz w:val="15"/>
              </w:rPr>
              <w:t>Document boundaries, review provenance, evaluate benchmarks, score evidence, and run sensitivity.</w:t>
            </w:r>
          </w:p>
        </w:tc>
      </w:tr>
      <w:tr>
        <w:trPr>
          <w:cantSplit/>
        </w:trPr>
        <w:tc>
          <w:tcPr>
            <w:tcW w:type="dxa" w:w="2835"/>
            <w:vAlign w:val="center"/>
            <w:shd w:fill="F1F6F4"/>
          </w:tcPr>
          <w:p>
            <w:r/>
            <w:r>
              <w:rPr>
                <w:rFonts w:ascii="Arial" w:hAnsi="Arial"/>
                <w:b w:val="0"/>
                <w:sz w:val="15"/>
              </w:rPr>
              <w:t>Advanced MFA and fate</w:t>
            </w:r>
          </w:p>
        </w:tc>
        <w:tc>
          <w:tcPr>
            <w:tcW w:type="dxa" w:w="6236"/>
            <w:vAlign w:val="center"/>
            <w:shd w:fill="F1F6F4"/>
          </w:tcPr>
          <w:p>
            <w:r/>
            <w:r>
              <w:rPr>
                <w:rFonts w:ascii="Arial" w:hAnsi="Arial"/>
                <w:b w:val="0"/>
                <w:sz w:val="15"/>
              </w:rPr>
              <w:t>Use trade, stock-driven MFA, reconciliation, calibration, multimedia fate, validation, and burden modules.</w:t>
            </w:r>
          </w:p>
        </w:tc>
      </w:tr>
      <w:tr>
        <w:trPr>
          <w:cantSplit/>
        </w:trPr>
        <w:tc>
          <w:tcPr>
            <w:tcW w:type="dxa" w:w="2835"/>
            <w:vAlign w:val="center"/>
          </w:tcPr>
          <w:p>
            <w:r/>
            <w:r>
              <w:rPr>
                <w:rFonts w:ascii="Arial" w:hAnsi="Arial"/>
                <w:b w:val="0"/>
                <w:sz w:val="15"/>
              </w:rPr>
              <w:t>Method and limitations</w:t>
            </w:r>
          </w:p>
        </w:tc>
        <w:tc>
          <w:tcPr>
            <w:tcW w:type="dxa" w:w="6236"/>
            <w:vAlign w:val="center"/>
          </w:tcPr>
          <w:p>
            <w:r/>
            <w:r>
              <w:rPr>
                <w:rFonts w:ascii="Arial" w:hAnsi="Arial"/>
                <w:b w:val="0"/>
                <w:sz w:val="15"/>
              </w:rPr>
              <w:t>Review calculation structure, interpretation boundaries, license, and disclaimer.</w:t>
            </w:r>
          </w:p>
        </w:tc>
      </w:tr>
      <w:tr>
        <w:trPr>
          <w:cantSplit/>
        </w:trPr>
        <w:tc>
          <w:tcPr>
            <w:tcW w:type="dxa" w:w="4762"/>
          </w:tcPr>
          <w:p>
            <w:r>
              <w:t>Multi-material / mixtures</w:t>
            </w:r>
          </w:p>
        </w:tc>
        <w:tc>
          <w:tcPr>
            <w:tcW w:type="dxa" w:w="4762"/>
          </w:tcPr>
          <w:p>
            <w:r>
              <w:t>Add independent or co-formulated components, enter PNECs and assessment groups, calculate co-occurrence and HI, run joint uncertainty, and export mixture projects.</w:t>
            </w:r>
          </w:p>
        </w:tc>
      </w:tr>
    </w:tbl>
    <w:p>
      <w:pPr>
        <w:spacing w:after="20"/>
      </w:pPr>
    </w:p>
    <w:p>
      <w:pPr>
        <w:pStyle w:val="Heading1"/>
      </w:pPr>
      <w:r>
        <w:t>4. Quick-start: static deterministic MFA</w:t>
      </w:r>
    </w:p>
    <w:p>
      <w:pPr>
        <w:pStyle w:val="Heading2"/>
      </w:pPr>
      <w:r>
        <w:t>4.1 Configure the scenario</w:t>
      </w:r>
    </w:p>
    <w:p>
      <w:pPr>
        <w:ind w:left="369" w:hanging="369"/>
      </w:pPr>
      <w:r>
        <w:rPr>
          <w:b/>
        </w:rPr>
        <w:t xml:space="preserve">1. </w:t>
      </w:r>
      <w:r>
        <w:t>Select Static deterministic MFA.</w:t>
      </w:r>
    </w:p>
    <w:p>
      <w:pPr>
        <w:ind w:left="369" w:hanging="369"/>
      </w:pPr>
      <w:r>
        <w:t>2. Select a bundled target nanomaterial or choose Custom nanomaterial… and complete the custom-material definition.</w:t>
      </w:r>
    </w:p>
    <w:p>
      <w:pPr>
        <w:ind w:left="369" w:hanging="369"/>
      </w:pPr>
      <w:r>
        <w:rPr>
          <w:b/>
        </w:rPr>
        <w:t xml:space="preserve">3. </w:t>
      </w:r>
      <w:r>
        <w:t>Select a country and national or subnational domain.</w:t>
      </w:r>
    </w:p>
    <w:p>
      <w:pPr>
        <w:ind w:left="369" w:hanging="369"/>
      </w:pPr>
      <w:r>
        <w:rPr>
          <w:b/>
        </w:rPr>
        <w:t xml:space="preserve">4. </w:t>
      </w:r>
      <w:r>
        <w:t>Choose the market-input geography. Use “Direct selected-region input” only when the entered quantity already represents the selected domain.</w:t>
      </w:r>
    </w:p>
    <w:p>
      <w:pPr>
        <w:ind w:left="369" w:hanging="369"/>
      </w:pPr>
      <w:r>
        <w:rPr>
          <w:b/>
        </w:rPr>
        <w:t xml:space="preserve">5. </w:t>
      </w:r>
      <w:r>
        <w:t>Enter annual market input and base year.</w:t>
      </w:r>
    </w:p>
    <w:p>
      <w:pPr>
        <w:ind w:left="369" w:hanging="369"/>
      </w:pPr>
      <w:r>
        <w:rPr>
          <w:b/>
        </w:rPr>
        <w:t xml:space="preserve">6. </w:t>
      </w:r>
      <w:r>
        <w:t>Review the effective-domain input shown below the input controls.</w:t>
      </w:r>
    </w:p>
    <w:p>
      <w:pPr>
        <w:pStyle w:val="Heading2"/>
      </w:pPr>
      <w:r>
        <w:t>4.2 Review defaults before calculation</w:t>
      </w:r>
    </w:p>
    <w:p>
      <w:pPr>
        <w:pStyle w:val="ListBullet"/>
      </w:pPr>
      <w:r>
        <w:t>Confirm that product allocation sums to 100%.</w:t>
      </w:r>
    </w:p>
    <w:p>
      <w:pPr>
        <w:pStyle w:val="ListBullet"/>
      </w:pPr>
      <w:r>
        <w:t>Confirm that each product’s EoL routes sum to 100%.</w:t>
      </w:r>
    </w:p>
    <w:p>
      <w:pPr>
        <w:pStyle w:val="ListBullet"/>
      </w:pPr>
      <w:r>
        <w:t>Confirm that treatment-output fractions are closed and that landfill annual losses are physically plausible.</w:t>
      </w:r>
    </w:p>
    <w:p>
      <w:pPr>
        <w:pStyle w:val="ListBullet"/>
      </w:pPr>
      <w:r>
        <w:t>Inspect the Default data provenance register and revise low-evidence assumptions when project-specific data are available.</w:t>
      </w:r>
    </w:p>
    <w:p>
      <w:pPr>
        <w:pStyle w:val="Heading2"/>
      </w:pPr>
      <w:r>
        <w:t>4.3 Calculate and check</w:t>
      </w:r>
    </w:p>
    <w:p>
      <w:pPr>
        <w:ind w:left="369" w:hanging="369"/>
      </w:pPr>
      <w:r>
        <w:rPr>
          <w:b/>
        </w:rPr>
        <w:t xml:space="preserve">1. </w:t>
      </w:r>
      <w:r>
        <w:t>Click Run static country/domain model.</w:t>
      </w:r>
    </w:p>
    <w:p>
      <w:pPr>
        <w:ind w:left="369" w:hanging="369"/>
      </w:pPr>
      <w:r>
        <w:rPr>
          <w:b/>
        </w:rPr>
        <w:t xml:space="preserve">2. </w:t>
      </w:r>
      <w:r>
        <w:t>Confirm mass-balance closure is approximately 100%.</w:t>
      </w:r>
    </w:p>
    <w:p>
      <w:pPr>
        <w:ind w:left="369" w:hanging="369"/>
      </w:pPr>
      <w:r>
        <w:rPr>
          <w:b/>
        </w:rPr>
        <w:t xml:space="preserve">3. </w:t>
      </w:r>
      <w:r>
        <w:t>Inspect the Sankey diagram and terminal destinations.</w:t>
      </w:r>
    </w:p>
    <w:p>
      <w:pPr>
        <w:ind w:left="369" w:hanging="369"/>
      </w:pPr>
      <w:r>
        <w:rPr>
          <w:b/>
        </w:rPr>
        <w:t xml:space="preserve">4. </w:t>
      </w:r>
      <w:r>
        <w:t>Review environmental-media PECs and process concentrations.</w:t>
      </w:r>
    </w:p>
    <w:p>
      <w:pPr>
        <w:ind w:left="369" w:hanging="369"/>
      </w:pPr>
      <w:r>
        <w:rPr>
          <w:b/>
        </w:rPr>
        <w:t xml:space="preserve">5. </w:t>
      </w:r>
      <w:r>
        <w:t>Open Evidence, QA and sensitivity and click Evaluate current result.</w:t>
      </w:r>
    </w:p>
    <w:tbl>
      <w:tblPr>
        <w:tblStyle w:val="TableGrid"/>
        <w:tblW w:type="auto" w:w="0"/>
        <w:jc w:val="center"/>
        <w:tblLook w:firstColumn="1" w:firstRow="1" w:lastColumn="0" w:lastRow="0" w:noHBand="0" w:noVBand="1" w:val="04A0"/>
      </w:tblPr>
      <w:tblGrid>
        <w:gridCol w:w="9524"/>
      </w:tblGrid>
      <w:tr>
        <w:trPr>
          <w:tblHeader/>
          <w:cantSplit/>
        </w:trPr>
        <w:tc>
          <w:tcPr>
            <w:tcW w:type="dxa" w:w="9524"/>
            <w:shd w:fill="EEF8F4"/>
          </w:tcPr>
          <w:p>
            <w:r>
              <w:rPr>
                <w:b/>
                <w:color w:val="0B6B57"/>
              </w:rPr>
              <w:t xml:space="preserve">Interpretation note: </w:t>
            </w:r>
            <w:r>
              <w:t>The static model sends all product mass not released during use to EoL in the same year. Long-lived products are therefore better represented with the dynamic mode.</w:t>
            </w:r>
          </w:p>
        </w:tc>
      </w:tr>
    </w:tbl>
    <w:p>
      <w:pPr>
        <w:spacing w:after="20"/>
      </w:pPr>
    </w:p>
    <w:p>
      <w:r/>
    </w:p>
    <w:p>
      <w:pPr>
        <w:pStyle w:val="Heading1"/>
      </w:pPr>
      <w:r>
        <w:t>5. Static probabilistic and dynamic probabilistic MFA</w:t>
      </w:r>
    </w:p>
    <w:p>
      <w:pPr>
        <w:pStyle w:val="Heading2"/>
      </w:pPr>
      <w:r>
        <w:t>5.1 Static probabilistic MFA</w:t>
      </w:r>
    </w:p>
    <w:p>
      <w:r>
        <w:t>Static probabilistic MFA retains the one-year boundary but samples uncertain parameter groups. Compositional vectors are sampled so that their shares remain closed; positive scalar parameters use positive distributions. The output reports P5, P50, and P95.</w:t>
      </w:r>
    </w:p>
    <w:p>
      <w:pPr>
        <w:ind w:left="369" w:hanging="369"/>
      </w:pPr>
      <w:r>
        <w:rPr>
          <w:b/>
        </w:rPr>
        <w:t xml:space="preserve">1. </w:t>
      </w:r>
      <w:r>
        <w:t>Select Static probabilistic MFA and calculate the base run.</w:t>
      </w:r>
    </w:p>
    <w:p>
      <w:pPr>
        <w:ind w:left="369" w:hanging="369"/>
      </w:pPr>
      <w:r>
        <w:rPr>
          <w:b/>
        </w:rPr>
        <w:t xml:space="preserve">2. </w:t>
      </w:r>
      <w:r>
        <w:t>Open Uncertainty.</w:t>
      </w:r>
    </w:p>
    <w:p>
      <w:pPr>
        <w:ind w:left="369" w:hanging="369"/>
      </w:pPr>
      <w:r>
        <w:rPr>
          <w:b/>
        </w:rPr>
        <w:t xml:space="preserve">3. </w:t>
      </w:r>
      <w:r>
        <w:t>Select the iteration count and random seed.</w:t>
      </w:r>
    </w:p>
    <w:p>
      <w:pPr>
        <w:ind w:left="369" w:hanging="369"/>
      </w:pPr>
      <w:r>
        <w:rPr>
          <w:b/>
        </w:rPr>
        <w:t xml:space="preserve">4. </w:t>
      </w:r>
      <w:r>
        <w:t>Run the simulation.</w:t>
      </w:r>
    </w:p>
    <w:p>
      <w:pPr>
        <w:ind w:left="369" w:hanging="369"/>
      </w:pPr>
      <w:r>
        <w:rPr>
          <w:b/>
        </w:rPr>
        <w:t xml:space="preserve">5. </w:t>
      </w:r>
      <w:r>
        <w:t>Review terminal destinations and PEC uncertainty ranges.</w:t>
      </w:r>
    </w:p>
    <w:p>
      <w:pPr>
        <w:pStyle w:val="Heading2"/>
      </w:pPr>
      <w:r>
        <w:t>5.2 Dynamic probabilistic MFA</w:t>
      </w:r>
    </w:p>
    <w:p>
      <w:r>
        <w:t>Dynamic probabilistic MFA uses annual cohorts, product-specific Weibull lifetimes, distributed use release, delayed EoL, in-use stock, reuse, recycling return, and landfill stock.</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2891"/>
            <w:vAlign w:val="center"/>
            <w:shd w:fill="0B6B57"/>
          </w:tcPr>
          <w:p>
            <w:r/>
            <w:r>
              <w:rPr>
                <w:rFonts w:ascii="Arial" w:hAnsi="Arial"/>
                <w:b/>
                <w:color w:val="FFFFFF"/>
                <w:sz w:val="17"/>
              </w:rPr>
              <w:t>Dynamic input</w:t>
            </w:r>
          </w:p>
        </w:tc>
        <w:tc>
          <w:tcPr>
            <w:tcW w:type="dxa" w:w="6180"/>
            <w:vAlign w:val="center"/>
            <w:shd w:fill="0B6B57"/>
          </w:tcPr>
          <w:p>
            <w:r/>
            <w:r>
              <w:rPr>
                <w:rFonts w:ascii="Arial" w:hAnsi="Arial"/>
                <w:b/>
                <w:color w:val="FFFFFF"/>
                <w:sz w:val="17"/>
              </w:rPr>
              <w:t>Meaning</w:t>
            </w:r>
          </w:p>
        </w:tc>
      </w:tr>
      <w:tr>
        <w:trPr>
          <w:cantSplit/>
        </w:trPr>
        <w:tc>
          <w:tcPr>
            <w:tcW w:type="dxa" w:w="2891"/>
            <w:vAlign w:val="center"/>
          </w:tcPr>
          <w:p>
            <w:r/>
            <w:r>
              <w:rPr>
                <w:rFonts w:ascii="Arial" w:hAnsi="Arial"/>
                <w:b w:val="0"/>
                <w:sz w:val="17"/>
              </w:rPr>
              <w:t>Start and end year</w:t>
            </w:r>
          </w:p>
        </w:tc>
        <w:tc>
          <w:tcPr>
            <w:tcW w:type="dxa" w:w="6180"/>
            <w:vAlign w:val="center"/>
          </w:tcPr>
          <w:p>
            <w:r/>
            <w:r>
              <w:rPr>
                <w:rFonts w:ascii="Arial" w:hAnsi="Arial"/>
                <w:b w:val="0"/>
                <w:sz w:val="17"/>
              </w:rPr>
              <w:t>Temporal horizon of the cohort calculation.</w:t>
            </w:r>
          </w:p>
        </w:tc>
      </w:tr>
      <w:tr>
        <w:trPr>
          <w:cantSplit/>
        </w:trPr>
        <w:tc>
          <w:tcPr>
            <w:tcW w:type="dxa" w:w="2891"/>
            <w:vAlign w:val="center"/>
            <w:shd w:fill="F1F6F4"/>
          </w:tcPr>
          <w:p>
            <w:r/>
            <w:r>
              <w:rPr>
                <w:rFonts w:ascii="Arial" w:hAnsi="Arial"/>
                <w:b w:val="0"/>
                <w:sz w:val="17"/>
              </w:rPr>
              <w:t>Initial entered input</w:t>
            </w:r>
          </w:p>
        </w:tc>
        <w:tc>
          <w:tcPr>
            <w:tcW w:type="dxa" w:w="6180"/>
            <w:vAlign w:val="center"/>
            <w:shd w:fill="F1F6F4"/>
          </w:tcPr>
          <w:p>
            <w:r/>
            <w:r>
              <w:rPr>
                <w:rFonts w:ascii="Arial" w:hAnsi="Arial"/>
                <w:b w:val="0"/>
                <w:sz w:val="17"/>
              </w:rPr>
              <w:t>First-year national or direct-domain market input.</w:t>
            </w:r>
          </w:p>
        </w:tc>
      </w:tr>
      <w:tr>
        <w:trPr>
          <w:cantSplit/>
        </w:trPr>
        <w:tc>
          <w:tcPr>
            <w:tcW w:type="dxa" w:w="2891"/>
            <w:vAlign w:val="center"/>
          </w:tcPr>
          <w:p>
            <w:r/>
            <w:r>
              <w:rPr>
                <w:rFonts w:ascii="Arial" w:hAnsi="Arial"/>
                <w:b w:val="0"/>
                <w:sz w:val="17"/>
              </w:rPr>
              <w:t>Annual growth</w:t>
            </w:r>
          </w:p>
        </w:tc>
        <w:tc>
          <w:tcPr>
            <w:tcW w:type="dxa" w:w="6180"/>
            <w:vAlign w:val="center"/>
          </w:tcPr>
          <w:p>
            <w:r/>
            <w:r>
              <w:rPr>
                <w:rFonts w:ascii="Arial" w:hAnsi="Arial"/>
                <w:b w:val="0"/>
                <w:sz w:val="17"/>
              </w:rPr>
              <w:t>Growth applied when generating the initial trajectory.</w:t>
            </w:r>
          </w:p>
        </w:tc>
      </w:tr>
      <w:tr>
        <w:trPr>
          <w:cantSplit/>
        </w:trPr>
        <w:tc>
          <w:tcPr>
            <w:tcW w:type="dxa" w:w="2891"/>
            <w:vAlign w:val="center"/>
            <w:shd w:fill="F1F6F4"/>
          </w:tcPr>
          <w:p>
            <w:r/>
            <w:r>
              <w:rPr>
                <w:rFonts w:ascii="Arial" w:hAnsi="Arial"/>
                <w:b w:val="0"/>
                <w:sz w:val="17"/>
              </w:rPr>
              <w:t>Closed-loop share</w:t>
            </w:r>
          </w:p>
        </w:tc>
        <w:tc>
          <w:tcPr>
            <w:tcW w:type="dxa" w:w="6180"/>
            <w:vAlign w:val="center"/>
            <w:shd w:fill="F1F6F4"/>
          </w:tcPr>
          <w:p>
            <w:r/>
            <w:r>
              <w:rPr>
                <w:rFonts w:ascii="Arial" w:hAnsi="Arial"/>
                <w:b w:val="0"/>
                <w:sz w:val="17"/>
              </w:rPr>
              <w:t>Fraction of recovered product that returns as secondary input.</w:t>
            </w:r>
          </w:p>
        </w:tc>
      </w:tr>
      <w:tr>
        <w:trPr>
          <w:cantSplit/>
        </w:trPr>
        <w:tc>
          <w:tcPr>
            <w:tcW w:type="dxa" w:w="2891"/>
            <w:vAlign w:val="center"/>
          </w:tcPr>
          <w:p>
            <w:r/>
            <w:r>
              <w:rPr>
                <w:rFonts w:ascii="Arial" w:hAnsi="Arial"/>
                <w:b w:val="0"/>
                <w:sz w:val="17"/>
              </w:rPr>
              <w:t>Recycling delay</w:t>
            </w:r>
          </w:p>
        </w:tc>
        <w:tc>
          <w:tcPr>
            <w:tcW w:type="dxa" w:w="6180"/>
            <w:vAlign w:val="center"/>
          </w:tcPr>
          <w:p>
            <w:r/>
            <w:r>
              <w:rPr>
                <w:rFonts w:ascii="Arial" w:hAnsi="Arial"/>
                <w:b w:val="0"/>
                <w:sz w:val="17"/>
              </w:rPr>
              <w:t>Delay before recovered material re-enters product manufacture.</w:t>
            </w:r>
          </w:p>
        </w:tc>
      </w:tr>
      <w:tr>
        <w:trPr>
          <w:cantSplit/>
        </w:trPr>
        <w:tc>
          <w:tcPr>
            <w:tcW w:type="dxa" w:w="2891"/>
            <w:vAlign w:val="center"/>
            <w:shd w:fill="F1F6F4"/>
          </w:tcPr>
          <w:p>
            <w:r/>
            <w:r>
              <w:rPr>
                <w:rFonts w:ascii="Arial" w:hAnsi="Arial"/>
                <w:b w:val="0"/>
                <w:sz w:val="17"/>
              </w:rPr>
              <w:t>Reuse delay</w:t>
            </w:r>
          </w:p>
        </w:tc>
        <w:tc>
          <w:tcPr>
            <w:tcW w:type="dxa" w:w="6180"/>
            <w:vAlign w:val="center"/>
            <w:shd w:fill="F1F6F4"/>
          </w:tcPr>
          <w:p>
            <w:r/>
            <w:r>
              <w:rPr>
                <w:rFonts w:ascii="Arial" w:hAnsi="Arial"/>
                <w:b w:val="0"/>
                <w:sz w:val="17"/>
              </w:rPr>
              <w:t>Time before reuse stock returns to EoL.</w:t>
            </w:r>
          </w:p>
        </w:tc>
      </w:tr>
      <w:tr>
        <w:trPr>
          <w:cantSplit/>
        </w:trPr>
        <w:tc>
          <w:tcPr>
            <w:tcW w:type="dxa" w:w="2891"/>
            <w:vAlign w:val="center"/>
          </w:tcPr>
          <w:p>
            <w:r/>
            <w:r>
              <w:rPr>
                <w:rFonts w:ascii="Arial" w:hAnsi="Arial"/>
                <w:b w:val="0"/>
                <w:sz w:val="17"/>
              </w:rPr>
              <w:t>Product mean lifetime</w:t>
            </w:r>
          </w:p>
        </w:tc>
        <w:tc>
          <w:tcPr>
            <w:tcW w:type="dxa" w:w="6180"/>
            <w:vAlign w:val="center"/>
          </w:tcPr>
          <w:p>
            <w:r/>
            <w:r>
              <w:rPr>
                <w:rFonts w:ascii="Arial" w:hAnsi="Arial"/>
                <w:b w:val="0"/>
                <w:sz w:val="17"/>
              </w:rPr>
              <w:t>Mean residence time in the use phase.</w:t>
            </w:r>
          </w:p>
        </w:tc>
      </w:tr>
      <w:tr>
        <w:trPr>
          <w:cantSplit/>
        </w:trPr>
        <w:tc>
          <w:tcPr>
            <w:tcW w:type="dxa" w:w="2891"/>
            <w:vAlign w:val="center"/>
            <w:shd w:fill="F1F6F4"/>
          </w:tcPr>
          <w:p>
            <w:r/>
            <w:r>
              <w:rPr>
                <w:rFonts w:ascii="Arial" w:hAnsi="Arial"/>
                <w:b w:val="0"/>
                <w:sz w:val="17"/>
              </w:rPr>
              <w:t>Weibull shape</w:t>
            </w:r>
          </w:p>
        </w:tc>
        <w:tc>
          <w:tcPr>
            <w:tcW w:type="dxa" w:w="6180"/>
            <w:vAlign w:val="center"/>
            <w:shd w:fill="F1F6F4"/>
          </w:tcPr>
          <w:p>
            <w:r/>
            <w:r>
              <w:rPr>
                <w:rFonts w:ascii="Arial" w:hAnsi="Arial"/>
                <w:b w:val="0"/>
                <w:sz w:val="17"/>
              </w:rPr>
              <w:t>Controls the dispersion of product retirement ages.</w:t>
            </w:r>
          </w:p>
        </w:tc>
      </w:tr>
    </w:tbl>
    <w:p>
      <w:pPr>
        <w:spacing w:after="20"/>
      </w:pPr>
    </w:p>
    <w:p>
      <w:pPr>
        <w:pStyle w:val="Heading2"/>
      </w:pPr>
      <w:r>
        <w:t>5.3 Dynamic graph units</w:t>
      </w:r>
    </w:p>
    <w:p>
      <w:pPr>
        <w:pStyle w:val="ListBullet"/>
      </w:pPr>
      <w:r>
        <w:t>x-axis: Calendar year (year)</w:t>
      </w:r>
    </w:p>
    <w:p>
      <w:pPr>
        <w:pStyle w:val="ListBullet"/>
      </w:pPr>
      <w:r>
        <w:t>Annual input, release, and EoL graphs: kg/y</w:t>
      </w:r>
    </w:p>
    <w:p>
      <w:pPr>
        <w:pStyle w:val="ListBullet"/>
      </w:pPr>
      <w:r>
        <w:t>In-use, reuse, landfill, and feedstock stocks: kg</w:t>
      </w:r>
    </w:p>
    <w:p>
      <w:pPr>
        <w:pStyle w:val="ListBullet"/>
      </w:pPr>
      <w:r>
        <w:t>PEC graphs: metric-specific concentration unit shown on the y-axis</w:t>
      </w:r>
    </w:p>
    <w:p>
      <w:r/>
    </w:p>
    <w:p>
      <w:pPr>
        <w:pStyle w:val="Heading1"/>
      </w:pPr>
      <w:r>
        <w:t>6. Product categories and life-cycle settings</w:t>
      </w:r>
    </w:p>
    <w:p>
      <w:pPr>
        <w:pStyle w:val="Heading2"/>
      </w:pPr>
      <w:r>
        <w:t>6.1 Product allocation</w:t>
      </w:r>
    </w:p>
    <w:p>
      <w:r>
        <w:t>Product allocation determines how the effective-domain input is distributed among applications. The sum must equal 100%. Use the normalize control after editing if needed.</w:t>
      </w:r>
    </w:p>
    <w:p>
      <w:pPr>
        <w:pStyle w:val="Heading2"/>
      </w:pPr>
      <w:r>
        <w:t>6.2 Use-stage releases</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2835"/>
            <w:vAlign w:val="center"/>
            <w:shd w:fill="0B6B57"/>
          </w:tcPr>
          <w:p>
            <w:r/>
            <w:r>
              <w:rPr>
                <w:rFonts w:ascii="Arial" w:hAnsi="Arial"/>
                <w:b/>
                <w:color w:val="FFFFFF"/>
                <w:sz w:val="18"/>
              </w:rPr>
              <w:t>Route</w:t>
            </w:r>
          </w:p>
        </w:tc>
        <w:tc>
          <w:tcPr>
            <w:tcW w:type="dxa" w:w="6236"/>
            <w:vAlign w:val="center"/>
            <w:shd w:fill="0B6B57"/>
          </w:tcPr>
          <w:p>
            <w:r/>
            <w:r>
              <w:rPr>
                <w:rFonts w:ascii="Arial" w:hAnsi="Arial"/>
                <w:b/>
                <w:color w:val="FFFFFF"/>
                <w:sz w:val="18"/>
              </w:rPr>
              <w:t>Interpretation</w:t>
            </w:r>
          </w:p>
        </w:tc>
      </w:tr>
      <w:tr>
        <w:trPr>
          <w:cantSplit/>
        </w:trPr>
        <w:tc>
          <w:tcPr>
            <w:tcW w:type="dxa" w:w="2835"/>
            <w:vAlign w:val="center"/>
          </w:tcPr>
          <w:p>
            <w:r/>
            <w:r>
              <w:rPr>
                <w:rFonts w:ascii="Arial" w:hAnsi="Arial"/>
                <w:b w:val="0"/>
                <w:sz w:val="18"/>
              </w:rPr>
              <w:t>Use → air</w:t>
            </w:r>
          </w:p>
        </w:tc>
        <w:tc>
          <w:tcPr>
            <w:tcW w:type="dxa" w:w="6236"/>
            <w:vAlign w:val="center"/>
          </w:tcPr>
          <w:p>
            <w:r/>
            <w:r>
              <w:rPr>
                <w:rFonts w:ascii="Arial" w:hAnsi="Arial"/>
                <w:b w:val="0"/>
                <w:sz w:val="18"/>
              </w:rPr>
              <w:t>Direct airborne release during use, abrasion, handling, or wear.</w:t>
            </w:r>
          </w:p>
        </w:tc>
      </w:tr>
      <w:tr>
        <w:trPr>
          <w:cantSplit/>
        </w:trPr>
        <w:tc>
          <w:tcPr>
            <w:tcW w:type="dxa" w:w="2835"/>
            <w:vAlign w:val="center"/>
            <w:shd w:fill="F1F6F4"/>
          </w:tcPr>
          <w:p>
            <w:r/>
            <w:r>
              <w:rPr>
                <w:rFonts w:ascii="Arial" w:hAnsi="Arial"/>
                <w:b w:val="0"/>
                <w:sz w:val="18"/>
              </w:rPr>
              <w:t>Use → direct water</w:t>
            </w:r>
          </w:p>
        </w:tc>
        <w:tc>
          <w:tcPr>
            <w:tcW w:type="dxa" w:w="6236"/>
            <w:vAlign w:val="center"/>
            <w:shd w:fill="F1F6F4"/>
          </w:tcPr>
          <w:p>
            <w:r/>
            <w:r>
              <w:rPr>
                <w:rFonts w:ascii="Arial" w:hAnsi="Arial"/>
                <w:b w:val="0"/>
                <w:sz w:val="18"/>
              </w:rPr>
              <w:t>Release to receiving water without WWTP treatment.</w:t>
            </w:r>
          </w:p>
        </w:tc>
      </w:tr>
      <w:tr>
        <w:trPr>
          <w:cantSplit/>
        </w:trPr>
        <w:tc>
          <w:tcPr>
            <w:tcW w:type="dxa" w:w="2835"/>
            <w:vAlign w:val="center"/>
          </w:tcPr>
          <w:p>
            <w:r/>
            <w:r>
              <w:rPr>
                <w:rFonts w:ascii="Arial" w:hAnsi="Arial"/>
                <w:b w:val="0"/>
                <w:sz w:val="18"/>
              </w:rPr>
              <w:t>Use → WWTP</w:t>
            </w:r>
          </w:p>
        </w:tc>
        <w:tc>
          <w:tcPr>
            <w:tcW w:type="dxa" w:w="6236"/>
            <w:vAlign w:val="center"/>
          </w:tcPr>
          <w:p>
            <w:r/>
            <w:r>
              <w:rPr>
                <w:rFonts w:ascii="Arial" w:hAnsi="Arial"/>
                <w:b w:val="0"/>
                <w:sz w:val="18"/>
              </w:rPr>
              <w:t>Down-the-drain or sewer-connected release.</w:t>
            </w:r>
          </w:p>
        </w:tc>
      </w:tr>
      <w:tr>
        <w:trPr>
          <w:cantSplit/>
        </w:trPr>
        <w:tc>
          <w:tcPr>
            <w:tcW w:type="dxa" w:w="2835"/>
            <w:vAlign w:val="center"/>
            <w:shd w:fill="F1F6F4"/>
          </w:tcPr>
          <w:p>
            <w:r/>
            <w:r>
              <w:rPr>
                <w:rFonts w:ascii="Arial" w:hAnsi="Arial"/>
                <w:b w:val="0"/>
                <w:sz w:val="18"/>
              </w:rPr>
              <w:t>Use → soil</w:t>
            </w:r>
          </w:p>
        </w:tc>
        <w:tc>
          <w:tcPr>
            <w:tcW w:type="dxa" w:w="6236"/>
            <w:vAlign w:val="center"/>
            <w:shd w:fill="F1F6F4"/>
          </w:tcPr>
          <w:p>
            <w:r/>
            <w:r>
              <w:rPr>
                <w:rFonts w:ascii="Arial" w:hAnsi="Arial"/>
                <w:b w:val="0"/>
                <w:sz w:val="18"/>
              </w:rPr>
              <w:t>Direct release to soil, roadside soil, construction soil, or land application, depending on the product scenario.</w:t>
            </w:r>
          </w:p>
        </w:tc>
      </w:tr>
    </w:tbl>
    <w:p>
      <w:pPr>
        <w:spacing w:after="20"/>
      </w:pPr>
    </w:p>
    <w:p>
      <w:pPr>
        <w:pStyle w:val="Heading2"/>
      </w:pPr>
      <w:r>
        <w:t>6.3 End-of-life routes</w:t>
      </w:r>
    </w:p>
    <w:p>
      <w:r>
        <w:t>For each product, incineration, landfill, recycling, reuse, and biological treatment must sum to 100%. Country-waste coupling replaces the original product-specific shares with a harmonised country screening preset while preserving the editable structure.</w:t>
      </w:r>
    </w:p>
    <w:p>
      <w:pPr>
        <w:pStyle w:val="Heading2"/>
      </w:pPr>
      <w:r>
        <w:t>6.4 Dynamic lifetime data</w:t>
      </w:r>
    </w:p>
    <w:p>
      <w:r>
        <w:t>Mean lifetime, Weibull shape, and use-release duration are used only in dynamic mode. Replace generic product-class values when application-specific lifetime data are available.</w:t>
      </w:r>
    </w:p>
    <w:p>
      <w:r/>
    </w:p>
    <w:p>
      <w:pPr>
        <w:pStyle w:val="Heading2"/>
      </w:pPr>
      <w:r>
        <w:t>6.5 Custom nanomaterial builder</w:t>
      </w:r>
    </w:p>
    <w:p>
      <w:r>
        <w:t>Select Custom nanomaterial… when the target is not included in the bundled library. The application copies a complete editable starting structure from a selected template. Template selection is a modelling convenience and does not establish chemical, toxicological, environmental-fate, or market equivalence.</w:t>
      </w:r>
    </w:p>
    <w:p>
      <w:pPr>
        <w:pStyle w:val="Heading3"/>
      </w:pPr>
      <w:r>
        <w:t>Required setup sequence</w:t>
      </w:r>
    </w:p>
    <w:p>
      <w:pPr>
        <w:pStyle w:val="ListNumber"/>
      </w:pPr>
      <w:r>
        <w:t>Enter a unique custom material name and a short description of composition, form, coating, and intended tracking basis.</w:t>
      </w:r>
    </w:p>
    <w:p>
      <w:pPr>
        <w:pStyle w:val="ListNumber"/>
      </w:pPr>
      <w:r>
        <w:t>Select the closest initialization template and click Initialize from template.</w:t>
      </w:r>
    </w:p>
    <w:p>
      <w:pPr>
        <w:pStyle w:val="ListNumber"/>
      </w:pPr>
      <w:r>
        <w:t>Choose the multimedia fate behavior class that best matches the expected persistence, dissolution, or biodegradation pattern.</w:t>
      </w:r>
    </w:p>
    <w:p>
      <w:pPr>
        <w:pStyle w:val="ListNumber"/>
      </w:pPr>
      <w:r>
        <w:t>Assign an evidence class, source/reference, URL or DOI, and explicit limitations.</w:t>
      </w:r>
    </w:p>
    <w:p>
      <w:pPr>
        <w:pStyle w:val="ListNumber"/>
      </w:pPr>
      <w:r>
        <w:t>Revise all copied product, release, EoL, treatment, lifetime, release-form, uncertainty, and environmental parameters.</w:t>
      </w:r>
    </w:p>
    <w:p>
      <w:pPr>
        <w:pStyle w:val="ListNumber"/>
      </w:pPr>
      <w:r>
        <w:t>Save current variables as custom defaults to create a restore point, then export the scenario JSON.</w:t>
      </w:r>
    </w:p>
    <w:p>
      <w:pPr>
        <w:pStyle w:val="Heading3"/>
      </w:pPr>
      <w:r>
        <w:t>Editable variable map</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3175"/>
            <w:vAlign w:val="center"/>
            <w:shd w:fill="0B6B57"/>
          </w:tcPr>
          <w:p>
            <w:r>
              <w:rPr>
                <w:b/>
                <w:color w:val="FFFFFF"/>
                <w:sz w:val="17"/>
              </w:rPr>
              <w:t>Workspace</w:t>
            </w:r>
          </w:p>
        </w:tc>
        <w:tc>
          <w:tcPr>
            <w:tcW w:type="dxa" w:w="3175"/>
            <w:vAlign w:val="center"/>
            <w:shd w:fill="0B6B57"/>
          </w:tcPr>
          <w:p>
            <w:r>
              <w:rPr>
                <w:b/>
                <w:color w:val="FFFFFF"/>
                <w:sz w:val="17"/>
              </w:rPr>
              <w:t>Editable custom variables</w:t>
            </w:r>
          </w:p>
        </w:tc>
        <w:tc>
          <w:tcPr>
            <w:tcW w:type="dxa" w:w="3175"/>
            <w:vAlign w:val="center"/>
            <w:shd w:fill="0B6B57"/>
          </w:tcPr>
          <w:p>
            <w:r>
              <w:rPr>
                <w:b/>
                <w:color w:val="FFFFFF"/>
                <w:sz w:val="17"/>
              </w:rPr>
              <w:t>Minimum documentation</w:t>
            </w:r>
          </w:p>
        </w:tc>
      </w:tr>
      <w:tr>
        <w:trPr>
          <w:cantSplit/>
        </w:trPr>
        <w:tc>
          <w:tcPr>
            <w:tcW w:type="dxa" w:w="3175"/>
          </w:tcPr>
          <w:p>
            <w:r>
              <w:rPr>
                <w:sz w:val="16"/>
              </w:rPr>
              <w:t>Products and life cycle</w:t>
            </w:r>
          </w:p>
        </w:tc>
        <w:tc>
          <w:tcPr>
            <w:tcW w:type="dxa" w:w="3175"/>
          </w:tcPr>
          <w:p>
            <w:r>
              <w:rPr>
                <w:sz w:val="16"/>
              </w:rPr>
              <w:t>Product names, market allocation, air/water/WWTP/soil release, EoL shares, mean lifetime, Weibull shape, release duration.</w:t>
            </w:r>
          </w:p>
        </w:tc>
        <w:tc>
          <w:tcPr>
            <w:tcW w:type="dxa" w:w="3175"/>
          </w:tcPr>
          <w:p>
            <w:r>
              <w:rPr>
                <w:sz w:val="16"/>
              </w:rPr>
              <w:t>Product scope, year, region, source, and whether fractions are measured or assumed.</w:t>
            </w:r>
          </w:p>
        </w:tc>
      </w:tr>
      <w:tr>
        <w:trPr>
          <w:cantSplit/>
        </w:trPr>
        <w:tc>
          <w:tcPr>
            <w:tcW w:type="dxa" w:w="3175"/>
            <w:shd w:fill="F1F6F4"/>
          </w:tcPr>
          <w:p>
            <w:r>
              <w:rPr>
                <w:sz w:val="16"/>
              </w:rPr>
              <w:t>Treatment facilities</w:t>
            </w:r>
          </w:p>
        </w:tc>
        <w:tc>
          <w:tcPr>
            <w:tcW w:type="dxa" w:w="3175"/>
            <w:shd w:fill="F1F6F4"/>
          </w:tcPr>
          <w:p>
            <w:r>
              <w:rPr>
                <w:sz w:val="16"/>
              </w:rPr>
              <w:t>WWTP, incineration, landfill, recycling, reuse, biological treatment, and sludge routing.</w:t>
            </w:r>
          </w:p>
        </w:tc>
        <w:tc>
          <w:tcPr>
            <w:tcW w:type="dxa" w:w="3175"/>
            <w:shd w:fill="F1F6F4"/>
          </w:tcPr>
          <w:p>
            <w:r>
              <w:rPr>
                <w:sz w:val="16"/>
              </w:rPr>
              <w:t>Facility type, technology, measured transfer basis, and transformation definition.</w:t>
            </w:r>
          </w:p>
        </w:tc>
      </w:tr>
      <w:tr>
        <w:trPr>
          <w:cantSplit/>
        </w:trPr>
        <w:tc>
          <w:tcPr>
            <w:tcW w:type="dxa" w:w="3175"/>
          </w:tcPr>
          <w:p>
            <w:r>
              <w:rPr>
                <w:sz w:val="16"/>
              </w:rPr>
              <w:t>Geography and PEC</w:t>
            </w:r>
          </w:p>
        </w:tc>
        <w:tc>
          <w:tcPr>
            <w:tcW w:type="dxa" w:w="3175"/>
          </w:tcPr>
          <w:p>
            <w:r>
              <w:rPr>
                <w:sz w:val="16"/>
              </w:rPr>
              <w:t>Wastewater/sludge denominators, river flow, soil and sediment capacity, air mixing, residence times.</w:t>
            </w:r>
          </w:p>
        </w:tc>
        <w:tc>
          <w:tcPr>
            <w:tcW w:type="dxa" w:w="3175"/>
          </w:tcPr>
          <w:p>
            <w:r>
              <w:rPr>
                <w:sz w:val="16"/>
              </w:rPr>
              <w:t>Geographic boundary, receiving compartment, reference year, and unit consistency.</w:t>
            </w:r>
          </w:p>
        </w:tc>
      </w:tr>
      <w:tr>
        <w:trPr>
          <w:cantSplit/>
        </w:trPr>
        <w:tc>
          <w:tcPr>
            <w:tcW w:type="dxa" w:w="3175"/>
            <w:shd w:fill="F1F6F4"/>
          </w:tcPr>
          <w:p>
            <w:r>
              <w:rPr>
                <w:sz w:val="16"/>
              </w:rPr>
              <w:t>Evidence and uncertainty</w:t>
            </w:r>
          </w:p>
        </w:tc>
        <w:tc>
          <w:tcPr>
            <w:tcW w:type="dxa" w:w="3175"/>
            <w:shd w:fill="F1F6F4"/>
          </w:tcPr>
          <w:p>
            <w:r>
              <w:rPr>
                <w:sz w:val="16"/>
              </w:rPr>
              <w:t>Evidence class A–E, source note, CV, pedigree scores, release-form fractions, sensitivity settings.</w:t>
            </w:r>
          </w:p>
        </w:tc>
        <w:tc>
          <w:tcPr>
            <w:tcW w:type="dxa" w:w="3175"/>
            <w:shd w:fill="F1F6F4"/>
          </w:tcPr>
          <w:p>
            <w:r>
              <w:rPr>
                <w:sz w:val="16"/>
              </w:rPr>
              <w:t>Reason for uncertainty distribution and any parameter correlations not represented.</w:t>
            </w:r>
          </w:p>
        </w:tc>
      </w:tr>
      <w:tr>
        <w:trPr>
          <w:cantSplit/>
        </w:trPr>
        <w:tc>
          <w:tcPr>
            <w:tcW w:type="dxa" w:w="3175"/>
          </w:tcPr>
          <w:p>
            <w:r>
              <w:rPr>
                <w:sz w:val="16"/>
              </w:rPr>
              <w:t>Advanced MFA and fate</w:t>
            </w:r>
          </w:p>
        </w:tc>
        <w:tc>
          <w:tcPr>
            <w:tcW w:type="dxa" w:w="3175"/>
          </w:tcPr>
          <w:p>
            <w:r>
              <w:rPr>
                <w:sz w:val="16"/>
              </w:rPr>
              <w:t>Trade, stock-driven target, fate preset/rates, calibration, validation observations, burden factors.</w:t>
            </w:r>
          </w:p>
        </w:tc>
        <w:tc>
          <w:tcPr>
            <w:tcW w:type="dxa" w:w="3175"/>
          </w:tcPr>
          <w:p>
            <w:r>
              <w:rPr>
                <w:sz w:val="16"/>
              </w:rPr>
              <w:t>Mechanistic justification, calibration dataset, and limits of proxy transfer.</w:t>
            </w:r>
          </w:p>
        </w:tc>
      </w:tr>
    </w:tbl>
    <w:p>
      <w:pPr>
        <w:pStyle w:val="Heading3"/>
      </w:pPr>
      <w:r>
        <w:t>Benchmark and proxy caution</w:t>
      </w:r>
    </w:p>
    <w:p>
      <w:r>
        <w:t>The optional benchmark proxy should remain None unless the custom material can reasonably be compared with a bundled material for the same tracking basis, nanoform state, product system, geography, year, and environmental compartment. A proxy benchmark is an order-of-magnitude plausibility check only and must not be presented as custom-material validation.</w:t>
      </w:r>
    </w:p>
    <w:tbl>
      <w:tblPr>
        <w:tblStyle w:val="TableGrid"/>
        <w:tblW w:type="auto" w:w="0"/>
        <w:tblLook w:firstColumn="1" w:firstRow="1" w:lastColumn="0" w:lastRow="0" w:noHBand="0" w:noVBand="1" w:val="04A0"/>
      </w:tblPr>
      <w:tblGrid>
        <w:gridCol w:w="9524"/>
      </w:tblGrid>
      <w:tr>
        <w:trPr>
          <w:tblHeader/>
          <w:cantSplit/>
        </w:trPr>
        <w:tc>
          <w:tcPr>
            <w:tcW w:type="dxa" w:w="9524"/>
            <w:shd w:fill="EEF8F4"/>
          </w:tcPr>
          <w:p>
            <w:r>
              <w:rPr>
                <w:color w:val="184E43"/>
                <w:sz w:val="18"/>
              </w:rPr>
              <w:t>Interpretation note: After initialization, every copied value remains a screening prior. The custom-material result is defensible only to the extent that the user replaces, documents, and tests the assumptions that control the selected outputs.</w:t>
            </w:r>
          </w:p>
        </w:tc>
      </w:tr>
    </w:tbl>
    <w:p>
      <w:pPr>
        <w:pStyle w:val="Heading1"/>
      </w:pPr>
      <w:r>
        <w:t>7. Treatment facilities and geographic PEC settings</w:t>
      </w:r>
    </w:p>
    <w:p>
      <w:pPr>
        <w:pStyle w:val="Heading2"/>
      </w:pPr>
      <w:r>
        <w:t>7.1 Treatment transfer coefficients</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2551"/>
            <w:vAlign w:val="center"/>
            <w:shd w:fill="0B6B57"/>
          </w:tcPr>
          <w:p>
            <w:r/>
            <w:r>
              <w:rPr>
                <w:rFonts w:ascii="Arial" w:hAnsi="Arial"/>
                <w:b/>
                <w:color w:val="FFFFFF"/>
                <w:sz w:val="17"/>
              </w:rPr>
              <w:t>Process</w:t>
            </w:r>
          </w:p>
        </w:tc>
        <w:tc>
          <w:tcPr>
            <w:tcW w:type="dxa" w:w="6520"/>
            <w:vAlign w:val="center"/>
            <w:shd w:fill="0B6B57"/>
          </w:tcPr>
          <w:p>
            <w:r/>
            <w:r>
              <w:rPr>
                <w:rFonts w:ascii="Arial" w:hAnsi="Arial"/>
                <w:b/>
                <w:color w:val="FFFFFF"/>
                <w:sz w:val="17"/>
              </w:rPr>
              <w:t>Main outputs</w:t>
            </w:r>
          </w:p>
        </w:tc>
      </w:tr>
      <w:tr>
        <w:trPr>
          <w:cantSplit/>
        </w:trPr>
        <w:tc>
          <w:tcPr>
            <w:tcW w:type="dxa" w:w="2551"/>
            <w:vAlign w:val="center"/>
          </w:tcPr>
          <w:p>
            <w:r/>
            <w:r>
              <w:rPr>
                <w:rFonts w:ascii="Arial" w:hAnsi="Arial"/>
                <w:b w:val="0"/>
                <w:sz w:val="17"/>
              </w:rPr>
              <w:t>WWTP</w:t>
            </w:r>
          </w:p>
        </w:tc>
        <w:tc>
          <w:tcPr>
            <w:tcW w:type="dxa" w:w="6520"/>
            <w:vAlign w:val="center"/>
          </w:tcPr>
          <w:p>
            <w:r/>
            <w:r>
              <w:rPr>
                <w:rFonts w:ascii="Arial" w:hAnsi="Arial"/>
                <w:b w:val="0"/>
                <w:sz w:val="17"/>
              </w:rPr>
              <w:t>Effluent, sludge, transformed/non-nano form.</w:t>
            </w:r>
          </w:p>
        </w:tc>
      </w:tr>
      <w:tr>
        <w:trPr>
          <w:cantSplit/>
        </w:trPr>
        <w:tc>
          <w:tcPr>
            <w:tcW w:type="dxa" w:w="2551"/>
            <w:vAlign w:val="center"/>
            <w:shd w:fill="F1F6F4"/>
          </w:tcPr>
          <w:p>
            <w:r/>
            <w:r>
              <w:rPr>
                <w:rFonts w:ascii="Arial" w:hAnsi="Arial"/>
                <w:b w:val="0"/>
                <w:sz w:val="17"/>
              </w:rPr>
              <w:t>Incineration</w:t>
            </w:r>
          </w:p>
        </w:tc>
        <w:tc>
          <w:tcPr>
            <w:tcW w:type="dxa" w:w="6520"/>
            <w:vAlign w:val="center"/>
            <w:shd w:fill="F1F6F4"/>
          </w:tcPr>
          <w:p>
            <w:r/>
            <w:r>
              <w:rPr>
                <w:rFonts w:ascii="Arial" w:hAnsi="Arial"/>
                <w:b w:val="0"/>
                <w:sz w:val="17"/>
              </w:rPr>
              <w:t>Air, fly ash to landfill, bottom-ash recovery, thermal transformation/loss.</w:t>
            </w:r>
          </w:p>
        </w:tc>
      </w:tr>
      <w:tr>
        <w:trPr>
          <w:cantSplit/>
        </w:trPr>
        <w:tc>
          <w:tcPr>
            <w:tcW w:type="dxa" w:w="2551"/>
            <w:vAlign w:val="center"/>
          </w:tcPr>
          <w:p>
            <w:r/>
            <w:r>
              <w:rPr>
                <w:rFonts w:ascii="Arial" w:hAnsi="Arial"/>
                <w:b w:val="0"/>
                <w:sz w:val="17"/>
              </w:rPr>
              <w:t>Landfill</w:t>
            </w:r>
          </w:p>
        </w:tc>
        <w:tc>
          <w:tcPr>
            <w:tcW w:type="dxa" w:w="6520"/>
            <w:vAlign w:val="center"/>
          </w:tcPr>
          <w:p>
            <w:r/>
            <w:r>
              <w:rPr>
                <w:rFonts w:ascii="Arial" w:hAnsi="Arial"/>
                <w:b w:val="0"/>
                <w:sz w:val="17"/>
              </w:rPr>
              <w:t>Retained stock, leachate, runoff, fugitive dust, transformation.</w:t>
            </w:r>
          </w:p>
        </w:tc>
      </w:tr>
      <w:tr>
        <w:trPr>
          <w:cantSplit/>
        </w:trPr>
        <w:tc>
          <w:tcPr>
            <w:tcW w:type="dxa" w:w="2551"/>
            <w:vAlign w:val="center"/>
            <w:shd w:fill="F1F6F4"/>
          </w:tcPr>
          <w:p>
            <w:r/>
            <w:r>
              <w:rPr>
                <w:rFonts w:ascii="Arial" w:hAnsi="Arial"/>
                <w:b w:val="0"/>
                <w:sz w:val="17"/>
              </w:rPr>
              <w:t>Recycling</w:t>
            </w:r>
          </w:p>
        </w:tc>
        <w:tc>
          <w:tcPr>
            <w:tcW w:type="dxa" w:w="6520"/>
            <w:vAlign w:val="center"/>
            <w:shd w:fill="F1F6F4"/>
          </w:tcPr>
          <w:p>
            <w:r/>
            <w:r>
              <w:rPr>
                <w:rFonts w:ascii="Arial" w:hAnsi="Arial"/>
                <w:b w:val="0"/>
                <w:sz w:val="17"/>
              </w:rPr>
              <w:t>Recovered product, WWTP wastewater, air, incineration residue, landfill residue, transformation.</w:t>
            </w:r>
          </w:p>
        </w:tc>
      </w:tr>
      <w:tr>
        <w:trPr>
          <w:cantSplit/>
        </w:trPr>
        <w:tc>
          <w:tcPr>
            <w:tcW w:type="dxa" w:w="2551"/>
            <w:vAlign w:val="center"/>
          </w:tcPr>
          <w:p>
            <w:r/>
            <w:r>
              <w:rPr>
                <w:rFonts w:ascii="Arial" w:hAnsi="Arial"/>
                <w:b w:val="0"/>
                <w:sz w:val="17"/>
              </w:rPr>
              <w:t>Reuse</w:t>
            </w:r>
          </w:p>
        </w:tc>
        <w:tc>
          <w:tcPr>
            <w:tcW w:type="dxa" w:w="6520"/>
            <w:vAlign w:val="center"/>
          </w:tcPr>
          <w:p>
            <w:r/>
            <w:r>
              <w:rPr>
                <w:rFonts w:ascii="Arial" w:hAnsi="Arial"/>
                <w:b w:val="0"/>
                <w:sz w:val="17"/>
              </w:rPr>
              <w:t>Extended-use stock and minor releases.</w:t>
            </w:r>
          </w:p>
        </w:tc>
      </w:tr>
      <w:tr>
        <w:trPr>
          <w:cantSplit/>
        </w:trPr>
        <w:tc>
          <w:tcPr>
            <w:tcW w:type="dxa" w:w="2551"/>
            <w:vAlign w:val="center"/>
            <w:shd w:fill="F1F6F4"/>
          </w:tcPr>
          <w:p>
            <w:r/>
            <w:r>
              <w:rPr>
                <w:rFonts w:ascii="Arial" w:hAnsi="Arial"/>
                <w:b w:val="0"/>
                <w:sz w:val="17"/>
              </w:rPr>
              <w:t>Biological treatment</w:t>
            </w:r>
          </w:p>
        </w:tc>
        <w:tc>
          <w:tcPr>
            <w:tcW w:type="dxa" w:w="6520"/>
            <w:vAlign w:val="center"/>
            <w:shd w:fill="F1F6F4"/>
          </w:tcPr>
          <w:p>
            <w:r/>
            <w:r>
              <w:rPr>
                <w:rFonts w:ascii="Arial" w:hAnsi="Arial"/>
                <w:b w:val="0"/>
                <w:sz w:val="17"/>
              </w:rPr>
              <w:t>Soil/compost, water, air, and biodegradation/transformation.</w:t>
            </w:r>
          </w:p>
        </w:tc>
      </w:tr>
    </w:tbl>
    <w:p>
      <w:pPr>
        <w:spacing w:after="20"/>
      </w:pPr>
    </w:p>
    <w:p>
      <w:pPr>
        <w:pStyle w:val="Heading2"/>
      </w:pPr>
      <w:r>
        <w:t>7.2 Geographic scaling</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3175"/>
            <w:vAlign w:val="center"/>
            <w:shd w:fill="0B6B57"/>
          </w:tcPr>
          <w:p>
            <w:r/>
            <w:r>
              <w:rPr>
                <w:rFonts w:ascii="Arial" w:hAnsi="Arial"/>
                <w:b/>
                <w:color w:val="FFFFFF"/>
                <w:sz w:val="17"/>
              </w:rPr>
              <w:t>Input basis</w:t>
            </w:r>
          </w:p>
        </w:tc>
        <w:tc>
          <w:tcPr>
            <w:tcW w:type="dxa" w:w="5896"/>
            <w:vAlign w:val="center"/>
            <w:shd w:fill="0B6B57"/>
          </w:tcPr>
          <w:p>
            <w:r/>
            <w:r>
              <w:rPr>
                <w:rFonts w:ascii="Arial" w:hAnsi="Arial"/>
                <w:b/>
                <w:color w:val="FFFFFF"/>
                <w:sz w:val="17"/>
              </w:rPr>
              <w:t>Use when</w:t>
            </w:r>
          </w:p>
        </w:tc>
      </w:tr>
      <w:tr>
        <w:trPr>
          <w:cantSplit/>
        </w:trPr>
        <w:tc>
          <w:tcPr>
            <w:tcW w:type="dxa" w:w="3175"/>
            <w:vAlign w:val="center"/>
          </w:tcPr>
          <w:p>
            <w:r/>
            <w:r>
              <w:rPr>
                <w:rFonts w:ascii="Arial" w:hAnsi="Arial"/>
                <w:b w:val="0"/>
                <w:sz w:val="17"/>
              </w:rPr>
              <w:t>Direct selected-region input</w:t>
            </w:r>
          </w:p>
        </w:tc>
        <w:tc>
          <w:tcPr>
            <w:tcW w:type="dxa" w:w="5896"/>
            <w:vAlign w:val="center"/>
          </w:tcPr>
          <w:p>
            <w:r/>
            <w:r>
              <w:rPr>
                <w:rFonts w:ascii="Arial" w:hAnsi="Arial"/>
                <w:b w:val="0"/>
                <w:sz w:val="17"/>
              </w:rPr>
              <w:t>The entered market input already represents the selected national or subnational domain.</w:t>
            </w:r>
          </w:p>
        </w:tc>
      </w:tr>
      <w:tr>
        <w:trPr>
          <w:cantSplit/>
        </w:trPr>
        <w:tc>
          <w:tcPr>
            <w:tcW w:type="dxa" w:w="3175"/>
            <w:vAlign w:val="center"/>
            <w:shd w:fill="F1F6F4"/>
          </w:tcPr>
          <w:p>
            <w:r/>
            <w:r>
              <w:rPr>
                <w:rFonts w:ascii="Arial" w:hAnsi="Arial"/>
                <w:b w:val="0"/>
                <w:sz w:val="17"/>
              </w:rPr>
              <w:t>National input × population share</w:t>
            </w:r>
          </w:p>
        </w:tc>
        <w:tc>
          <w:tcPr>
            <w:tcW w:type="dxa" w:w="5896"/>
            <w:vAlign w:val="center"/>
            <w:shd w:fill="F1F6F4"/>
          </w:tcPr>
          <w:p>
            <w:r/>
            <w:r>
              <w:rPr>
                <w:rFonts w:ascii="Arial" w:hAnsi="Arial"/>
                <w:b w:val="0"/>
                <w:sz w:val="17"/>
              </w:rPr>
              <w:t>Product consumption is assumed proportional to population.</w:t>
            </w:r>
          </w:p>
        </w:tc>
      </w:tr>
      <w:tr>
        <w:trPr>
          <w:cantSplit/>
        </w:trPr>
        <w:tc>
          <w:tcPr>
            <w:tcW w:type="dxa" w:w="3175"/>
            <w:vAlign w:val="center"/>
          </w:tcPr>
          <w:p>
            <w:r/>
            <w:r>
              <w:rPr>
                <w:rFonts w:ascii="Arial" w:hAnsi="Arial"/>
                <w:b w:val="0"/>
                <w:sz w:val="17"/>
              </w:rPr>
              <w:t>National input × sewered-population share</w:t>
            </w:r>
          </w:p>
        </w:tc>
        <w:tc>
          <w:tcPr>
            <w:tcW w:type="dxa" w:w="5896"/>
            <w:vAlign w:val="center"/>
          </w:tcPr>
          <w:p>
            <w:r/>
            <w:r>
              <w:rPr>
                <w:rFonts w:ascii="Arial" w:hAnsi="Arial"/>
                <w:b w:val="0"/>
                <w:sz w:val="17"/>
              </w:rPr>
              <w:t>Sewer-connected product use is the preferred scaling proxy.</w:t>
            </w:r>
          </w:p>
        </w:tc>
      </w:tr>
      <w:tr>
        <w:trPr>
          <w:cantSplit/>
        </w:trPr>
        <w:tc>
          <w:tcPr>
            <w:tcW w:type="dxa" w:w="3175"/>
            <w:vAlign w:val="center"/>
            <w:shd w:fill="F1F6F4"/>
          </w:tcPr>
          <w:p>
            <w:r/>
            <w:r>
              <w:rPr>
                <w:rFonts w:ascii="Arial" w:hAnsi="Arial"/>
                <w:b w:val="0"/>
                <w:sz w:val="17"/>
              </w:rPr>
              <w:t>National input × wastewater-flow share</w:t>
            </w:r>
          </w:p>
        </w:tc>
        <w:tc>
          <w:tcPr>
            <w:tcW w:type="dxa" w:w="5896"/>
            <w:vAlign w:val="center"/>
            <w:shd w:fill="F1F6F4"/>
          </w:tcPr>
          <w:p>
            <w:r/>
            <w:r>
              <w:rPr>
                <w:rFonts w:ascii="Arial" w:hAnsi="Arial"/>
                <w:b w:val="0"/>
                <w:sz w:val="17"/>
              </w:rPr>
              <w:t>Wastewater-linked releases are the dominant application pathway.</w:t>
            </w:r>
          </w:p>
        </w:tc>
      </w:tr>
    </w:tbl>
    <w:p>
      <w:pPr>
        <w:spacing w:after="20"/>
      </w:pPr>
    </w:p>
    <w:p>
      <w:pPr>
        <w:pStyle w:val="Heading2"/>
      </w:pPr>
      <w:r>
        <w:t>7.3 Environmental-media PEC parameters</w:t>
      </w:r>
    </w:p>
    <w:p>
      <w:pPr>
        <w:pStyle w:val="ListBullet"/>
      </w:pPr>
      <w:r>
        <w:t>Receiving-water flow controls water dilution.</w:t>
      </w:r>
    </w:p>
    <w:p>
      <w:pPr>
        <w:pStyle w:val="ListBullet"/>
      </w:pPr>
      <w:r>
        <w:t>Soil area, depth, density, and residence time control screening soil stock and concentration.</w:t>
      </w:r>
    </w:p>
    <w:p>
      <w:pPr>
        <w:pStyle w:val="ListBullet"/>
      </w:pPr>
      <w:r>
        <w:t>Water-to-sediment transfer and sediment geometry control active-sediment concentration.</w:t>
      </w:r>
    </w:p>
    <w:p>
      <w:pPr>
        <w:pStyle w:val="ListBullet"/>
      </w:pPr>
      <w:r>
        <w:t>Land area, mixing height, and annual air exchanges control the air screening concentration.</w:t>
      </w:r>
    </w:p>
    <w:tbl>
      <w:tblPr>
        <w:tblStyle w:val="TableGrid"/>
        <w:tblW w:type="auto" w:w="0"/>
        <w:jc w:val="center"/>
        <w:tblLook w:firstColumn="1" w:firstRow="1" w:lastColumn="0" w:lastRow="0" w:noHBand="0" w:noVBand="1" w:val="04A0"/>
      </w:tblPr>
      <w:tblGrid>
        <w:gridCol w:w="9524"/>
      </w:tblGrid>
      <w:tr>
        <w:trPr>
          <w:tblHeader/>
          <w:cantSplit/>
        </w:trPr>
        <w:tc>
          <w:tcPr>
            <w:tcW w:type="dxa" w:w="9524"/>
            <w:shd w:fill="EEF8F4"/>
          </w:tcPr>
          <w:p>
            <w:r>
              <w:rPr>
                <w:b/>
                <w:color w:val="0B6B57"/>
              </w:rPr>
              <w:t xml:space="preserve">Interpretation note: </w:t>
            </w:r>
            <w:r>
              <w:t>For a local assessment, replace national or harmonised receiving-environment parameters with site-specific hydrology, soil mass, sediment geometry, and atmospheric mixing data.</w:t>
            </w:r>
          </w:p>
        </w:tc>
      </w:tr>
    </w:tbl>
    <w:p>
      <w:pPr>
        <w:spacing w:after="20"/>
      </w:pPr>
    </w:p>
    <w:p>
      <w:r/>
    </w:p>
    <w:p>
      <w:pPr>
        <w:pStyle w:val="Heading1"/>
      </w:pPr>
      <w:r>
        <w:t>8. Results, Sankey diagrams, and environmental-media PECs</w:t>
      </w:r>
    </w:p>
    <w:p>
      <w:pPr>
        <w:pStyle w:val="Heading2"/>
      </w:pPr>
      <w:r>
        <w:t>8.1 Mandatory checks</w:t>
      </w:r>
    </w:p>
    <w:p>
      <w:pPr>
        <w:ind w:left="369" w:hanging="369"/>
      </w:pPr>
      <w:r>
        <w:rPr>
          <w:b/>
        </w:rPr>
        <w:t xml:space="preserve">1. </w:t>
      </w:r>
      <w:r>
        <w:t>Confirm mass-balance closure.</w:t>
      </w:r>
    </w:p>
    <w:p>
      <w:pPr>
        <w:ind w:left="369" w:hanging="369"/>
      </w:pPr>
      <w:r>
        <w:rPr>
          <w:b/>
        </w:rPr>
        <w:t xml:space="preserve">2. </w:t>
      </w:r>
      <w:r>
        <w:t>Inspect whether flows reach the expected product, use, EoL, treatment, and terminal nodes.</w:t>
      </w:r>
    </w:p>
    <w:p>
      <w:pPr>
        <w:ind w:left="369" w:hanging="369"/>
      </w:pPr>
      <w:r>
        <w:rPr>
          <w:b/>
        </w:rPr>
        <w:t xml:space="preserve">3. </w:t>
      </w:r>
      <w:r>
        <w:t>Check that units and tracked mass basis are consistent.</w:t>
      </w:r>
    </w:p>
    <w:p>
      <w:pPr>
        <w:ind w:left="369" w:hanging="369"/>
      </w:pPr>
      <w:r>
        <w:rPr>
          <w:b/>
        </w:rPr>
        <w:t xml:space="preserve">4. </w:t>
      </w:r>
      <w:r>
        <w:t>Review the process concentration and environmental PEC definitions before comparison with measurements.</w:t>
      </w:r>
    </w:p>
    <w:p>
      <w:pPr>
        <w:pStyle w:val="Heading2"/>
      </w:pPr>
      <w:r>
        <w:t>8.2 Sankey diagram</w:t>
      </w:r>
    </w:p>
    <w:p>
      <w:r>
        <w:t>The Sankey diagram uses the entire result panel and arranges nodes by process stage. Link width is proportional to annual mass flow. Hovering over a link reports its mass and share of regional input.</w:t>
      </w:r>
    </w:p>
    <w:p>
      <w:pPr>
        <w:pStyle w:val="Heading2"/>
      </w:pPr>
      <w:r>
        <w:t>8.3 Terminal destinations</w:t>
      </w:r>
    </w:p>
    <w:p>
      <w:r>
        <w:t>The horizontal bar chart reports terminal destination mass flow. The x-axis unit is kg/y. Dynamic stocks such as landfill stock are separately reported in kg in the dynamic time-series charts.</w:t>
      </w:r>
    </w:p>
    <w:p>
      <w:pPr>
        <w:pStyle w:val="Heading2"/>
      </w:pPr>
      <w:r>
        <w:t>8.4 PEC interpretation</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2948"/>
            <w:vAlign w:val="center"/>
            <w:shd w:fill="0B6B57"/>
          </w:tcPr>
          <w:p>
            <w:r/>
            <w:r>
              <w:rPr>
                <w:rFonts w:ascii="Arial" w:hAnsi="Arial"/>
                <w:b/>
                <w:color w:val="FFFFFF"/>
                <w:sz w:val="17"/>
              </w:rPr>
              <w:t>Output</w:t>
            </w:r>
          </w:p>
        </w:tc>
        <w:tc>
          <w:tcPr>
            <w:tcW w:type="dxa" w:w="1701"/>
            <w:vAlign w:val="center"/>
            <w:shd w:fill="0B6B57"/>
          </w:tcPr>
          <w:p>
            <w:r/>
            <w:r>
              <w:rPr>
                <w:rFonts w:ascii="Arial" w:hAnsi="Arial"/>
                <w:b/>
                <w:color w:val="FFFFFF"/>
                <w:sz w:val="17"/>
              </w:rPr>
              <w:t>Unit</w:t>
            </w:r>
          </w:p>
        </w:tc>
        <w:tc>
          <w:tcPr>
            <w:tcW w:type="dxa" w:w="4649"/>
            <w:vAlign w:val="center"/>
            <w:shd w:fill="0B6B57"/>
          </w:tcPr>
          <w:p>
            <w:r/>
            <w:r>
              <w:rPr>
                <w:rFonts w:ascii="Arial" w:hAnsi="Arial"/>
                <w:b/>
                <w:color w:val="FFFFFF"/>
                <w:sz w:val="17"/>
              </w:rPr>
              <w:t>Interpretation</w:t>
            </w:r>
          </w:p>
        </w:tc>
      </w:tr>
      <w:tr>
        <w:trPr>
          <w:cantSplit/>
        </w:trPr>
        <w:tc>
          <w:tcPr>
            <w:tcW w:type="dxa" w:w="2948"/>
            <w:vAlign w:val="center"/>
          </w:tcPr>
          <w:p>
            <w:r/>
            <w:r>
              <w:rPr>
                <w:rFonts w:ascii="Arial" w:hAnsi="Arial"/>
                <w:b w:val="0"/>
                <w:sz w:val="17"/>
              </w:rPr>
              <w:t>WWTP effluent concentration</w:t>
            </w:r>
          </w:p>
        </w:tc>
        <w:tc>
          <w:tcPr>
            <w:tcW w:type="dxa" w:w="1701"/>
            <w:vAlign w:val="center"/>
          </w:tcPr>
          <w:p>
            <w:r/>
            <w:r>
              <w:rPr>
                <w:rFonts w:ascii="Arial" w:hAnsi="Arial"/>
                <w:b w:val="0"/>
                <w:sz w:val="17"/>
              </w:rPr>
              <w:t>µg/L</w:t>
            </w:r>
          </w:p>
        </w:tc>
        <w:tc>
          <w:tcPr>
            <w:tcW w:type="dxa" w:w="4649"/>
            <w:vAlign w:val="center"/>
          </w:tcPr>
          <w:p>
            <w:r/>
            <w:r>
              <w:rPr>
                <w:rFonts w:ascii="Arial" w:hAnsi="Arial"/>
                <w:b w:val="0"/>
                <w:sz w:val="17"/>
              </w:rPr>
              <w:t>Annual WWTP effluent mass divided by annual treated-water volume.</w:t>
            </w:r>
          </w:p>
        </w:tc>
      </w:tr>
      <w:tr>
        <w:trPr>
          <w:cantSplit/>
        </w:trPr>
        <w:tc>
          <w:tcPr>
            <w:tcW w:type="dxa" w:w="2948"/>
            <w:vAlign w:val="center"/>
            <w:shd w:fill="F1F6F4"/>
          </w:tcPr>
          <w:p>
            <w:r/>
            <w:r>
              <w:rPr>
                <w:rFonts w:ascii="Arial" w:hAnsi="Arial"/>
                <w:b w:val="0"/>
                <w:sz w:val="17"/>
              </w:rPr>
              <w:t>Sewage-sludge concentration</w:t>
            </w:r>
          </w:p>
        </w:tc>
        <w:tc>
          <w:tcPr>
            <w:tcW w:type="dxa" w:w="1701"/>
            <w:vAlign w:val="center"/>
            <w:shd w:fill="F1F6F4"/>
          </w:tcPr>
          <w:p>
            <w:r/>
            <w:r>
              <w:rPr>
                <w:rFonts w:ascii="Arial" w:hAnsi="Arial"/>
                <w:b w:val="0"/>
                <w:sz w:val="17"/>
              </w:rPr>
              <w:t>µg/kg dry</w:t>
            </w:r>
          </w:p>
        </w:tc>
        <w:tc>
          <w:tcPr>
            <w:tcW w:type="dxa" w:w="4649"/>
            <w:vAlign w:val="center"/>
            <w:shd w:fill="F1F6F4"/>
          </w:tcPr>
          <w:p>
            <w:r/>
            <w:r>
              <w:rPr>
                <w:rFonts w:ascii="Arial" w:hAnsi="Arial"/>
                <w:b w:val="0"/>
                <w:sz w:val="17"/>
              </w:rPr>
              <w:t>Sludge-associated mass divided by dry sludge generation.</w:t>
            </w:r>
          </w:p>
        </w:tc>
      </w:tr>
      <w:tr>
        <w:trPr>
          <w:cantSplit/>
        </w:trPr>
        <w:tc>
          <w:tcPr>
            <w:tcW w:type="dxa" w:w="2948"/>
            <w:vAlign w:val="center"/>
          </w:tcPr>
          <w:p>
            <w:r/>
            <w:r>
              <w:rPr>
                <w:rFonts w:ascii="Arial" w:hAnsi="Arial"/>
                <w:b w:val="0"/>
                <w:sz w:val="17"/>
              </w:rPr>
              <w:t>Air PEC</w:t>
            </w:r>
          </w:p>
        </w:tc>
        <w:tc>
          <w:tcPr>
            <w:tcW w:type="dxa" w:w="1701"/>
            <w:vAlign w:val="center"/>
          </w:tcPr>
          <w:p>
            <w:r/>
            <w:r>
              <w:rPr>
                <w:rFonts w:ascii="Arial" w:hAnsi="Arial"/>
                <w:b w:val="0"/>
                <w:sz w:val="17"/>
              </w:rPr>
              <w:t>ng/m³</w:t>
            </w:r>
          </w:p>
        </w:tc>
        <w:tc>
          <w:tcPr>
            <w:tcW w:type="dxa" w:w="4649"/>
            <w:vAlign w:val="center"/>
          </w:tcPr>
          <w:p>
            <w:r/>
            <w:r>
              <w:rPr>
                <w:rFonts w:ascii="Arial" w:hAnsi="Arial"/>
                <w:b w:val="0"/>
                <w:sz w:val="17"/>
              </w:rPr>
              <w:t>Annual air release divided by effective atmospheric throughput.</w:t>
            </w:r>
          </w:p>
        </w:tc>
      </w:tr>
      <w:tr>
        <w:trPr>
          <w:cantSplit/>
        </w:trPr>
        <w:tc>
          <w:tcPr>
            <w:tcW w:type="dxa" w:w="2948"/>
            <w:vAlign w:val="center"/>
            <w:shd w:fill="F1F6F4"/>
          </w:tcPr>
          <w:p>
            <w:r/>
            <w:r>
              <w:rPr>
                <w:rFonts w:ascii="Arial" w:hAnsi="Arial"/>
                <w:b w:val="0"/>
                <w:sz w:val="17"/>
              </w:rPr>
              <w:t>Surface-water PEC</w:t>
            </w:r>
          </w:p>
        </w:tc>
        <w:tc>
          <w:tcPr>
            <w:tcW w:type="dxa" w:w="1701"/>
            <w:vAlign w:val="center"/>
            <w:shd w:fill="F1F6F4"/>
          </w:tcPr>
          <w:p>
            <w:r/>
            <w:r>
              <w:rPr>
                <w:rFonts w:ascii="Arial" w:hAnsi="Arial"/>
                <w:b w:val="0"/>
                <w:sz w:val="17"/>
              </w:rPr>
              <w:t>µg/L</w:t>
            </w:r>
          </w:p>
        </w:tc>
        <w:tc>
          <w:tcPr>
            <w:tcW w:type="dxa" w:w="4649"/>
            <w:vAlign w:val="center"/>
            <w:shd w:fill="F1F6F4"/>
          </w:tcPr>
          <w:p>
            <w:r/>
            <w:r>
              <w:rPr>
                <w:rFonts w:ascii="Arial" w:hAnsi="Arial"/>
                <w:b w:val="0"/>
                <w:sz w:val="17"/>
              </w:rPr>
              <w:t>Annual water release divided by effective receiving-water flow.</w:t>
            </w:r>
          </w:p>
        </w:tc>
      </w:tr>
      <w:tr>
        <w:trPr>
          <w:cantSplit/>
        </w:trPr>
        <w:tc>
          <w:tcPr>
            <w:tcW w:type="dxa" w:w="2948"/>
            <w:vAlign w:val="center"/>
          </w:tcPr>
          <w:p>
            <w:r/>
            <w:r>
              <w:rPr>
                <w:rFonts w:ascii="Arial" w:hAnsi="Arial"/>
                <w:b w:val="0"/>
                <w:sz w:val="17"/>
              </w:rPr>
              <w:t>Soil PEC</w:t>
            </w:r>
          </w:p>
        </w:tc>
        <w:tc>
          <w:tcPr>
            <w:tcW w:type="dxa" w:w="1701"/>
            <w:vAlign w:val="center"/>
          </w:tcPr>
          <w:p>
            <w:r/>
            <w:r>
              <w:rPr>
                <w:rFonts w:ascii="Arial" w:hAnsi="Arial"/>
                <w:b w:val="0"/>
                <w:sz w:val="17"/>
              </w:rPr>
              <w:t>µg/kg dry</w:t>
            </w:r>
          </w:p>
        </w:tc>
        <w:tc>
          <w:tcPr>
            <w:tcW w:type="dxa" w:w="4649"/>
            <w:vAlign w:val="center"/>
          </w:tcPr>
          <w:p>
            <w:r/>
            <w:r>
              <w:rPr>
                <w:rFonts w:ascii="Arial" w:hAnsi="Arial"/>
                <w:b w:val="0"/>
                <w:sz w:val="17"/>
              </w:rPr>
              <w:t>Screening stock divided by receiving-soil mass.</w:t>
            </w:r>
          </w:p>
        </w:tc>
      </w:tr>
      <w:tr>
        <w:trPr>
          <w:cantSplit/>
        </w:trPr>
        <w:tc>
          <w:tcPr>
            <w:tcW w:type="dxa" w:w="2948"/>
            <w:vAlign w:val="center"/>
            <w:shd w:fill="F1F6F4"/>
          </w:tcPr>
          <w:p>
            <w:r/>
            <w:r>
              <w:rPr>
                <w:rFonts w:ascii="Arial" w:hAnsi="Arial"/>
                <w:b w:val="0"/>
                <w:sz w:val="17"/>
              </w:rPr>
              <w:t>Active-sediment PEC</w:t>
            </w:r>
          </w:p>
        </w:tc>
        <w:tc>
          <w:tcPr>
            <w:tcW w:type="dxa" w:w="1701"/>
            <w:vAlign w:val="center"/>
            <w:shd w:fill="F1F6F4"/>
          </w:tcPr>
          <w:p>
            <w:r/>
            <w:r>
              <w:rPr>
                <w:rFonts w:ascii="Arial" w:hAnsi="Arial"/>
                <w:b w:val="0"/>
                <w:sz w:val="17"/>
              </w:rPr>
              <w:t>µg/kg dry</w:t>
            </w:r>
          </w:p>
        </w:tc>
        <w:tc>
          <w:tcPr>
            <w:tcW w:type="dxa" w:w="4649"/>
            <w:vAlign w:val="center"/>
            <w:shd w:fill="F1F6F4"/>
          </w:tcPr>
          <w:p>
            <w:r/>
            <w:r>
              <w:rPr>
                <w:rFonts w:ascii="Arial" w:hAnsi="Arial"/>
                <w:b w:val="0"/>
                <w:sz w:val="17"/>
              </w:rPr>
              <w:t>Screening active-sediment stock divided by active-sediment mass.</w:t>
            </w:r>
          </w:p>
        </w:tc>
      </w:tr>
    </w:tbl>
    <w:p>
      <w:pPr>
        <w:spacing w:after="20"/>
      </w:pPr>
    </w:p>
    <w:p>
      <w:r/>
    </w:p>
    <w:p>
      <w:pPr>
        <w:pStyle w:val="Heading1"/>
      </w:pPr>
      <w:r>
        <w:t>9. Scenario comparison</w:t>
      </w:r>
    </w:p>
    <w:p>
      <w:r>
        <w:t>Selecting a metric alone does not create a comparison. At least one completed run must first be stored.</w:t>
      </w:r>
    </w:p>
    <w:p>
      <w:pPr>
        <w:ind w:left="369" w:hanging="369"/>
      </w:pPr>
      <w:r>
        <w:rPr>
          <w:b/>
        </w:rPr>
        <w:t xml:space="preserve">1. </w:t>
      </w:r>
      <w:r>
        <w:t>Configure and calculate scenario A.</w:t>
      </w:r>
    </w:p>
    <w:p>
      <w:pPr>
        <w:ind w:left="369" w:hanging="369"/>
      </w:pPr>
      <w:r>
        <w:rPr>
          <w:b/>
        </w:rPr>
        <w:t xml:space="preserve">2. </w:t>
      </w:r>
      <w:r>
        <w:t>In Results, click Add current run to comparison.</w:t>
      </w:r>
    </w:p>
    <w:p>
      <w:pPr>
        <w:ind w:left="369" w:hanging="369"/>
      </w:pPr>
      <w:r>
        <w:rPr>
          <w:b/>
        </w:rPr>
        <w:t xml:space="preserve">3. </w:t>
      </w:r>
      <w:r>
        <w:t>Change one or more assumptions, such as material, country, product allocation, EoL route, or model mode.</w:t>
      </w:r>
    </w:p>
    <w:p>
      <w:pPr>
        <w:ind w:left="369" w:hanging="369"/>
      </w:pPr>
      <w:r>
        <w:rPr>
          <w:b/>
        </w:rPr>
        <w:t xml:space="preserve">4. </w:t>
      </w:r>
      <w:r>
        <w:t>Calculate scenario B.</w:t>
      </w:r>
    </w:p>
    <w:p>
      <w:pPr>
        <w:ind w:left="369" w:hanging="369"/>
      </w:pPr>
      <w:r>
        <w:rPr>
          <w:b/>
        </w:rPr>
        <w:t xml:space="preserve">5. </w:t>
      </w:r>
      <w:r>
        <w:t>Click Add current run to comparison again.</w:t>
      </w:r>
    </w:p>
    <w:p>
      <w:pPr>
        <w:ind w:left="369" w:hanging="369"/>
      </w:pPr>
      <w:r>
        <w:rPr>
          <w:b/>
        </w:rPr>
        <w:t xml:space="preserve">6. </w:t>
      </w:r>
      <w:r>
        <w:t>Select the comparison metric. The chart and table update automatically.</w:t>
      </w:r>
    </w:p>
    <w:tbl>
      <w:tblPr>
        <w:tblStyle w:val="TableGrid"/>
        <w:tblW w:type="auto" w:w="0"/>
        <w:jc w:val="center"/>
        <w:tblLook w:firstColumn="1" w:firstRow="1" w:lastColumn="0" w:lastRow="0" w:noHBand="0" w:noVBand="1" w:val="04A0"/>
      </w:tblPr>
      <w:tblGrid>
        <w:gridCol w:w="9524"/>
      </w:tblGrid>
      <w:tr>
        <w:trPr>
          <w:tblHeader/>
          <w:cantSplit/>
        </w:trPr>
        <w:tc>
          <w:tcPr>
            <w:tcW w:type="dxa" w:w="9524"/>
            <w:shd w:fill="EEF8F4"/>
          </w:tcPr>
          <w:p>
            <w:r>
              <w:rPr>
                <w:b/>
                <w:color w:val="0B6B57"/>
              </w:rPr>
              <w:t xml:space="preserve">Interpretation note: </w:t>
            </w:r>
            <w:r>
              <w:t>For an interpretable comparison, change one major assumption at a time or clearly document all simultaneous changes. Dynamic comparisons use the final modeled year.</w:t>
            </w:r>
          </w:p>
        </w:tc>
      </w:tr>
    </w:tbl>
    <w:p>
      <w:pPr>
        <w:spacing w:after="20"/>
      </w:pPr>
    </w:p>
    <w:p>
      <w:pPr>
        <w:pStyle w:val="Heading2"/>
      </w:pPr>
      <w:r>
        <w:t>9.1 Example comparison designs</w:t>
      </w:r>
    </w:p>
    <w:p>
      <w:pPr>
        <w:pStyle w:val="ListBullet"/>
      </w:pPr>
      <w:r>
        <w:t>One material across Korea, Japan, Germany, and the United States.</w:t>
      </w:r>
    </w:p>
    <w:p>
      <w:pPr>
        <w:pStyle w:val="ListBullet"/>
      </w:pPr>
      <w:r>
        <w:t>One country under baseline, high-recycling, and high-incineration scenarios.</w:t>
      </w:r>
    </w:p>
    <w:p>
      <w:pPr>
        <w:pStyle w:val="ListBullet"/>
      </w:pPr>
      <w:r>
        <w:t>Static versus dynamic results for a long-lived composite application.</w:t>
      </w:r>
    </w:p>
    <w:p>
      <w:pPr>
        <w:pStyle w:val="ListBullet"/>
      </w:pPr>
      <w:r>
        <w:t>Direct-domain input versus population-scaled national input.</w:t>
      </w:r>
    </w:p>
    <w:p>
      <w:r/>
    </w:p>
    <w:p>
      <w:pPr>
        <w:pStyle w:val="Heading1"/>
      </w:pPr>
      <w:r>
        <w:t>10. Uncertainty, data quality, and sensitivity</w:t>
      </w:r>
    </w:p>
    <w:p>
      <w:pPr>
        <w:pStyle w:val="Heading2"/>
      </w:pPr>
      <w:r>
        <w:t>10.1 Probabilistic simulation</w:t>
      </w:r>
    </w:p>
    <w:p>
      <w:r>
        <w:t>The data-quality matrix controls group-specific coefficients of variation. Do not use one universal uncertainty factor when product allocation, release, treatment, and environmental capacity have different evidence strengths.</w:t>
      </w:r>
    </w:p>
    <w:p>
      <w:pPr>
        <w:pStyle w:val="Heading2"/>
      </w:pPr>
      <w:r>
        <w:t>10.2 Data-quality scoring</w:t>
      </w:r>
    </w:p>
    <w:tbl>
      <w:tblPr>
        <w:tblStyle w:val="TableGrid"/>
        <w:tblW w:type="auto" w:w="0"/>
        <w:jc w:val="center"/>
        <w:tblLook w:firstColumn="1" w:firstRow="1" w:lastColumn="0" w:lastRow="0" w:noHBand="0" w:noVBand="1" w:val="04A0"/>
      </w:tblPr>
      <w:tblGrid>
        <w:gridCol w:w="4762"/>
        <w:gridCol w:w="4762"/>
      </w:tblGrid>
      <w:tr>
        <w:trPr>
          <w:tblHeader/>
          <w:cantSplit/>
        </w:trPr>
        <w:tc>
          <w:tcPr>
            <w:tcW w:type="dxa" w:w="2948"/>
            <w:vAlign w:val="center"/>
            <w:shd w:fill="0B6B57"/>
          </w:tcPr>
          <w:p>
            <w:r/>
            <w:r>
              <w:rPr>
                <w:rFonts w:ascii="Arial" w:hAnsi="Arial"/>
                <w:b/>
                <w:color w:val="FFFFFF"/>
                <w:sz w:val="18"/>
              </w:rPr>
              <w:t>Criterion</w:t>
            </w:r>
          </w:p>
        </w:tc>
        <w:tc>
          <w:tcPr>
            <w:tcW w:type="dxa" w:w="6350"/>
            <w:vAlign w:val="center"/>
            <w:shd w:fill="0B6B57"/>
          </w:tcPr>
          <w:p>
            <w:r/>
            <w:r>
              <w:rPr>
                <w:rFonts w:ascii="Arial" w:hAnsi="Arial"/>
                <w:b/>
                <w:color w:val="FFFFFF"/>
                <w:sz w:val="18"/>
              </w:rPr>
              <w:t>Question</w:t>
            </w:r>
          </w:p>
        </w:tc>
      </w:tr>
      <w:tr>
        <w:trPr>
          <w:cantSplit/>
        </w:trPr>
        <w:tc>
          <w:tcPr>
            <w:tcW w:type="dxa" w:w="2948"/>
            <w:vAlign w:val="center"/>
          </w:tcPr>
          <w:p>
            <w:r/>
            <w:r>
              <w:rPr>
                <w:rFonts w:ascii="Arial" w:hAnsi="Arial"/>
                <w:b w:val="0"/>
                <w:sz w:val="18"/>
              </w:rPr>
              <w:t>Reliability</w:t>
            </w:r>
          </w:p>
        </w:tc>
        <w:tc>
          <w:tcPr>
            <w:tcW w:type="dxa" w:w="6350"/>
            <w:vAlign w:val="center"/>
          </w:tcPr>
          <w:p>
            <w:r/>
            <w:r>
              <w:rPr>
                <w:rFonts w:ascii="Arial" w:hAnsi="Arial"/>
                <w:b w:val="0"/>
                <w:sz w:val="18"/>
              </w:rPr>
              <w:t>How directly measured or independently reviewed is the value?</w:t>
            </w:r>
          </w:p>
        </w:tc>
      </w:tr>
      <w:tr>
        <w:trPr>
          <w:cantSplit/>
        </w:trPr>
        <w:tc>
          <w:tcPr>
            <w:tcW w:type="dxa" w:w="2948"/>
            <w:vAlign w:val="center"/>
            <w:shd w:fill="F1F6F4"/>
          </w:tcPr>
          <w:p>
            <w:r/>
            <w:r>
              <w:rPr>
                <w:rFonts w:ascii="Arial" w:hAnsi="Arial"/>
                <w:b w:val="0"/>
                <w:sz w:val="18"/>
              </w:rPr>
              <w:t>Geographic representativeness</w:t>
            </w:r>
          </w:p>
        </w:tc>
        <w:tc>
          <w:tcPr>
            <w:tcW w:type="dxa" w:w="6350"/>
            <w:vAlign w:val="center"/>
            <w:shd w:fill="F1F6F4"/>
          </w:tcPr>
          <w:p>
            <w:r/>
            <w:r>
              <w:rPr>
                <w:rFonts w:ascii="Arial" w:hAnsi="Arial"/>
                <w:b w:val="0"/>
                <w:sz w:val="18"/>
              </w:rPr>
              <w:t>Does the source describe the selected country or domain?</w:t>
            </w:r>
          </w:p>
        </w:tc>
      </w:tr>
      <w:tr>
        <w:trPr>
          <w:cantSplit/>
        </w:trPr>
        <w:tc>
          <w:tcPr>
            <w:tcW w:type="dxa" w:w="2948"/>
            <w:vAlign w:val="center"/>
          </w:tcPr>
          <w:p>
            <w:r/>
            <w:r>
              <w:rPr>
                <w:rFonts w:ascii="Arial" w:hAnsi="Arial"/>
                <w:b w:val="0"/>
                <w:sz w:val="18"/>
              </w:rPr>
              <w:t>Temporal representativeness</w:t>
            </w:r>
          </w:p>
        </w:tc>
        <w:tc>
          <w:tcPr>
            <w:tcW w:type="dxa" w:w="6350"/>
            <w:vAlign w:val="center"/>
          </w:tcPr>
          <w:p>
            <w:r/>
            <w:r>
              <w:rPr>
                <w:rFonts w:ascii="Arial" w:hAnsi="Arial"/>
                <w:b w:val="0"/>
                <w:sz w:val="18"/>
              </w:rPr>
              <w:t>Does the reference year match the study year?</w:t>
            </w:r>
          </w:p>
        </w:tc>
      </w:tr>
      <w:tr>
        <w:trPr>
          <w:cantSplit/>
        </w:trPr>
        <w:tc>
          <w:tcPr>
            <w:tcW w:type="dxa" w:w="2948"/>
            <w:vAlign w:val="center"/>
            <w:shd w:fill="F1F6F4"/>
          </w:tcPr>
          <w:p>
            <w:r/>
            <w:r>
              <w:rPr>
                <w:rFonts w:ascii="Arial" w:hAnsi="Arial"/>
                <w:b w:val="0"/>
                <w:sz w:val="18"/>
              </w:rPr>
              <w:t>Technology representativeness</w:t>
            </w:r>
          </w:p>
        </w:tc>
        <w:tc>
          <w:tcPr>
            <w:tcW w:type="dxa" w:w="6350"/>
            <w:vAlign w:val="center"/>
            <w:shd w:fill="F1F6F4"/>
          </w:tcPr>
          <w:p>
            <w:r/>
            <w:r>
              <w:rPr>
                <w:rFonts w:ascii="Arial" w:hAnsi="Arial"/>
                <w:b w:val="0"/>
                <w:sz w:val="18"/>
              </w:rPr>
              <w:t>Does the source describe the relevant product and treatment technology?</w:t>
            </w:r>
          </w:p>
        </w:tc>
      </w:tr>
      <w:tr>
        <w:trPr>
          <w:cantSplit/>
        </w:trPr>
        <w:tc>
          <w:tcPr>
            <w:tcW w:type="dxa" w:w="2948"/>
            <w:vAlign w:val="center"/>
          </w:tcPr>
          <w:p>
            <w:r/>
            <w:r>
              <w:rPr>
                <w:rFonts w:ascii="Arial" w:hAnsi="Arial"/>
                <w:b w:val="0"/>
                <w:sz w:val="18"/>
              </w:rPr>
              <w:t>Completeness</w:t>
            </w:r>
          </w:p>
        </w:tc>
        <w:tc>
          <w:tcPr>
            <w:tcW w:type="dxa" w:w="6350"/>
            <w:vAlign w:val="center"/>
          </w:tcPr>
          <w:p>
            <w:r/>
            <w:r>
              <w:rPr>
                <w:rFonts w:ascii="Arial" w:hAnsi="Arial"/>
                <w:b w:val="0"/>
                <w:sz w:val="18"/>
              </w:rPr>
              <w:t>Are important products, pathways, and forms represented?</w:t>
            </w:r>
          </w:p>
        </w:tc>
      </w:tr>
    </w:tbl>
    <w:p>
      <w:pPr>
        <w:spacing w:after="20"/>
      </w:pPr>
    </w:p>
    <w:p>
      <w:pPr>
        <w:pStyle w:val="Heading2"/>
      </w:pPr>
      <w:r>
        <w:t>10.3 Sensitivity analysis</w:t>
      </w:r>
    </w:p>
    <w:p>
      <w:r>
        <w:t>The one-at-a-time screening analysis perturbs parameter groups while renormalising compositional shares. Use it to identify which assumptions most strongly control the selected PEC or environmental release. Sensitivity does not replace uncertainty analysis; the two answer different questions.</w:t>
      </w:r>
    </w:p>
    <w:p>
      <w:r/>
    </w:p>
    <w:p>
      <w:pPr>
        <w:pStyle w:val="Heading1"/>
      </w:pPr>
      <w:r>
        <w:t>11. Default-data provenance and evidence classes</w:t>
      </w:r>
    </w:p>
    <w:p>
      <w:r>
        <w:t>Version 1.1 includes an on-screen provenance register and a custom-material evidence record. For custom materials, the user must document the source, evidence class, proxy template, and limitations.</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1247"/>
            <w:vAlign w:val="center"/>
            <w:shd w:fill="0B6B57"/>
          </w:tcPr>
          <w:p>
            <w:r/>
            <w:r>
              <w:rPr>
                <w:rFonts w:ascii="Arial" w:hAnsi="Arial"/>
                <w:b/>
                <w:color w:val="FFFFFF"/>
                <w:sz w:val="17"/>
              </w:rPr>
              <w:t>Class</w:t>
            </w:r>
          </w:p>
        </w:tc>
        <w:tc>
          <w:tcPr>
            <w:tcW w:type="dxa" w:w="3572"/>
            <w:vAlign w:val="center"/>
            <w:shd w:fill="0B6B57"/>
          </w:tcPr>
          <w:p>
            <w:r/>
            <w:r>
              <w:rPr>
                <w:rFonts w:ascii="Arial" w:hAnsi="Arial"/>
                <w:b/>
                <w:color w:val="FFFFFF"/>
                <w:sz w:val="17"/>
              </w:rPr>
              <w:t>Definition</w:t>
            </w:r>
          </w:p>
        </w:tc>
        <w:tc>
          <w:tcPr>
            <w:tcW w:type="dxa" w:w="4535"/>
            <w:vAlign w:val="center"/>
            <w:shd w:fill="0B6B57"/>
          </w:tcPr>
          <w:p>
            <w:r/>
            <w:r>
              <w:rPr>
                <w:rFonts w:ascii="Arial" w:hAnsi="Arial"/>
                <w:b/>
                <w:color w:val="FFFFFF"/>
                <w:sz w:val="17"/>
              </w:rPr>
              <w:t>Typical K-NanoMFA use</w:t>
            </w:r>
          </w:p>
        </w:tc>
      </w:tr>
      <w:tr>
        <w:trPr>
          <w:cantSplit/>
        </w:trPr>
        <w:tc>
          <w:tcPr>
            <w:tcW w:type="dxa" w:w="1247"/>
            <w:vAlign w:val="center"/>
          </w:tcPr>
          <w:p>
            <w:r/>
            <w:r>
              <w:rPr>
                <w:rFonts w:ascii="Arial" w:hAnsi="Arial"/>
                <w:b w:val="0"/>
                <w:sz w:val="17"/>
              </w:rPr>
              <w:t>A</w:t>
            </w:r>
          </w:p>
        </w:tc>
        <w:tc>
          <w:tcPr>
            <w:tcW w:type="dxa" w:w="3572"/>
            <w:vAlign w:val="center"/>
          </w:tcPr>
          <w:p>
            <w:r/>
            <w:r>
              <w:rPr>
                <w:rFonts w:ascii="Arial" w:hAnsi="Arial"/>
                <w:b w:val="0"/>
                <w:sz w:val="17"/>
              </w:rPr>
              <w:t>Official national or subnational statistic</w:t>
            </w:r>
          </w:p>
        </w:tc>
        <w:tc>
          <w:tcPr>
            <w:tcW w:type="dxa" w:w="4535"/>
            <w:vAlign w:val="center"/>
          </w:tcPr>
          <w:p>
            <w:r/>
            <w:r>
              <w:rPr>
                <w:rFonts w:ascii="Arial" w:hAnsi="Arial"/>
                <w:b w:val="0"/>
                <w:sz w:val="17"/>
              </w:rPr>
              <w:t>Korean 2024 sewerage and subnational denominator data.</w:t>
            </w:r>
          </w:p>
        </w:tc>
      </w:tr>
      <w:tr>
        <w:trPr>
          <w:cantSplit/>
        </w:trPr>
        <w:tc>
          <w:tcPr>
            <w:tcW w:type="dxa" w:w="1247"/>
            <w:vAlign w:val="center"/>
            <w:shd w:fill="F1F6F4"/>
          </w:tcPr>
          <w:p>
            <w:r/>
            <w:r>
              <w:rPr>
                <w:rFonts w:ascii="Arial" w:hAnsi="Arial"/>
                <w:b w:val="0"/>
                <w:sz w:val="17"/>
              </w:rPr>
              <w:t>B</w:t>
            </w:r>
          </w:p>
        </w:tc>
        <w:tc>
          <w:tcPr>
            <w:tcW w:type="dxa" w:w="3572"/>
            <w:vAlign w:val="center"/>
            <w:shd w:fill="F1F6F4"/>
          </w:tcPr>
          <w:p>
            <w:r/>
            <w:r>
              <w:rPr>
                <w:rFonts w:ascii="Arial" w:hAnsi="Arial"/>
                <w:b w:val="0"/>
                <w:sz w:val="17"/>
              </w:rPr>
              <w:t>Directly applicable peer-reviewed evidence</w:t>
            </w:r>
          </w:p>
        </w:tc>
        <w:tc>
          <w:tcPr>
            <w:tcW w:type="dxa" w:w="4535"/>
            <w:vAlign w:val="center"/>
            <w:shd w:fill="F1F6F4"/>
          </w:tcPr>
          <w:p>
            <w:r/>
            <w:r>
              <w:rPr>
                <w:rFonts w:ascii="Arial" w:hAnsi="Arial"/>
                <w:b w:val="0"/>
                <w:sz w:val="17"/>
              </w:rPr>
              <w:t>Material-specific MFA architecture or directly relevant measured benchmark.</w:t>
            </w:r>
          </w:p>
        </w:tc>
      </w:tr>
      <w:tr>
        <w:trPr>
          <w:cantSplit/>
        </w:trPr>
        <w:tc>
          <w:tcPr>
            <w:tcW w:type="dxa" w:w="1247"/>
            <w:vAlign w:val="center"/>
          </w:tcPr>
          <w:p>
            <w:r/>
            <w:r>
              <w:rPr>
                <w:rFonts w:ascii="Arial" w:hAnsi="Arial"/>
                <w:b w:val="0"/>
                <w:sz w:val="17"/>
              </w:rPr>
              <w:t>C</w:t>
            </w:r>
          </w:p>
        </w:tc>
        <w:tc>
          <w:tcPr>
            <w:tcW w:type="dxa" w:w="3572"/>
            <w:vAlign w:val="center"/>
          </w:tcPr>
          <w:p>
            <w:r/>
            <w:r>
              <w:rPr>
                <w:rFonts w:ascii="Arial" w:hAnsi="Arial"/>
                <w:b w:val="0"/>
                <w:sz w:val="17"/>
              </w:rPr>
              <w:t>Peer-reviewed proxy or cross-context evidence</w:t>
            </w:r>
          </w:p>
        </w:tc>
        <w:tc>
          <w:tcPr>
            <w:tcW w:type="dxa" w:w="4535"/>
            <w:vAlign w:val="center"/>
          </w:tcPr>
          <w:p>
            <w:r/>
            <w:r>
              <w:rPr>
                <w:rFonts w:ascii="Arial" w:hAnsi="Arial"/>
                <w:b w:val="0"/>
                <w:sz w:val="17"/>
              </w:rPr>
              <w:t>Treatment coefficients or product lifetimes transferred across facilities, products, or regions.</w:t>
            </w:r>
          </w:p>
        </w:tc>
      </w:tr>
      <w:tr>
        <w:trPr>
          <w:cantSplit/>
        </w:trPr>
        <w:tc>
          <w:tcPr>
            <w:tcW w:type="dxa" w:w="1247"/>
            <w:vAlign w:val="center"/>
            <w:shd w:fill="F1F6F4"/>
          </w:tcPr>
          <w:p>
            <w:r/>
            <w:r>
              <w:rPr>
                <w:rFonts w:ascii="Arial" w:hAnsi="Arial"/>
                <w:b w:val="0"/>
                <w:sz w:val="17"/>
              </w:rPr>
              <w:t>D</w:t>
            </w:r>
          </w:p>
        </w:tc>
        <w:tc>
          <w:tcPr>
            <w:tcW w:type="dxa" w:w="3572"/>
            <w:vAlign w:val="center"/>
            <w:shd w:fill="F1F6F4"/>
          </w:tcPr>
          <w:p>
            <w:r/>
            <w:r>
              <w:rPr>
                <w:rFonts w:ascii="Arial" w:hAnsi="Arial"/>
                <w:b w:val="0"/>
                <w:sz w:val="17"/>
              </w:rPr>
              <w:t>Harmonised regional screening proxy</w:t>
            </w:r>
          </w:p>
        </w:tc>
        <w:tc>
          <w:tcPr>
            <w:tcW w:type="dxa" w:w="4535"/>
            <w:vAlign w:val="center"/>
            <w:shd w:fill="F1F6F4"/>
          </w:tcPr>
          <w:p>
            <w:r/>
            <w:r>
              <w:rPr>
                <w:rFonts w:ascii="Arial" w:hAnsi="Arial"/>
                <w:b w:val="0"/>
                <w:sz w:val="17"/>
              </w:rPr>
              <w:t>Non-Korean national domain and country-waste parameters harmonised for comparison.</w:t>
            </w:r>
          </w:p>
        </w:tc>
      </w:tr>
      <w:tr>
        <w:trPr>
          <w:cantSplit/>
        </w:trPr>
        <w:tc>
          <w:tcPr>
            <w:tcW w:type="dxa" w:w="1247"/>
            <w:vAlign w:val="center"/>
          </w:tcPr>
          <w:p>
            <w:r/>
            <w:r>
              <w:rPr>
                <w:rFonts w:ascii="Arial" w:hAnsi="Arial"/>
                <w:b w:val="0"/>
                <w:sz w:val="17"/>
              </w:rPr>
              <w:t>E</w:t>
            </w:r>
          </w:p>
        </w:tc>
        <w:tc>
          <w:tcPr>
            <w:tcW w:type="dxa" w:w="3572"/>
            <w:vAlign w:val="center"/>
          </w:tcPr>
          <w:p>
            <w:r/>
            <w:r>
              <w:rPr>
                <w:rFonts w:ascii="Arial" w:hAnsi="Arial"/>
                <w:b w:val="0"/>
                <w:sz w:val="17"/>
              </w:rPr>
              <w:t>Expert screening assumption</w:t>
            </w:r>
          </w:p>
        </w:tc>
        <w:tc>
          <w:tcPr>
            <w:tcW w:type="dxa" w:w="4535"/>
            <w:vAlign w:val="center"/>
          </w:tcPr>
          <w:p>
            <w:r/>
            <w:r>
              <w:rPr>
                <w:rFonts w:ascii="Arial" w:hAnsi="Arial"/>
                <w:b w:val="0"/>
                <w:sz w:val="17"/>
              </w:rPr>
              <w:t>Nanoclay, carbon-black, nanocellulose, nanoform, or environmental assumptions without adequate direct data.</w:t>
            </w:r>
          </w:p>
        </w:tc>
      </w:tr>
    </w:tbl>
    <w:p>
      <w:pPr>
        <w:spacing w:after="20"/>
      </w:pPr>
    </w:p>
    <w:p>
      <w:pPr>
        <w:pStyle w:val="Heading2"/>
      </w:pPr>
      <w:r>
        <w:t>11.1 Replacing a bundled default</w:t>
      </w:r>
    </w:p>
    <w:p>
      <w:pPr>
        <w:ind w:left="369" w:hanging="369"/>
      </w:pPr>
      <w:r>
        <w:rPr>
          <w:b/>
        </w:rPr>
        <w:t xml:space="preserve">1. </w:t>
      </w:r>
      <w:r>
        <w:t>Record the full source and reference year.</w:t>
      </w:r>
    </w:p>
    <w:p>
      <w:pPr>
        <w:ind w:left="369" w:hanging="369"/>
      </w:pPr>
      <w:r>
        <w:rPr>
          <w:b/>
        </w:rPr>
        <w:t xml:space="preserve">2. </w:t>
      </w:r>
      <w:r>
        <w:t>State the geographic and technological applicability.</w:t>
      </w:r>
    </w:p>
    <w:p>
      <w:pPr>
        <w:ind w:left="369" w:hanging="369"/>
      </w:pPr>
      <w:r>
        <w:rPr>
          <w:b/>
        </w:rPr>
        <w:t xml:space="preserve">3. </w:t>
      </w:r>
      <w:r>
        <w:t>Identify the nanoform and tracked mass basis.</w:t>
      </w:r>
    </w:p>
    <w:p>
      <w:pPr>
        <w:ind w:left="369" w:hanging="369"/>
      </w:pPr>
      <w:r>
        <w:rPr>
          <w:b/>
        </w:rPr>
        <w:t xml:space="preserve">4. </w:t>
      </w:r>
      <w:r>
        <w:t>Update the evidence/source note in the data-quality matrix.</w:t>
      </w:r>
    </w:p>
    <w:p>
      <w:pPr>
        <w:ind w:left="369" w:hanging="369"/>
      </w:pPr>
      <w:r>
        <w:rPr>
          <w:b/>
        </w:rPr>
        <w:t xml:space="preserve">5. </w:t>
      </w:r>
      <w:r>
        <w:t>Revise the quality score and probabilistic CV.</w:t>
      </w:r>
    </w:p>
    <w:p>
      <w:pPr>
        <w:ind w:left="369" w:hanging="369"/>
      </w:pPr>
      <w:r>
        <w:rPr>
          <w:b/>
        </w:rPr>
        <w:t xml:space="preserve">6. </w:t>
      </w:r>
      <w:r>
        <w:t>Export the scenario and audit JSON to preserve the replacement.</w:t>
      </w:r>
    </w:p>
    <w:tbl>
      <w:tblPr>
        <w:tblStyle w:val="TableGrid"/>
        <w:tblW w:type="auto" w:w="0"/>
        <w:jc w:val="center"/>
        <w:tblLook w:firstColumn="1" w:firstRow="1" w:lastColumn="0" w:lastRow="0" w:noHBand="0" w:noVBand="1" w:val="04A0"/>
      </w:tblPr>
      <w:tblGrid>
        <w:gridCol w:w="9524"/>
      </w:tblGrid>
      <w:tr>
        <w:trPr>
          <w:tblHeader/>
          <w:cantSplit/>
        </w:trPr>
        <w:tc>
          <w:tcPr>
            <w:tcW w:type="dxa" w:w="9524"/>
            <w:shd w:fill="EEF8F4"/>
          </w:tcPr>
          <w:p>
            <w:r>
              <w:rPr>
                <w:b/>
                <w:color w:val="0B6B57"/>
              </w:rPr>
              <w:t xml:space="preserve">Interpretation note: </w:t>
            </w:r>
            <w:r>
              <w:t>Evidence class is a transparent screening grade, not a regulatory certification. A high class does not eliminate uncertainty arising from incompatible nanoform definitions or system boundaries.</w:t>
            </w:r>
          </w:p>
        </w:tc>
      </w:tr>
    </w:tbl>
    <w:p>
      <w:pPr>
        <w:spacing w:after="20"/>
      </w:pPr>
    </w:p>
    <w:p>
      <w:r/>
    </w:p>
    <w:p>
      <w:pPr>
        <w:pStyle w:val="Heading1"/>
      </w:pPr>
      <w:r>
        <w:t>12. Literature benchmark validation</w:t>
      </w:r>
    </w:p>
    <w:p>
      <w:r>
        <w:t>The built-in benchmark module compares the current result with published modeled or measured values. It reports the current result, the reference value or range, applicability, and whether the result is within the range or of the same order of magnitude.</w:t>
      </w:r>
    </w:p>
    <w:p>
      <w:pPr>
        <w:pStyle w:val="Heading2"/>
      </w:pPr>
      <w:r>
        <w:t>12.1 How to run a benchmark check</w:t>
      </w:r>
    </w:p>
    <w:p>
      <w:pPr>
        <w:ind w:left="369" w:hanging="369"/>
      </w:pPr>
      <w:r>
        <w:rPr>
          <w:b/>
        </w:rPr>
        <w:t xml:space="preserve">1. </w:t>
      </w:r>
      <w:r>
        <w:t>Calculate the selected scenario.</w:t>
      </w:r>
    </w:p>
    <w:p>
      <w:pPr>
        <w:ind w:left="369" w:hanging="369"/>
      </w:pPr>
      <w:r>
        <w:rPr>
          <w:b/>
        </w:rPr>
        <w:t xml:space="preserve">2. </w:t>
      </w:r>
      <w:r>
        <w:t>Open Evidence, QA and sensitivity.</w:t>
      </w:r>
    </w:p>
    <w:p>
      <w:pPr>
        <w:ind w:left="369" w:hanging="369"/>
      </w:pPr>
      <w:r>
        <w:rPr>
          <w:b/>
        </w:rPr>
        <w:t xml:space="preserve">3. </w:t>
      </w:r>
      <w:r>
        <w:t>Review the Default data provenance register.</w:t>
      </w:r>
    </w:p>
    <w:p>
      <w:pPr>
        <w:ind w:left="369" w:hanging="369"/>
      </w:pPr>
      <w:r>
        <w:rPr>
          <w:b/>
        </w:rPr>
        <w:t xml:space="preserve">4. </w:t>
      </w:r>
      <w:r>
        <w:t>Click Evaluate current result under Literature benchmark validation.</w:t>
      </w:r>
    </w:p>
    <w:p>
      <w:pPr>
        <w:ind w:left="369" w:hanging="369"/>
      </w:pPr>
      <w:r>
        <w:rPr>
          <w:b/>
        </w:rPr>
        <w:t xml:space="preserve">5. </w:t>
      </w:r>
      <w:r>
        <w:t>Read the applicability note before interpreting the numerical comparison.</w:t>
      </w:r>
    </w:p>
    <w:p>
      <w:pPr>
        <w:pStyle w:val="Heading2"/>
      </w:pPr>
      <w:r>
        <w:t>12.2 Bundled benchmark library</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2948"/>
            <w:vAlign w:val="center"/>
            <w:shd w:fill="0B6B57"/>
          </w:tcPr>
          <w:p>
            <w:r/>
            <w:r>
              <w:rPr>
                <w:rFonts w:ascii="Arial" w:hAnsi="Arial"/>
                <w:b/>
                <w:color w:val="FFFFFF"/>
                <w:sz w:val="16"/>
              </w:rPr>
              <w:t>Material / endpoint</w:t>
            </w:r>
          </w:p>
        </w:tc>
        <w:tc>
          <w:tcPr>
            <w:tcW w:type="dxa" w:w="2721"/>
            <w:vAlign w:val="center"/>
            <w:shd w:fill="0B6B57"/>
          </w:tcPr>
          <w:p>
            <w:r/>
            <w:r>
              <w:rPr>
                <w:rFonts w:ascii="Arial" w:hAnsi="Arial"/>
                <w:b/>
                <w:color w:val="FFFFFF"/>
                <w:sz w:val="16"/>
              </w:rPr>
              <w:t>Published benchmark</w:t>
            </w:r>
          </w:p>
        </w:tc>
        <w:tc>
          <w:tcPr>
            <w:tcW w:type="dxa" w:w="3685"/>
            <w:vAlign w:val="center"/>
            <w:shd w:fill="0B6B57"/>
          </w:tcPr>
          <w:p>
            <w:r/>
            <w:r>
              <w:rPr>
                <w:rFonts w:ascii="Arial" w:hAnsi="Arial"/>
                <w:b/>
                <w:color w:val="FFFFFF"/>
                <w:sz w:val="16"/>
              </w:rPr>
              <w:t>Primary qualification</w:t>
            </w:r>
          </w:p>
        </w:tc>
      </w:tr>
      <w:tr>
        <w:trPr>
          <w:cantSplit/>
        </w:trPr>
        <w:tc>
          <w:tcPr>
            <w:tcW w:type="dxa" w:w="2948"/>
            <w:vAlign w:val="center"/>
          </w:tcPr>
          <w:p>
            <w:r/>
            <w:r>
              <w:rPr>
                <w:rFonts w:ascii="Arial" w:hAnsi="Arial"/>
                <w:b w:val="0"/>
                <w:sz w:val="16"/>
              </w:rPr>
              <w:t>CNT, AgNP, nano-TiO₂, nano-ZnO, fullerenes — surface water</w:t>
            </w:r>
          </w:p>
        </w:tc>
        <w:tc>
          <w:tcPr>
            <w:tcW w:type="dxa" w:w="2721"/>
            <w:vAlign w:val="center"/>
          </w:tcPr>
          <w:p>
            <w:r/>
            <w:r>
              <w:rPr>
                <w:rFonts w:ascii="Arial" w:hAnsi="Arial"/>
                <w:b w:val="0"/>
                <w:sz w:val="16"/>
              </w:rPr>
              <w:t>0.003–21 ng/L (0.000003–0.021 µg/L)</w:t>
            </w:r>
          </w:p>
        </w:tc>
        <w:tc>
          <w:tcPr>
            <w:tcW w:type="dxa" w:w="3685"/>
            <w:vAlign w:val="center"/>
          </w:tcPr>
          <w:p>
            <w:r/>
            <w:r>
              <w:rPr>
                <w:rFonts w:ascii="Arial" w:hAnsi="Arial"/>
                <w:b w:val="0"/>
                <w:sz w:val="16"/>
              </w:rPr>
              <w:t>Broad multi-material regional modeled envelope.</w:t>
            </w:r>
          </w:p>
        </w:tc>
      </w:tr>
      <w:tr>
        <w:trPr>
          <w:cantSplit/>
        </w:trPr>
        <w:tc>
          <w:tcPr>
            <w:tcW w:type="dxa" w:w="2948"/>
            <w:vAlign w:val="center"/>
            <w:shd w:fill="F1F6F4"/>
          </w:tcPr>
          <w:p>
            <w:r/>
            <w:r>
              <w:rPr>
                <w:rFonts w:ascii="Arial" w:hAnsi="Arial"/>
                <w:b w:val="0"/>
                <w:sz w:val="16"/>
              </w:rPr>
              <w:t>Same five materials — WWTP effluent</w:t>
            </w:r>
          </w:p>
        </w:tc>
        <w:tc>
          <w:tcPr>
            <w:tcW w:type="dxa" w:w="2721"/>
            <w:vAlign w:val="center"/>
            <w:shd w:fill="F1F6F4"/>
          </w:tcPr>
          <w:p>
            <w:r/>
            <w:r>
              <w:rPr>
                <w:rFonts w:ascii="Arial" w:hAnsi="Arial"/>
                <w:b w:val="0"/>
                <w:sz w:val="16"/>
              </w:rPr>
              <w:t>4 ng/L–4 µg/L (0.004–4 µg/L)</w:t>
            </w:r>
          </w:p>
        </w:tc>
        <w:tc>
          <w:tcPr>
            <w:tcW w:type="dxa" w:w="3685"/>
            <w:vAlign w:val="center"/>
            <w:shd w:fill="F1F6F4"/>
          </w:tcPr>
          <w:p>
            <w:r/>
            <w:r>
              <w:rPr>
                <w:rFonts w:ascii="Arial" w:hAnsi="Arial"/>
                <w:b w:val="0"/>
                <w:sz w:val="16"/>
              </w:rPr>
              <w:t>Broad multi-material modeled envelope.</w:t>
            </w:r>
          </w:p>
        </w:tc>
      </w:tr>
      <w:tr>
        <w:trPr>
          <w:cantSplit/>
        </w:trPr>
        <w:tc>
          <w:tcPr>
            <w:tcW w:type="dxa" w:w="2948"/>
            <w:vAlign w:val="center"/>
          </w:tcPr>
          <w:p>
            <w:r/>
            <w:r>
              <w:rPr>
                <w:rFonts w:ascii="Arial" w:hAnsi="Arial"/>
                <w:b w:val="0"/>
                <w:sz w:val="16"/>
              </w:rPr>
              <w:t>Same five materials — sludge-treated soil increment</w:t>
            </w:r>
          </w:p>
        </w:tc>
        <w:tc>
          <w:tcPr>
            <w:tcW w:type="dxa" w:w="2721"/>
            <w:vAlign w:val="center"/>
          </w:tcPr>
          <w:p>
            <w:r/>
            <w:r>
              <w:rPr>
                <w:rFonts w:ascii="Arial" w:hAnsi="Arial"/>
                <w:b w:val="0"/>
                <w:sz w:val="16"/>
              </w:rPr>
              <w:t>1 ng/kg/y–89 µg/kg/y (0.001–89 µg/kg/y)</w:t>
            </w:r>
          </w:p>
        </w:tc>
        <w:tc>
          <w:tcPr>
            <w:tcW w:type="dxa" w:w="3685"/>
            <w:vAlign w:val="center"/>
          </w:tcPr>
          <w:p>
            <w:r/>
            <w:r>
              <w:rPr>
                <w:rFonts w:ascii="Arial" w:hAnsi="Arial"/>
                <w:b w:val="0"/>
                <w:sz w:val="16"/>
              </w:rPr>
              <w:t>Use only when the modeled soil pathway represents sludge-treated soil.</w:t>
            </w:r>
          </w:p>
        </w:tc>
      </w:tr>
      <w:tr>
        <w:trPr>
          <w:cantSplit/>
        </w:trPr>
        <w:tc>
          <w:tcPr>
            <w:tcW w:type="dxa" w:w="2948"/>
            <w:vAlign w:val="center"/>
            <w:shd w:fill="F1F6F4"/>
          </w:tcPr>
          <w:p>
            <w:r/>
            <w:r>
              <w:rPr>
                <w:rFonts w:ascii="Arial" w:hAnsi="Arial"/>
                <w:b w:val="0"/>
                <w:sz w:val="16"/>
              </w:rPr>
              <w:t>Nano-TiO₂ — U.S. WWTP effluent</w:t>
            </w:r>
          </w:p>
        </w:tc>
        <w:tc>
          <w:tcPr>
            <w:tcW w:type="dxa" w:w="2721"/>
            <w:vAlign w:val="center"/>
            <w:shd w:fill="F1F6F4"/>
          </w:tcPr>
          <w:p>
            <w:r/>
            <w:r>
              <w:rPr>
                <w:rFonts w:ascii="Arial" w:hAnsi="Arial"/>
                <w:b w:val="0"/>
                <w:sz w:val="16"/>
              </w:rPr>
              <w:t>7–30 µg/L</w:t>
            </w:r>
          </w:p>
        </w:tc>
        <w:tc>
          <w:tcPr>
            <w:tcW w:type="dxa" w:w="3685"/>
            <w:vAlign w:val="center"/>
            <w:shd w:fill="F1F6F4"/>
          </w:tcPr>
          <w:p>
            <w:r/>
            <w:r>
              <w:rPr>
                <w:rFonts w:ascii="Arial" w:hAnsi="Arial"/>
                <w:b w:val="0"/>
                <w:sz w:val="16"/>
              </w:rPr>
              <w:t>Measured engineered-particle estimate; includes nano- and pigment-sized fractions.</w:t>
            </w:r>
          </w:p>
        </w:tc>
      </w:tr>
      <w:tr>
        <w:trPr>
          <w:cantSplit/>
        </w:trPr>
        <w:tc>
          <w:tcPr>
            <w:tcW w:type="dxa" w:w="2948"/>
            <w:vAlign w:val="center"/>
          </w:tcPr>
          <w:p>
            <w:r/>
            <w:r>
              <w:rPr>
                <w:rFonts w:ascii="Arial" w:hAnsi="Arial"/>
                <w:b w:val="0"/>
                <w:sz w:val="16"/>
              </w:rPr>
              <w:t>Ag engineered particles — U.S. WWTP effluent</w:t>
            </w:r>
          </w:p>
        </w:tc>
        <w:tc>
          <w:tcPr>
            <w:tcW w:type="dxa" w:w="2721"/>
            <w:vAlign w:val="center"/>
          </w:tcPr>
          <w:p>
            <w:r/>
            <w:r>
              <w:rPr>
                <w:rFonts w:ascii="Arial" w:hAnsi="Arial"/>
                <w:b w:val="0"/>
                <w:sz w:val="16"/>
              </w:rPr>
              <w:t>0.01–0.04 µg/L</w:t>
            </w:r>
          </w:p>
        </w:tc>
        <w:tc>
          <w:tcPr>
            <w:tcW w:type="dxa" w:w="3685"/>
            <w:vAlign w:val="center"/>
          </w:tcPr>
          <w:p>
            <w:r/>
            <w:r>
              <w:rPr>
                <w:rFonts w:ascii="Arial" w:hAnsi="Arial"/>
                <w:b w:val="0"/>
                <w:sz w:val="16"/>
              </w:rPr>
              <w:t>Reported analytical basis is not always identical to pristine AgNP mass.</w:t>
            </w:r>
          </w:p>
        </w:tc>
      </w:tr>
      <w:tr>
        <w:trPr>
          <w:cantSplit/>
        </w:trPr>
        <w:tc>
          <w:tcPr>
            <w:tcW w:type="dxa" w:w="2948"/>
            <w:vAlign w:val="center"/>
            <w:shd w:fill="F1F6F4"/>
          </w:tcPr>
          <w:p>
            <w:r/>
            <w:r>
              <w:rPr>
                <w:rFonts w:ascii="Arial" w:hAnsi="Arial"/>
                <w:b w:val="0"/>
                <w:sz w:val="16"/>
              </w:rPr>
              <w:t>Graphene-based materials — European 2030 surface water</w:t>
            </w:r>
          </w:p>
        </w:tc>
        <w:tc>
          <w:tcPr>
            <w:tcW w:type="dxa" w:w="2721"/>
            <w:vAlign w:val="center"/>
            <w:shd w:fill="F1F6F4"/>
          </w:tcPr>
          <w:p>
            <w:r/>
            <w:r>
              <w:rPr>
                <w:rFonts w:ascii="Arial" w:hAnsi="Arial"/>
                <w:b w:val="0"/>
                <w:sz w:val="16"/>
              </w:rPr>
              <w:t>1.4 ng/L (0.0014 µg/L)</w:t>
            </w:r>
          </w:p>
        </w:tc>
        <w:tc>
          <w:tcPr>
            <w:tcW w:type="dxa" w:w="3685"/>
            <w:vAlign w:val="center"/>
            <w:shd w:fill="F1F6F4"/>
          </w:tcPr>
          <w:p>
            <w:r/>
            <w:r>
              <w:rPr>
                <w:rFonts w:ascii="Arial" w:hAnsi="Arial"/>
                <w:b w:val="0"/>
                <w:sz w:val="16"/>
              </w:rPr>
              <w:t>Dynamic European boundary; strongest when year and system boundary are aligned.</w:t>
            </w:r>
          </w:p>
        </w:tc>
      </w:tr>
      <w:tr>
        <w:trPr>
          <w:cantSplit/>
        </w:trPr>
        <w:tc>
          <w:tcPr>
            <w:tcW w:type="dxa" w:w="2948"/>
            <w:vAlign w:val="center"/>
          </w:tcPr>
          <w:p>
            <w:r/>
            <w:r>
              <w:rPr>
                <w:rFonts w:ascii="Arial" w:hAnsi="Arial"/>
                <w:b w:val="0"/>
                <w:sz w:val="16"/>
              </w:rPr>
              <w:t>Graphene-based materials — European 2030 sludge-treated soil</w:t>
            </w:r>
          </w:p>
        </w:tc>
        <w:tc>
          <w:tcPr>
            <w:tcW w:type="dxa" w:w="2721"/>
            <w:vAlign w:val="center"/>
          </w:tcPr>
          <w:p>
            <w:r/>
            <w:r>
              <w:rPr>
                <w:rFonts w:ascii="Arial" w:hAnsi="Arial"/>
                <w:b w:val="0"/>
                <w:sz w:val="16"/>
              </w:rPr>
              <w:t>20 µg/kg</w:t>
            </w:r>
          </w:p>
        </w:tc>
        <w:tc>
          <w:tcPr>
            <w:tcW w:type="dxa" w:w="3685"/>
            <w:vAlign w:val="center"/>
          </w:tcPr>
          <w:p>
            <w:r/>
            <w:r>
              <w:rPr>
                <w:rFonts w:ascii="Arial" w:hAnsi="Arial"/>
                <w:b w:val="0"/>
                <w:sz w:val="16"/>
              </w:rPr>
              <w:t>Sludge-treated soil differs from a generic receiving-soil compartment.</w:t>
            </w:r>
          </w:p>
        </w:tc>
      </w:tr>
    </w:tbl>
    <w:p>
      <w:pPr>
        <w:spacing w:after="20"/>
      </w:pPr>
    </w:p>
    <w:p>
      <w:pPr>
        <w:pStyle w:val="Heading2"/>
      </w:pPr>
      <w:r>
        <w:t>12.3 Interpretation rules</w:t>
      </w:r>
    </w:p>
    <w:p>
      <w:pPr>
        <w:pStyle w:val="ListBullet"/>
      </w:pPr>
      <w:r>
        <w:t>Within range or same order of magnitude: the result is externally plausible under the stated benchmark boundary.</w:t>
      </w:r>
    </w:p>
    <w:p>
      <w:pPr>
        <w:pStyle w:val="ListBullet"/>
      </w:pPr>
      <w:r>
        <w:t>Below or above range: first inspect market input, product categories, release factors, domain scaling, process transfer coefficients, and compartment definitions.</w:t>
      </w:r>
    </w:p>
    <w:p>
      <w:pPr>
        <w:pStyle w:val="ListBullet"/>
      </w:pPr>
      <w:r>
        <w:t>Low applicability: do not treat numerical agreement as validation.</w:t>
      </w:r>
    </w:p>
    <w:p>
      <w:pPr>
        <w:pStyle w:val="ListBullet"/>
      </w:pPr>
      <w:r>
        <w:t>A benchmark check does not replace independent observations, calibration, or model-structure evaluation.</w:t>
      </w:r>
    </w:p>
    <w:p>
      <w:r/>
    </w:p>
    <w:p>
      <w:pPr>
        <w:pStyle w:val="Heading1"/>
      </w:pPr>
      <w:r>
        <w:t>13. Advanced MFA, fate, and validation modules</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2268"/>
            <w:vAlign w:val="center"/>
            <w:shd w:fill="0B6B57"/>
          </w:tcPr>
          <w:p>
            <w:r/>
            <w:r>
              <w:rPr>
                <w:rFonts w:ascii="Arial" w:hAnsi="Arial"/>
                <w:b/>
                <w:color w:val="FFFFFF"/>
                <w:sz w:val="16"/>
              </w:rPr>
              <w:t>Module</w:t>
            </w:r>
          </w:p>
        </w:tc>
        <w:tc>
          <w:tcPr>
            <w:tcW w:type="dxa" w:w="3515"/>
            <w:vAlign w:val="center"/>
            <w:shd w:fill="0B6B57"/>
          </w:tcPr>
          <w:p>
            <w:r/>
            <w:r>
              <w:rPr>
                <w:rFonts w:ascii="Arial" w:hAnsi="Arial"/>
                <w:b/>
                <w:color w:val="FFFFFF"/>
                <w:sz w:val="16"/>
              </w:rPr>
              <w:t>Purpose</w:t>
            </w:r>
          </w:p>
        </w:tc>
        <w:tc>
          <w:tcPr>
            <w:tcW w:type="dxa" w:w="3515"/>
            <w:vAlign w:val="center"/>
            <w:shd w:fill="0B6B57"/>
          </w:tcPr>
          <w:p>
            <w:r/>
            <w:r>
              <w:rPr>
                <w:rFonts w:ascii="Arial" w:hAnsi="Arial"/>
                <w:b/>
                <w:color w:val="FFFFFF"/>
                <w:sz w:val="16"/>
              </w:rPr>
              <w:t>Principal caution</w:t>
            </w:r>
          </w:p>
        </w:tc>
      </w:tr>
      <w:tr>
        <w:trPr>
          <w:cantSplit/>
        </w:trPr>
        <w:tc>
          <w:tcPr>
            <w:tcW w:type="dxa" w:w="2268"/>
            <w:vAlign w:val="center"/>
          </w:tcPr>
          <w:p>
            <w:r/>
            <w:r>
              <w:rPr>
                <w:rFonts w:ascii="Arial" w:hAnsi="Arial"/>
                <w:b w:val="0"/>
                <w:sz w:val="16"/>
              </w:rPr>
              <w:t>International trade</w:t>
            </w:r>
          </w:p>
        </w:tc>
        <w:tc>
          <w:tcPr>
            <w:tcW w:type="dxa" w:w="3515"/>
            <w:vAlign w:val="center"/>
          </w:tcPr>
          <w:p>
            <w:r/>
            <w:r>
              <w:rPr>
                <w:rFonts w:ascii="Arial" w:hAnsi="Arial"/>
                <w:b w:val="0"/>
                <w:sz w:val="16"/>
              </w:rPr>
              <w:t>Convert territorial production, imports, exports, and inventory change to apparent consumption.</w:t>
            </w:r>
          </w:p>
        </w:tc>
        <w:tc>
          <w:tcPr>
            <w:tcW w:type="dxa" w:w="3515"/>
            <w:vAlign w:val="center"/>
          </w:tcPr>
          <w:p>
            <w:r/>
            <w:r>
              <w:rPr>
                <w:rFonts w:ascii="Arial" w:hAnsi="Arial"/>
                <w:b w:val="0"/>
                <w:sz w:val="16"/>
              </w:rPr>
              <w:t>Not a full multi-regional input-output model.</w:t>
            </w:r>
          </w:p>
        </w:tc>
      </w:tr>
      <w:tr>
        <w:trPr>
          <w:cantSplit/>
        </w:trPr>
        <w:tc>
          <w:tcPr>
            <w:tcW w:type="dxa" w:w="2268"/>
            <w:vAlign w:val="center"/>
            <w:shd w:fill="F1F6F4"/>
          </w:tcPr>
          <w:p>
            <w:r/>
            <w:r>
              <w:rPr>
                <w:rFonts w:ascii="Arial" w:hAnsi="Arial"/>
                <w:b w:val="0"/>
                <w:sz w:val="16"/>
              </w:rPr>
              <w:t>Stock-driven MFA</w:t>
            </w:r>
          </w:p>
        </w:tc>
        <w:tc>
          <w:tcPr>
            <w:tcW w:type="dxa" w:w="3515"/>
            <w:vAlign w:val="center"/>
            <w:shd w:fill="F1F6F4"/>
          </w:tcPr>
          <w:p>
            <w:r/>
            <w:r>
              <w:rPr>
                <w:rFonts w:ascii="Arial" w:hAnsi="Arial"/>
                <w:b w:val="0"/>
                <w:sz w:val="16"/>
              </w:rPr>
              <w:t>Infer inflow required to approach a target in-use stock trajectory.</w:t>
            </w:r>
          </w:p>
        </w:tc>
        <w:tc>
          <w:tcPr>
            <w:tcW w:type="dxa" w:w="3515"/>
            <w:vAlign w:val="center"/>
            <w:shd w:fill="F1F6F4"/>
          </w:tcPr>
          <w:p>
            <w:r/>
            <w:r>
              <w:rPr>
                <w:rFonts w:ascii="Arial" w:hAnsi="Arial"/>
                <w:b w:val="0"/>
                <w:sz w:val="16"/>
              </w:rPr>
              <w:t>Targets must be compatible with inherited cohorts and nonnegative inflow.</w:t>
            </w:r>
          </w:p>
        </w:tc>
      </w:tr>
      <w:tr>
        <w:trPr>
          <w:cantSplit/>
        </w:trPr>
        <w:tc>
          <w:tcPr>
            <w:tcW w:type="dxa" w:w="2268"/>
            <w:vAlign w:val="center"/>
          </w:tcPr>
          <w:p>
            <w:r/>
            <w:r>
              <w:rPr>
                <w:rFonts w:ascii="Arial" w:hAnsi="Arial"/>
                <w:b w:val="0"/>
                <w:sz w:val="16"/>
              </w:rPr>
              <w:t>Data reconciliation</w:t>
            </w:r>
          </w:p>
        </w:tc>
        <w:tc>
          <w:tcPr>
            <w:tcW w:type="dxa" w:w="3515"/>
            <w:vAlign w:val="center"/>
          </w:tcPr>
          <w:p>
            <w:r/>
            <w:r>
              <w:rPr>
                <w:rFonts w:ascii="Arial" w:hAnsi="Arial"/>
                <w:b w:val="0"/>
                <w:sz w:val="16"/>
              </w:rPr>
              <w:t>Adjust uncertain model and observed flows under an exact balance.</w:t>
            </w:r>
          </w:p>
        </w:tc>
        <w:tc>
          <w:tcPr>
            <w:tcW w:type="dxa" w:w="3515"/>
            <w:vAlign w:val="center"/>
          </w:tcPr>
          <w:p>
            <w:r/>
            <w:r>
              <w:rPr>
                <w:rFonts w:ascii="Arial" w:hAnsi="Arial"/>
                <w:b w:val="0"/>
                <w:sz w:val="16"/>
              </w:rPr>
              <w:t>A single balance equation does not resolve structural model error.</w:t>
            </w:r>
          </w:p>
        </w:tc>
      </w:tr>
      <w:tr>
        <w:trPr>
          <w:cantSplit/>
        </w:trPr>
        <w:tc>
          <w:tcPr>
            <w:tcW w:type="dxa" w:w="2268"/>
            <w:vAlign w:val="center"/>
            <w:shd w:fill="F1F6F4"/>
          </w:tcPr>
          <w:p>
            <w:r/>
            <w:r>
              <w:rPr>
                <w:rFonts w:ascii="Arial" w:hAnsi="Arial"/>
                <w:b w:val="0"/>
                <w:sz w:val="16"/>
              </w:rPr>
              <w:t>Bayesian calibration</w:t>
            </w:r>
          </w:p>
        </w:tc>
        <w:tc>
          <w:tcPr>
            <w:tcW w:type="dxa" w:w="3515"/>
            <w:vAlign w:val="center"/>
            <w:shd w:fill="F1F6F4"/>
          </w:tcPr>
          <w:p>
            <w:r/>
            <w:r>
              <w:rPr>
                <w:rFonts w:ascii="Arial" w:hAnsi="Arial"/>
                <w:b w:val="0"/>
                <w:sz w:val="16"/>
              </w:rPr>
              <w:t>Update one positive parameter multiplier against an observed result.</w:t>
            </w:r>
          </w:p>
        </w:tc>
        <w:tc>
          <w:tcPr>
            <w:tcW w:type="dxa" w:w="3515"/>
            <w:vAlign w:val="center"/>
            <w:shd w:fill="F1F6F4"/>
          </w:tcPr>
          <w:p>
            <w:r/>
            <w:r>
              <w:rPr>
                <w:rFonts w:ascii="Arial" w:hAnsi="Arial"/>
                <w:b w:val="0"/>
                <w:sz w:val="16"/>
              </w:rPr>
              <w:t>Scalar grid update, not full multivariate Bayesian calibration.</w:t>
            </w:r>
          </w:p>
        </w:tc>
      </w:tr>
      <w:tr>
        <w:trPr>
          <w:cantSplit/>
        </w:trPr>
        <w:tc>
          <w:tcPr>
            <w:tcW w:type="dxa" w:w="2268"/>
            <w:vAlign w:val="center"/>
          </w:tcPr>
          <w:p>
            <w:r/>
            <w:r>
              <w:rPr>
                <w:rFonts w:ascii="Arial" w:hAnsi="Arial"/>
                <w:b w:val="0"/>
                <w:sz w:val="16"/>
              </w:rPr>
              <w:t>Multimedia fate</w:t>
            </w:r>
          </w:p>
        </w:tc>
        <w:tc>
          <w:tcPr>
            <w:tcW w:type="dxa" w:w="3515"/>
            <w:vAlign w:val="center"/>
          </w:tcPr>
          <w:p>
            <w:r/>
            <w:r>
              <w:rPr>
                <w:rFonts w:ascii="Arial" w:hAnsi="Arial"/>
                <w:b w:val="0"/>
                <w:sz w:val="16"/>
              </w:rPr>
              <w:t>Simulate first-order air-water-soil-sediment transfers and sinks.</w:t>
            </w:r>
          </w:p>
        </w:tc>
        <w:tc>
          <w:tcPr>
            <w:tcW w:type="dxa" w:w="3515"/>
            <w:vAlign w:val="center"/>
          </w:tcPr>
          <w:p>
            <w:r/>
            <w:r>
              <w:rPr>
                <w:rFonts w:ascii="Arial" w:hAnsi="Arial"/>
                <w:b w:val="0"/>
                <w:sz w:val="16"/>
              </w:rPr>
              <w:t>Reduced-form and not particle-size or chemistry resolved.</w:t>
            </w:r>
          </w:p>
        </w:tc>
      </w:tr>
      <w:tr>
        <w:trPr>
          <w:cantSplit/>
        </w:trPr>
        <w:tc>
          <w:tcPr>
            <w:tcW w:type="dxa" w:w="2268"/>
            <w:vAlign w:val="center"/>
            <w:shd w:fill="F1F6F4"/>
          </w:tcPr>
          <w:p>
            <w:r/>
            <w:r>
              <w:rPr>
                <w:rFonts w:ascii="Arial" w:hAnsi="Arial"/>
                <w:b w:val="0"/>
                <w:sz w:val="16"/>
              </w:rPr>
              <w:t>Independent validation</w:t>
            </w:r>
          </w:p>
        </w:tc>
        <w:tc>
          <w:tcPr>
            <w:tcW w:type="dxa" w:w="3515"/>
            <w:vAlign w:val="center"/>
            <w:shd w:fill="F1F6F4"/>
          </w:tcPr>
          <w:p>
            <w:r/>
            <w:r>
              <w:rPr>
                <w:rFonts w:ascii="Arial" w:hAnsi="Arial"/>
                <w:b w:val="0"/>
                <w:sz w:val="16"/>
              </w:rPr>
              <w:t>Compare model predictions with observations and calculate fit statistics.</w:t>
            </w:r>
          </w:p>
        </w:tc>
        <w:tc>
          <w:tcPr>
            <w:tcW w:type="dxa" w:w="3515"/>
            <w:vAlign w:val="center"/>
            <w:shd w:fill="F1F6F4"/>
          </w:tcPr>
          <w:p>
            <w:r/>
            <w:r>
              <w:rPr>
                <w:rFonts w:ascii="Arial" w:hAnsi="Arial"/>
                <w:b w:val="0"/>
                <w:sz w:val="16"/>
              </w:rPr>
              <w:t>Comparability of nanoform, medium, year, and units must be checked first.</w:t>
            </w:r>
          </w:p>
        </w:tc>
      </w:tr>
      <w:tr>
        <w:trPr>
          <w:cantSplit/>
        </w:trPr>
        <w:tc>
          <w:tcPr>
            <w:tcW w:type="dxa" w:w="2268"/>
            <w:vAlign w:val="center"/>
          </w:tcPr>
          <w:p>
            <w:r/>
            <w:r>
              <w:rPr>
                <w:rFonts w:ascii="Arial" w:hAnsi="Arial"/>
                <w:b w:val="0"/>
                <w:sz w:val="16"/>
              </w:rPr>
              <w:t>Life-cycle burden</w:t>
            </w:r>
          </w:p>
        </w:tc>
        <w:tc>
          <w:tcPr>
            <w:tcW w:type="dxa" w:w="3515"/>
            <w:vAlign w:val="center"/>
          </w:tcPr>
          <w:p>
            <w:r/>
            <w:r>
              <w:rPr>
                <w:rFonts w:ascii="Arial" w:hAnsi="Arial"/>
                <w:b w:val="0"/>
                <w:sz w:val="16"/>
              </w:rPr>
              <w:t>Calculate an editable screening climate-burden co-indicator.</w:t>
            </w:r>
          </w:p>
        </w:tc>
        <w:tc>
          <w:tcPr>
            <w:tcW w:type="dxa" w:w="3515"/>
            <w:vAlign w:val="center"/>
          </w:tcPr>
          <w:p>
            <w:r/>
            <w:r>
              <w:rPr>
                <w:rFonts w:ascii="Arial" w:hAnsi="Arial"/>
                <w:b w:val="0"/>
                <w:sz w:val="16"/>
              </w:rPr>
              <w:t>Not an ISO 14040/14044-compliant LCA.</w:t>
            </w:r>
          </w:p>
        </w:tc>
      </w:tr>
    </w:tbl>
    <w:p>
      <w:pPr>
        <w:spacing w:after="20"/>
      </w:pPr>
    </w:p>
    <w:p>
      <w:pPr>
        <w:pStyle w:val="Heading2"/>
      </w:pPr>
      <w:r>
        <w:t>13.1 Recommended sequence</w:t>
      </w:r>
    </w:p>
    <w:p>
      <w:pPr>
        <w:ind w:left="369" w:hanging="369"/>
      </w:pPr>
      <w:r>
        <w:rPr>
          <w:b/>
        </w:rPr>
        <w:t xml:space="preserve">1. </w:t>
      </w:r>
      <w:r>
        <w:t>Complete and audit the base MFA first.</w:t>
      </w:r>
    </w:p>
    <w:p>
      <w:pPr>
        <w:ind w:left="369" w:hanging="369"/>
      </w:pPr>
      <w:r>
        <w:rPr>
          <w:b/>
        </w:rPr>
        <w:t xml:space="preserve">2. </w:t>
      </w:r>
      <w:r>
        <w:t>Use sensitivity and provenance to identify weak influential inputs.</w:t>
      </w:r>
    </w:p>
    <w:p>
      <w:pPr>
        <w:ind w:left="369" w:hanging="369"/>
      </w:pPr>
      <w:r>
        <w:rPr>
          <w:b/>
        </w:rPr>
        <w:t xml:space="preserve">3. </w:t>
      </w:r>
      <w:r>
        <w:t>Add measured data through independent validation.</w:t>
      </w:r>
    </w:p>
    <w:p>
      <w:pPr>
        <w:ind w:left="369" w:hanging="369"/>
      </w:pPr>
      <w:r>
        <w:rPr>
          <w:b/>
        </w:rPr>
        <w:t xml:space="preserve">4. </w:t>
      </w:r>
      <w:r>
        <w:t>Use reconciliation or calibration only after checking boundary compatibility.</w:t>
      </w:r>
    </w:p>
    <w:p>
      <w:pPr>
        <w:ind w:left="369" w:hanging="369"/>
      </w:pPr>
      <w:r>
        <w:rPr>
          <w:b/>
        </w:rPr>
        <w:t xml:space="preserve">5. </w:t>
      </w:r>
      <w:r>
        <w:t>Use multimedia fate only when transfer-rate assumptions are documented.</w:t>
      </w:r>
    </w:p>
    <w:p>
      <w:r/>
    </w:p>
    <w:p>
      <w:r>
        <w:br w:type="page"/>
      </w:r>
    </w:p>
    <w:p>
      <w:pPr>
        <w:pStyle w:val="Heading1"/>
      </w:pPr>
      <w:r>
        <w:t>14. Multi-material MFA and co-exposure</w:t>
      </w:r>
    </w:p>
    <w:p>
      <w:pPr/>
      <w:r>
        <w:t>Version 1.2 adds a multi-material project workspace for simultaneous use, independent environmental co-occurrence, and screening-level combined exposure. Each material is still calculated with its own MFA definition. The module then aligns the material-specific results by country, domain, year, and environmental medium.</w:t>
      </w:r>
    </w:p>
    <w:tbl>
      <w:tblPr>
        <w:tblStyle w:val="TableGrid"/>
        <w:tblW w:type="auto" w:w="0"/>
        <w:tblLook w:firstColumn="1" w:firstRow="1" w:lastColumn="0" w:lastRow="0" w:noHBand="0" w:noVBand="1" w:val="04A0"/>
      </w:tblPr>
      <w:tblGrid>
        <w:gridCol w:w="3175"/>
        <w:gridCol w:w="3175"/>
        <w:gridCol w:w="3175"/>
      </w:tblGrid>
      <w:tr>
        <w:trPr>
          <w:tblHeader/>
          <w:cantSplit/>
        </w:trPr>
        <w:tc>
          <w:tcPr>
            <w:tcW w:type="dxa" w:w="3175"/>
          </w:tcPr>
          <w:p>
            <w:r>
              <w:t>Feature</w:t>
            </w:r>
          </w:p>
        </w:tc>
        <w:tc>
          <w:tcPr>
            <w:tcW w:type="dxa" w:w="3175"/>
          </w:tcPr>
          <w:p>
            <w:r>
              <w:t>What the application calculates</w:t>
            </w:r>
          </w:p>
        </w:tc>
        <w:tc>
          <w:tcPr>
            <w:tcW w:type="dxa" w:w="3175"/>
          </w:tcPr>
          <w:p>
            <w:r>
              <w:t>Scientific boundary</w:t>
            </w:r>
          </w:p>
        </w:tc>
      </w:tr>
      <w:tr>
        <w:trPr>
          <w:cantSplit/>
        </w:trPr>
        <w:tc>
          <w:tcPr>
            <w:tcW w:type="dxa" w:w="3175"/>
          </w:tcPr>
          <w:p>
            <w:r>
              <w:t>Independent co-occurrence</w:t>
            </w:r>
          </w:p>
        </w:tc>
        <w:tc>
          <w:tcPr>
            <w:tcW w:type="dxa" w:w="3175"/>
          </w:tcPr>
          <w:p>
            <w:r>
              <w:t>Parallel material-specific MFA and PEC results in one geographic domain</w:t>
            </w:r>
          </w:p>
        </w:tc>
        <w:tc>
          <w:tcPr>
            <w:tcW w:type="dxa" w:w="3175"/>
          </w:tcPr>
          <w:p>
            <w:r>
              <w:t>No direct interaction between the material fate models</w:t>
            </w:r>
          </w:p>
        </w:tc>
      </w:tr>
      <w:tr>
        <w:trPr>
          <w:cantSplit/>
        </w:trPr>
        <w:tc>
          <w:tcPr>
            <w:tcW w:type="dxa" w:w="3175"/>
          </w:tcPr>
          <w:p>
            <w:r>
              <w:t>Co-formulated product or blend</w:t>
            </w:r>
          </w:p>
        </w:tc>
        <w:tc>
          <w:tcPr>
            <w:tcW w:type="dxa" w:w="3175"/>
          </w:tcPr>
          <w:p>
            <w:r>
              <w:t>Shared blend input and composition fractions, shared use/EoL/lifetime, material-specific treatment coefficients</w:t>
            </w:r>
          </w:p>
        </w:tc>
        <w:tc>
          <w:tcPr>
            <w:tcW w:type="dxa" w:w="3175"/>
          </w:tcPr>
          <w:p>
            <w:r>
              <w:t>The blend mass is nanomaterial mass, not total product mass</w:t>
            </w:r>
          </w:p>
        </w:tc>
      </w:tr>
      <w:tr>
        <w:trPr>
          <w:cantSplit/>
        </w:trPr>
        <w:tc>
          <w:tcPr>
            <w:tcW w:type="dxa" w:w="3175"/>
          </w:tcPr>
          <w:p>
            <w:r>
              <w:t>Physical concentration total</w:t>
            </w:r>
          </w:p>
        </w:tc>
        <w:tc>
          <w:tcPr>
            <w:tcW w:type="dxa" w:w="3175"/>
          </w:tcPr>
          <w:p>
            <w:r>
              <w:t>Sum of material concentrations when tracking bases are compatible</w:t>
            </w:r>
          </w:p>
        </w:tc>
        <w:tc>
          <w:tcPr>
            <w:tcW w:type="dxa" w:w="3175"/>
          </w:tcPr>
          <w:p>
            <w:r>
              <w:t>Not a toxic-equivalence concentration</w:t>
            </w:r>
          </w:p>
        </w:tc>
      </w:tr>
      <w:tr>
        <w:trPr>
          <w:cantSplit/>
        </w:trPr>
        <w:tc>
          <w:tcPr>
            <w:tcW w:type="dxa" w:w="3175"/>
          </w:tcPr>
          <w:p>
            <w:r>
              <w:t>Component HQ and HI</w:t>
            </w:r>
          </w:p>
        </w:tc>
        <w:tc>
          <w:tcPr>
            <w:tcW w:type="dxa" w:w="3175"/>
          </w:tcPr>
          <w:p>
            <w:r>
              <w:t>HQ = PEC/PNEC and HI = sum of HQ within a compatible assessment group</w:t>
            </w:r>
          </w:p>
        </w:tc>
        <w:tc>
          <w:tcPr>
            <w:tcW w:type="dxa" w:w="3175"/>
          </w:tcPr>
          <w:p>
            <w:r>
              <w:t>PNECs and grouping decisions are user supplied</w:t>
            </w:r>
          </w:p>
        </w:tc>
      </w:tr>
      <w:tr>
        <w:trPr>
          <w:cantSplit/>
        </w:trPr>
        <w:tc>
          <w:tcPr>
            <w:tcW w:type="dxa" w:w="3175"/>
          </w:tcPr>
          <w:p>
            <w:r>
              <w:t>Interaction adjustment</w:t>
            </w:r>
          </w:p>
        </w:tc>
        <w:tc>
          <w:tcPr>
            <w:tcW w:type="dxa" w:w="3175"/>
          </w:tcPr>
          <w:p>
            <w:r>
              <w:t>Optional HI + sum(beta_ij HQ_i HQ_j)</w:t>
            </w:r>
          </w:p>
        </w:tc>
        <w:tc>
          <w:tcPr>
            <w:tcW w:type="dxa" w:w="3175"/>
          </w:tcPr>
          <w:p>
            <w:r>
              <w:t>Beta is not predicted; default is zero</w:t>
            </w:r>
          </w:p>
        </w:tc>
      </w:tr>
      <w:tr>
        <w:trPr>
          <w:cantSplit/>
        </w:trPr>
        <w:tc>
          <w:tcPr>
            <w:tcW w:type="dxa" w:w="3175"/>
          </w:tcPr>
          <w:p>
            <w:r>
              <w:t>Joint uncertainty</w:t>
            </w:r>
          </w:p>
        </w:tc>
        <w:tc>
          <w:tcPr>
            <w:tcW w:type="dxa" w:w="3175"/>
          </w:tcPr>
          <w:p>
            <w:r>
              <w:t>Shared geographic samples and formulation-input uncertainty with component-specific parameter uncertainty</w:t>
            </w:r>
          </w:p>
        </w:tc>
        <w:tc>
          <w:tcPr>
            <w:tcW w:type="dxa" w:w="3175"/>
          </w:tcPr>
          <w:p>
            <w:r>
              <w:t>Does not resolve mechanistic particle-particle interactions</w:t>
            </w:r>
          </w:p>
        </w:tc>
      </w:tr>
    </w:tbl>
    <w:p>
      <w:pPr>
        <w:pStyle w:val="Heading2"/>
      </w:pPr>
      <w:r>
        <w:t>14.1 Start a multi-material project</w:t>
      </w:r>
    </w:p>
    <w:p>
      <w:pPr>
        <w:pStyle w:val="ListNumber"/>
      </w:pPr>
      <w:r>
        <w:t>Select Multiple nanomaterials / co-exposure under Assessment mode.</w:t>
      </w:r>
    </w:p>
    <w:p>
      <w:pPr>
        <w:pStyle w:val="ListNumber"/>
      </w:pPr>
      <w:r>
        <w:t>Open the Multi-material / mixtures tab.</w:t>
      </w:r>
    </w:p>
    <w:p>
      <w:pPr>
        <w:pStyle w:val="ListNumber"/>
      </w:pPr>
      <w:r>
        <w:t>Add at least two bundled materials, or add the current edited scenario to preserve a custom material and its complete variable set.</w:t>
      </w:r>
    </w:p>
    <w:p>
      <w:pPr>
        <w:pStyle w:val="ListNumber"/>
      </w:pPr>
      <w:r>
        <w:t>Choose Direct material input for independent co-occurrence, or assign components to a formulation group for the same product or blend.</w:t>
      </w:r>
    </w:p>
    <w:p>
      <w:pPr>
        <w:pStyle w:val="ListNumber"/>
      </w:pPr>
      <w:r>
        <w:t>Review tracking basis, active years, annual growth, PNECs, assessment groups, endpoint descriptions, and evidence notes.</w:t>
      </w:r>
    </w:p>
    <w:p>
      <w:pPr>
        <w:pStyle w:val="ListNumber"/>
      </w:pPr>
      <w:r>
        <w:t>Run the multi-material assessment, then inspect material-specific flows before interpreting any summed or mixture result.</w:t>
      </w:r>
    </w:p>
    <w:p>
      <w:pPr>
        <w:pStyle w:val="Heading2"/>
      </w:pPr>
      <w:r>
        <w:t>14.2 Add and manage material components</w:t>
      </w:r>
    </w:p>
    <w:p>
      <w:pPr/>
      <w:r>
        <w:t>A component is a complete material scenario snapshot. Bundled components start from the built-in library. Add current edited scenario captures all values currently shown in the single-material editor, including a custom material, product categories, release factors, EoL routes, treatment coefficients, lifetimes, and release-form allocations.</w:t>
      </w:r>
    </w:p>
    <w:tbl>
      <w:tblPr>
        <w:tblStyle w:val="TableGrid"/>
        <w:tblW w:type="auto" w:w="0"/>
        <w:tblLook w:firstColumn="1" w:firstRow="1" w:lastColumn="0" w:lastRow="0" w:noHBand="0" w:noVBand="1" w:val="04A0"/>
      </w:tblPr>
      <w:tblGrid>
        <w:gridCol w:w="4762"/>
        <w:gridCol w:w="4762"/>
      </w:tblGrid>
      <w:tr>
        <w:trPr>
          <w:tblHeader/>
          <w:cantSplit/>
        </w:trPr>
        <w:tc>
          <w:tcPr>
            <w:tcW w:type="dxa" w:w="4762"/>
          </w:tcPr>
          <w:p>
            <w:r>
              <w:t>Field</w:t>
            </w:r>
          </w:p>
        </w:tc>
        <w:tc>
          <w:tcPr>
            <w:tcW w:type="dxa" w:w="4762"/>
          </w:tcPr>
          <w:p>
            <w:r>
              <w:t>Use</w:t>
            </w:r>
          </w:p>
        </w:tc>
      </w:tr>
      <w:tr>
        <w:trPr>
          <w:cantSplit/>
        </w:trPr>
        <w:tc>
          <w:tcPr>
            <w:tcW w:type="dxa" w:w="4762"/>
          </w:tcPr>
          <w:p>
            <w:r>
              <w:t>Component label</w:t>
            </w:r>
          </w:p>
        </w:tc>
        <w:tc>
          <w:tcPr>
            <w:tcW w:type="dxa" w:w="4762"/>
          </w:tcPr>
          <w:p>
            <w:r>
              <w:t>Human-readable name used in charts, tables, and exports</w:t>
            </w:r>
          </w:p>
        </w:tc>
      </w:tr>
      <w:tr>
        <w:trPr>
          <w:cantSplit/>
        </w:trPr>
        <w:tc>
          <w:tcPr>
            <w:tcW w:type="dxa" w:w="4762"/>
          </w:tcPr>
          <w:p>
            <w:r>
              <w:t>Scenario source</w:t>
            </w:r>
          </w:p>
        </w:tc>
        <w:tc>
          <w:tcPr>
            <w:tcW w:type="dxa" w:w="4762"/>
          </w:tcPr>
          <w:p>
            <w:r>
              <w:t>Bundled material or current edited scenario</w:t>
            </w:r>
          </w:p>
        </w:tc>
      </w:tr>
      <w:tr>
        <w:trPr>
          <w:cantSplit/>
        </w:trPr>
        <w:tc>
          <w:tcPr>
            <w:tcW w:type="dxa" w:w="4762"/>
          </w:tcPr>
          <w:p>
            <w:r>
              <w:t>Input mode</w:t>
            </w:r>
          </w:p>
        </w:tc>
        <w:tc>
          <w:tcPr>
            <w:tcW w:type="dxa" w:w="4762"/>
          </w:tcPr>
          <w:p>
            <w:r>
              <w:t>Direct material input or formulation fraction</w:t>
            </w:r>
          </w:p>
        </w:tc>
      </w:tr>
      <w:tr>
        <w:trPr>
          <w:cantSplit/>
        </w:trPr>
        <w:tc>
          <w:tcPr>
            <w:tcW w:type="dxa" w:w="4762"/>
          </w:tcPr>
          <w:p>
            <w:r>
              <w:t>Input (kg/y)</w:t>
            </w:r>
          </w:p>
        </w:tc>
        <w:tc>
          <w:tcPr>
            <w:tcW w:type="dxa" w:w="4762"/>
          </w:tcPr>
          <w:p>
            <w:r>
              <w:t>Entered annual material mass before geographic scaling</w:t>
            </w:r>
          </w:p>
        </w:tc>
      </w:tr>
      <w:tr>
        <w:trPr>
          <w:cantSplit/>
        </w:trPr>
        <w:tc>
          <w:tcPr>
            <w:tcW w:type="dxa" w:w="4762"/>
          </w:tcPr>
          <w:p>
            <w:r>
              <w:t>Growth and active years</w:t>
            </w:r>
          </w:p>
        </w:tc>
        <w:tc>
          <w:tcPr>
            <w:tcW w:type="dxa" w:w="4762"/>
          </w:tcPr>
          <w:p>
            <w:r>
              <w:t>Material-specific dynamic trajectory controls</w:t>
            </w:r>
          </w:p>
        </w:tc>
      </w:tr>
      <w:tr>
        <w:trPr>
          <w:cantSplit/>
        </w:trPr>
        <w:tc>
          <w:tcPr>
            <w:tcW w:type="dxa" w:w="4762"/>
          </w:tcPr>
          <w:p>
            <w:r>
              <w:t>Tracking basis</w:t>
            </w:r>
          </w:p>
        </w:tc>
        <w:tc>
          <w:tcPr>
            <w:tcW w:type="dxa" w:w="4762"/>
          </w:tcPr>
          <w:p>
            <w:r>
              <w:t>Basis used for material mass and compatibility checks</w:t>
            </w:r>
          </w:p>
        </w:tc>
      </w:tr>
      <w:tr>
        <w:trPr>
          <w:cantSplit/>
        </w:trPr>
        <w:tc>
          <w:tcPr>
            <w:tcW w:type="dxa" w:w="4762"/>
          </w:tcPr>
          <w:p>
            <w:r>
              <w:t>Co-use group</w:t>
            </w:r>
          </w:p>
        </w:tc>
        <w:tc>
          <w:tcPr>
            <w:tcW w:type="dxa" w:w="4762"/>
          </w:tcPr>
          <w:p>
            <w:r>
              <w:t>Descriptive grouping for shared use or exposure context</w:t>
            </w:r>
          </w:p>
        </w:tc>
      </w:tr>
      <w:tr>
        <w:trPr>
          <w:cantSplit/>
        </w:trPr>
        <w:tc>
          <w:tcPr>
            <w:tcW w:type="dxa" w:w="4762"/>
          </w:tcPr>
          <w:p>
            <w:r>
              <w:t>Load to editor</w:t>
            </w:r>
          </w:p>
        </w:tc>
        <w:tc>
          <w:tcPr>
            <w:tcW w:type="dxa" w:w="4762"/>
          </w:tcPr>
          <w:p>
            <w:r>
              <w:t>Loads the saved component scenario into the single-material editor for detailed revision</w:t>
            </w:r>
          </w:p>
        </w:tc>
      </w:tr>
      <w:tr>
        <w:trPr>
          <w:cantSplit/>
        </w:trPr>
        <w:tc>
          <w:tcPr>
            <w:tcW w:type="dxa" w:w="4762"/>
          </w:tcPr>
          <w:p>
            <w:r>
              <w:t>Capture editor</w:t>
            </w:r>
          </w:p>
        </w:tc>
        <w:tc>
          <w:tcPr>
            <w:tcW w:type="dxa" w:w="4762"/>
          </w:tcPr>
          <w:p>
            <w:r>
              <w:t>Replaces the component snapshot with the currently edited single-material scenario</w:t>
            </w:r>
          </w:p>
        </w:tc>
      </w:tr>
    </w:tbl>
    <w:p>
      <w:pPr/>
      <w:r>
        <w:t>After changing a component in the single-material editor, return to the mixture workspace and click Capture editor for that component. The component is not updated automatically, which prevents accidental replacement of a previously documented scenario.</w:t>
      </w:r>
    </w:p>
    <w:p>
      <w:pPr>
        <w:pStyle w:val="Heading2"/>
      </w:pPr>
      <w:r>
        <w:t>14.3 Independent co-occurrence</w:t>
      </w:r>
    </w:p>
    <w:p>
      <w:pPr/>
      <w:r>
        <w:t>Use Direct material input when materials originate from different products or sources but occur in the same geographic and environmental domain. Each component retains its own product allocation, use-stage release, EoL routing, lifetime distribution, and treatment transfer coefficients. The country, regional domain, wastewater flow, sludge production, and environmental capacities are shared.</w:t>
      </w:r>
    </w:p>
    <w:p>
      <w:pPr/>
      <w:r>
        <w:t>Example: nano-TiO2 from cosmetics, AgNP from antimicrobial textiles, and CNT from electronics may be evaluated as separate components that contribute to the same surface-water co-occurrence profile.</w:t>
      </w:r>
    </w:p>
    <w:p>
      <w:pPr>
        <w:pStyle w:val="Heading2"/>
      </w:pPr>
      <w:r>
        <w:t>14.4 Co-formulated product or blend</w:t>
      </w:r>
    </w:p>
    <w:p>
      <w:pPr/>
      <w:r>
        <w:t>Create a formulation group when two or more nanomaterials occur in the same product, coating, composite, catalyst, or engineered blend. The formulation input is the total mass of all tracked nanomaterials in the blend. It is not the gross mass of the commercial product.</w:t>
      </w:r>
    </w:p>
    <w:p>
      <w:pPr>
        <w:pStyle w:val="ListNumber"/>
      </w:pPr>
      <w:r>
        <w:t>Click Add formulation group.</w:t>
      </w:r>
    </w:p>
    <w:p>
      <w:pPr>
        <w:pStyle w:val="ListNumber"/>
      </w:pPr>
      <w:r>
        <w:t>Enter the total nanomaterial-blend input, annual growth, and active years.</w:t>
      </w:r>
    </w:p>
    <w:p>
      <w:pPr>
        <w:pStyle w:val="ListNumber"/>
      </w:pPr>
      <w:r>
        <w:t>Enter the shared use-stage release fractions and EoL routing shares.</w:t>
      </w:r>
    </w:p>
    <w:p>
      <w:pPr>
        <w:pStyle w:val="ListNumber"/>
      </w:pPr>
      <w:r>
        <w:t>Enter the shared mean lifetime, Weibull shape, and use-release duration.</w:t>
      </w:r>
    </w:p>
    <w:p>
      <w:pPr>
        <w:pStyle w:val="ListNumber"/>
      </w:pPr>
      <w:r>
        <w:t>Set each component to Formulation fraction, select the group, and enter material fractions that total 100%.</w:t>
      </w:r>
    </w:p>
    <w:p>
      <w:pPr>
        <w:pStyle w:val="ListNumber"/>
      </w:pPr>
      <w:r>
        <w:t>Run the assessment. The group life-cycle pattern is shared, while each material retains its own treatment-facility transfer coefficients.</w:t>
      </w:r>
    </w:p>
    <w:p>
      <w:pPr/>
      <w:r>
        <w:t>A formulation-fraction error blocks calculation. Use the validation line below the formulation table to confirm that material fractions and EoL routes total 100% and that use releases do not exceed 100%.</w:t>
      </w:r>
    </w:p>
    <w:p>
      <w:pPr>
        <w:pStyle w:val="Heading2"/>
      </w:pPr>
      <w:r>
        <w:t>14.5 Co-occurrence concentration and tracking-basis gate</w:t>
      </w:r>
    </w:p>
    <w:p>
      <w:pPr/>
      <w:r>
        <w:t>The application always reports a vector of material-specific concentrations. A physical mass-concentration total is shown only when all included materials use a compatible tracking basis. For example, pristine nanoform mass and total constituent-element mass should not be combined without an explicit scientific conversion and justification.</w:t>
      </w:r>
    </w:p>
    <w:p>
      <w:pPr/>
      <w:r>
        <w:t>The override checkbox removes the software block but does not establish comparability. Record the conversion basis, double-counting check, transformation boundary, and reason for summation in the project metadata and exported audit file.</w:t>
      </w:r>
    </w:p>
    <w:p>
      <w:pPr/>
      <w:r>
        <w:t>A total co-occurring mass concentration must be described as a mass sum. It must not be described as a mixture PEC with common toxic potency or as a risk-equivalent concentration.</w:t>
      </w:r>
    </w:p>
    <w:p>
      <w:pPr>
        <w:pStyle w:val="Heading2"/>
      </w:pPr>
      <w:r>
        <w:t>14.6 Component-based HQ and cumulative HI</w:t>
      </w:r>
    </w:p>
    <w:p>
      <w:pPr/>
      <w:r>
        <w:t>For each component and medium, the screening hazard quotient is:</w:t>
      </w:r>
    </w:p>
    <w:p>
      <w:pPr>
        <w:pStyle w:val="IntenseQuote"/>
        <w:jc w:val="center"/>
      </w:pPr>
      <w:r>
        <w:t>HQ_i = PEC_i / PNEC_i</w:t>
      </w:r>
    </w:p>
    <w:p>
      <w:pPr/>
      <w:r>
        <w:t>For components assigned to the same assessment group with an identical endpoint description, the screening hazard index is:</w:t>
      </w:r>
    </w:p>
    <w:p>
      <w:pPr>
        <w:pStyle w:val="IntenseQuote"/>
        <w:jc w:val="center"/>
      </w:pPr>
      <w:r>
        <w:t>HI = sum(HQ_i)</w:t>
      </w:r>
    </w:p>
    <w:p>
      <w:pPr>
        <w:pStyle w:val="ListBullet"/>
      </w:pPr>
      <w:r>
        <w:t>Use a PNEC that matches the environmental medium and concentration unit displayed by the application.</w:t>
      </w:r>
    </w:p>
    <w:p>
      <w:pPr>
        <w:pStyle w:val="ListBullet"/>
      </w:pPr>
      <w:r>
        <w:t>Confirm that the PNEC refers to a sufficiently comparable nanoform, coating, size range, transformation state, and tracking basis.</w:t>
      </w:r>
    </w:p>
    <w:p>
      <w:pPr>
        <w:pStyle w:val="ListBullet"/>
      </w:pPr>
      <w:r>
        <w:t>Use one assessment group only when the grouping rationale and endpoint are scientifically defensible.</w:t>
      </w:r>
    </w:p>
    <w:p>
      <w:pPr>
        <w:pStyle w:val="ListBullet"/>
      </w:pPr>
      <w:r>
        <w:t>Use the same endpoint description for all components in a summed group. The application blocks groups with inconsistent endpoint text.</w:t>
      </w:r>
    </w:p>
    <w:p>
      <w:pPr>
        <w:pStyle w:val="ListBullet"/>
      </w:pPr>
      <w:r>
        <w:t>Leave the PNEC at zero when a defensible value is unavailable. The component-medium pair is then excluded from HI.</w:t>
      </w:r>
    </w:p>
    <w:p>
      <w:pPr>
        <w:pStyle w:val="ListBullet"/>
      </w:pPr>
      <w:r>
        <w:t>Interpret HI as a screening index based on the entered assumptions, not as proof that nanomaterials act by concentration addition.</w:t>
      </w:r>
    </w:p>
    <w:p>
      <w:pPr>
        <w:pStyle w:val="Heading2"/>
      </w:pPr>
      <w:r>
        <w:t>14.7 Optional interaction coefficient</w:t>
      </w:r>
    </w:p>
    <w:p>
      <w:pPr/>
      <w:r>
        <w:t>The interaction table contains one beta coefficient for each included material pair and medium. Every coefficient starts at zero. The application does not infer synergy or antagonism. A nonzero value should be entered only when the material pair, nanoforms, medium, endpoint, concentration range, and experimental conditions are directly relevant.</w:t>
      </w:r>
    </w:p>
    <w:p>
      <w:pPr>
        <w:pStyle w:val="IntenseQuote"/>
        <w:jc w:val="center"/>
      </w:pPr>
      <w:r>
        <w:t>HI_adjusted = HI + sum(beta_ij × HQ_i × HQ_j)</w:t>
      </w:r>
    </w:p>
    <w:p>
      <w:pPr/>
      <w:r>
        <w:t>Positive beta increases the screening index, negative beta decreases it, and zero leaves the additive HI unchanged. Because the equation is an exploratory adjustment rather than a validated nanomaterial-mixture model, the unadjusted and adjusted values should be reported together.</w:t>
      </w:r>
    </w:p>
    <w:p>
      <w:pPr>
        <w:pStyle w:val="Heading2"/>
      </w:pPr>
      <w:r>
        <w:t>14.8 Dynamic co-exposure</w:t>
      </w:r>
    </w:p>
    <w:p>
      <w:pPr/>
      <w:r>
        <w:t>In Dynamic probabilistic MFA mode, each direct component has its own initial input, annual growth, and active years. Components in one formulation share the formulation trajectory and retain fixed composition fractions. The results show material-specific PEC time series, compatible total mass concentration, and assessment-group HI by calendar year.</w:t>
      </w:r>
    </w:p>
    <w:p>
      <w:pPr/>
      <w:r>
        <w:t>Before comparing trends, confirm that all component trajectories use the same calendar range and geographic domain. A component outside its active years receives zero new primary input, but historical cohorts, reuse, recycling, landfill stock, and environmental stocks may continue to contribute.</w:t>
      </w:r>
    </w:p>
    <w:p>
      <w:pPr>
        <w:pStyle w:val="Heading2"/>
      </w:pPr>
      <w:r>
        <w:t>14.9 Joint mixture uncertainty</w:t>
      </w:r>
    </w:p>
    <w:p>
      <w:pPr/>
      <w:r>
        <w:t>The joint Monte Carlo calculation preserves selected dependencies. Country-domain and environmental-capacity variables are sampled once per iteration and applied to all components. Components in the same formulation also share the sampled blend-input multiplier. Material-specific allocations, releases, EoL routes, transfer coefficients, lifetimes, and PNECs are sampled separately.</w:t>
      </w:r>
    </w:p>
    <w:tbl>
      <w:tblPr>
        <w:tblStyle w:val="TableGrid"/>
        <w:tblW w:type="auto" w:w="0"/>
        <w:tblLook w:firstColumn="1" w:firstRow="1" w:lastColumn="0" w:lastRow="0" w:noHBand="0" w:noVBand="1" w:val="04A0"/>
      </w:tblPr>
      <w:tblGrid>
        <w:gridCol w:w="4762"/>
        <w:gridCol w:w="4762"/>
      </w:tblGrid>
      <w:tr>
        <w:trPr>
          <w:tblHeader/>
          <w:cantSplit/>
        </w:trPr>
        <w:tc>
          <w:tcPr>
            <w:tcW w:type="dxa" w:w="4762"/>
          </w:tcPr>
          <w:p>
            <w:r>
              <w:t>Output</w:t>
            </w:r>
          </w:p>
        </w:tc>
        <w:tc>
          <w:tcPr>
            <w:tcW w:type="dxa" w:w="4762"/>
          </w:tcPr>
          <w:p>
            <w:r>
              <w:t>Interpretation</w:t>
            </w:r>
          </w:p>
        </w:tc>
      </w:tr>
      <w:tr>
        <w:trPr>
          <w:cantSplit/>
        </w:trPr>
        <w:tc>
          <w:tcPr>
            <w:tcW w:type="dxa" w:w="4762"/>
          </w:tcPr>
          <w:p>
            <w:r>
              <w:t>P5, P50, P95 total compatible concentration</w:t>
            </w:r>
          </w:p>
        </w:tc>
        <w:tc>
          <w:tcPr>
            <w:tcW w:type="dxa" w:w="4762"/>
          </w:tcPr>
          <w:p>
            <w:r>
              <w:t>Uncertainty envelope for the physical mass sum when tracking bases are compatible</w:t>
            </w:r>
          </w:p>
        </w:tc>
      </w:tr>
      <w:tr>
        <w:trPr>
          <w:cantSplit/>
        </w:trPr>
        <w:tc>
          <w:tcPr>
            <w:tcW w:type="dxa" w:w="4762"/>
          </w:tcPr>
          <w:p>
            <w:r>
              <w:t>HI P5, P50, P95</w:t>
            </w:r>
          </w:p>
        </w:tc>
        <w:tc>
          <w:tcPr>
            <w:tcW w:type="dxa" w:w="4762"/>
          </w:tcPr>
          <w:p>
            <w:r>
              <w:t>Uncertainty in the component-based screening index</w:t>
            </w:r>
          </w:p>
        </w:tc>
      </w:tr>
      <w:tr>
        <w:trPr>
          <w:cantSplit/>
        </w:trPr>
        <w:tc>
          <w:tcPr>
            <w:tcW w:type="dxa" w:w="4762"/>
          </w:tcPr>
          <w:p>
            <w:r>
              <w:t>P(HI &gt; 1)</w:t>
            </w:r>
          </w:p>
        </w:tc>
        <w:tc>
          <w:tcPr>
            <w:tcW w:type="dxa" w:w="4762"/>
          </w:tcPr>
          <w:p>
            <w:r>
              <w:t>Fraction of Monte Carlo iterations in which the entered screening index exceeds 1</w:t>
            </w:r>
          </w:p>
        </w:tc>
      </w:tr>
      <w:tr>
        <w:trPr>
          <w:cantSplit/>
        </w:trPr>
        <w:tc>
          <w:tcPr>
            <w:tcW w:type="dxa" w:w="4762"/>
          </w:tcPr>
          <w:p>
            <w:r>
              <w:t>Dominant contributor</w:t>
            </w:r>
          </w:p>
        </w:tc>
        <w:tc>
          <w:tcPr>
            <w:tcW w:type="dxa" w:w="4762"/>
          </w:tcPr>
          <w:p>
            <w:r>
              <w:t>Material with the largest HQ in a given iteration or final year</w:t>
            </w:r>
          </w:p>
        </w:tc>
      </w:tr>
    </w:tbl>
    <w:p>
      <w:pPr/>
      <w:r>
        <w:t>Dynamic mixture uncertainty is computationally intensive and is capped at a lower number of iterations than static analysis. Increase iterations only after the deterministic structure, fractions, endpoints, and PNECs have been checked.</w:t>
      </w:r>
    </w:p>
    <w:p>
      <w:pPr>
        <w:pStyle w:val="Heading2"/>
      </w:pPr>
      <w:r>
        <w:t>14.10 Outputs and reproducibility</w:t>
      </w:r>
    </w:p>
    <w:p>
      <w:pPr>
        <w:pStyle w:val="ListBullet"/>
      </w:pPr>
      <w:r>
        <w:t>Multi-material Sankey diagram with material-specific pathways and shared terminal destinations.</w:t>
      </w:r>
    </w:p>
    <w:p>
      <w:pPr>
        <w:pStyle w:val="ListBullet"/>
      </w:pPr>
      <w:r>
        <w:t>Material-specific terminal releases, process loads, stocks, and environmental-media PECs.</w:t>
      </w:r>
    </w:p>
    <w:p>
      <w:pPr>
        <w:pStyle w:val="ListBullet"/>
      </w:pPr>
      <w:r>
        <w:t>Medium-specific co-occurrence chart and component contribution table.</w:t>
      </w:r>
    </w:p>
    <w:p>
      <w:pPr>
        <w:pStyle w:val="ListBullet"/>
      </w:pPr>
      <w:r>
        <w:t>Component HQ, group HI, interaction-adjusted HI, and dominant contributor.</w:t>
      </w:r>
    </w:p>
    <w:p>
      <w:pPr>
        <w:pStyle w:val="ListBullet"/>
      </w:pPr>
      <w:r>
        <w:t>Dynamic PEC and HI time series when dynamic mode is selected.</w:t>
      </w:r>
    </w:p>
    <w:p>
      <w:pPr>
        <w:pStyle w:val="ListBullet"/>
      </w:pPr>
      <w:r>
        <w:t>Mixture project JSON for reloading the component and formulation configuration.</w:t>
      </w:r>
    </w:p>
    <w:p>
      <w:pPr>
        <w:pStyle w:val="ListBullet"/>
      </w:pPr>
      <w:r>
        <w:t>Co-exposure CSV with material, medium, PEC, PNEC, HQ, assessment group, and tracking basis.</w:t>
      </w:r>
    </w:p>
    <w:p>
      <w:pPr>
        <w:pStyle w:val="ListBullet"/>
      </w:pPr>
      <w:r>
        <w:t>Main scenario JSON and audit JSON containing the mixture configuration and calculated outputs.</w:t>
      </w:r>
    </w:p>
    <w:p>
      <w:pPr/>
      <w:r>
        <w:t>After importing a mixture project, rerun the assessment to regenerate result objects. The project file stores assumptions and configuration; results may also be included for audit, but should not replace recalculation after software updates.</w:t>
      </w:r>
    </w:p>
    <w:p>
      <w:pPr>
        <w:pStyle w:val="Heading2"/>
      </w:pPr>
      <w:r>
        <w:t>14.11 Worked setup example: AgNP and nano-TiO2</w:t>
      </w:r>
    </w:p>
    <w:tbl>
      <w:tblPr>
        <w:tblStyle w:val="TableGrid"/>
        <w:tblW w:type="auto" w:w="0"/>
        <w:tblLook w:firstColumn="1" w:firstRow="1" w:lastColumn="0" w:lastRow="0" w:noHBand="0" w:noVBand="1" w:val="04A0"/>
      </w:tblPr>
      <w:tblGrid>
        <w:gridCol w:w="4762"/>
        <w:gridCol w:w="4762"/>
      </w:tblGrid>
      <w:tr>
        <w:trPr>
          <w:tblHeader/>
          <w:cantSplit/>
        </w:trPr>
        <w:tc>
          <w:tcPr>
            <w:tcW w:type="dxa" w:w="4762"/>
          </w:tcPr>
          <w:p>
            <w:r>
              <w:t>Step</w:t>
            </w:r>
          </w:p>
        </w:tc>
        <w:tc>
          <w:tcPr>
            <w:tcW w:type="dxa" w:w="4762"/>
          </w:tcPr>
          <w:p>
            <w:r>
              <w:t>Example entry</w:t>
            </w:r>
          </w:p>
        </w:tc>
      </w:tr>
      <w:tr>
        <w:trPr>
          <w:cantSplit/>
        </w:trPr>
        <w:tc>
          <w:tcPr>
            <w:tcW w:type="dxa" w:w="4762"/>
          </w:tcPr>
          <w:p>
            <w:r>
              <w:t>Assessment mode</w:t>
            </w:r>
          </w:p>
        </w:tc>
        <w:tc>
          <w:tcPr>
            <w:tcW w:type="dxa" w:w="4762"/>
          </w:tcPr>
          <w:p>
            <w:r>
              <w:t>Multiple nanomaterials / co-exposure</w:t>
            </w:r>
          </w:p>
        </w:tc>
      </w:tr>
      <w:tr>
        <w:trPr>
          <w:cantSplit/>
        </w:trPr>
        <w:tc>
          <w:tcPr>
            <w:tcW w:type="dxa" w:w="4762"/>
          </w:tcPr>
          <w:p>
            <w:r>
              <w:t>Component 1</w:t>
            </w:r>
          </w:p>
        </w:tc>
        <w:tc>
          <w:tcPr>
            <w:tcW w:type="dxa" w:w="4762"/>
          </w:tcPr>
          <w:p>
            <w:r>
              <w:t>AgNP, 100 kg/y, direct input, selected nanoform mass</w:t>
            </w:r>
          </w:p>
        </w:tc>
      </w:tr>
      <w:tr>
        <w:trPr>
          <w:cantSplit/>
        </w:trPr>
        <w:tc>
          <w:tcPr>
            <w:tcW w:type="dxa" w:w="4762"/>
          </w:tcPr>
          <w:p>
            <w:r>
              <w:t>Component 2</w:t>
            </w:r>
          </w:p>
        </w:tc>
        <w:tc>
          <w:tcPr>
            <w:tcW w:type="dxa" w:w="4762"/>
          </w:tcPr>
          <w:p>
            <w:r>
              <w:t>nano-TiO2, 300 kg/y, direct input, selected nanoform mass</w:t>
            </w:r>
          </w:p>
        </w:tc>
      </w:tr>
      <w:tr>
        <w:trPr>
          <w:cantSplit/>
        </w:trPr>
        <w:tc>
          <w:tcPr>
            <w:tcW w:type="dxa" w:w="4762"/>
          </w:tcPr>
          <w:p>
            <w:r>
              <w:t>Country/domain</w:t>
            </w:r>
          </w:p>
        </w:tc>
        <w:tc>
          <w:tcPr>
            <w:tcW w:type="dxa" w:w="4762"/>
          </w:tcPr>
          <w:p>
            <w:r>
              <w:t>Republic of Korea, national domain</w:t>
            </w:r>
          </w:p>
        </w:tc>
      </w:tr>
      <w:tr>
        <w:trPr>
          <w:cantSplit/>
        </w:trPr>
        <w:tc>
          <w:tcPr>
            <w:tcW w:type="dxa" w:w="4762"/>
          </w:tcPr>
          <w:p>
            <w:r>
              <w:t>Water PNECs</w:t>
            </w:r>
          </w:p>
        </w:tc>
        <w:tc>
          <w:tcPr>
            <w:tcW w:type="dxa" w:w="4762"/>
          </w:tcPr>
          <w:p>
            <w:r>
              <w:t>Enter only project-approved, nanoform-comparable values; otherwise leave zero</w:t>
            </w:r>
          </w:p>
        </w:tc>
      </w:tr>
      <w:tr>
        <w:trPr>
          <w:cantSplit/>
        </w:trPr>
        <w:tc>
          <w:tcPr>
            <w:tcW w:type="dxa" w:w="4762"/>
          </w:tcPr>
          <w:p>
            <w:r>
              <w:t>Assessment group</w:t>
            </w:r>
          </w:p>
        </w:tc>
        <w:tc>
          <w:tcPr>
            <w:tcW w:type="dxa" w:w="4762"/>
          </w:tcPr>
          <w:p>
            <w:r>
              <w:t>Use the same group only if the endpoint and grouping rationale are comparable</w:t>
            </w:r>
          </w:p>
        </w:tc>
      </w:tr>
      <w:tr>
        <w:trPr>
          <w:cantSplit/>
        </w:trPr>
        <w:tc>
          <w:tcPr>
            <w:tcW w:type="dxa" w:w="4762"/>
          </w:tcPr>
          <w:p>
            <w:r>
              <w:t>Interpretation</w:t>
            </w:r>
          </w:p>
        </w:tc>
        <w:tc>
          <w:tcPr>
            <w:tcW w:type="dxa" w:w="4762"/>
          </w:tcPr>
          <w:p>
            <w:r>
              <w:t>Review separate water PECs first; then review physical total and HI only if compatibility conditions are satisfied</w:t>
            </w:r>
          </w:p>
        </w:tc>
      </w:tr>
    </w:tbl>
    <w:p>
      <w:pPr>
        <w:pStyle w:val="Heading2"/>
      </w:pPr>
      <w:r>
        <w:t>14.12 Scientific limitations specific to mixtures</w:t>
      </w:r>
    </w:p>
    <w:p>
      <w:pPr>
        <w:pStyle w:val="ListBullet"/>
      </w:pPr>
      <w:r>
        <w:t>Each material is routed through an independent MFA engine. Direct particle-particle transformation is not simulated.</w:t>
      </w:r>
    </w:p>
    <w:p>
      <w:pPr>
        <w:pStyle w:val="ListBullet"/>
      </w:pPr>
      <w:r>
        <w:t>The model does not calculate heteroaggregation between different nanomaterials, corona exchange, altered dissolution, redox coupling, surface passivation, or mixture-specific settling.</w:t>
      </w:r>
    </w:p>
    <w:p>
      <w:pPr>
        <w:pStyle w:val="ListBullet"/>
      </w:pPr>
      <w:r>
        <w:t>Total mass concentration does not represent common toxicity, bioavailability, particle number, reactive surface area, or dose at the biological target.</w:t>
      </w:r>
    </w:p>
    <w:p>
      <w:pPr>
        <w:pStyle w:val="ListBullet"/>
      </w:pPr>
      <w:r>
        <w:t>PNECs, assessment groups, and interaction coefficients are user inputs and require independent scientific justification.</w:t>
      </w:r>
    </w:p>
    <w:p>
      <w:pPr>
        <w:pStyle w:val="ListBullet"/>
      </w:pPr>
      <w:r>
        <w:t>The component-based HI framework is a screening structure adapted from combined-exposure practice; it is not a regulatory nanomaterial-mixture assessment method.</w:t>
      </w:r>
    </w:p>
    <w:p>
      <w:pPr>
        <w:pStyle w:val="ListBullet"/>
      </w:pPr>
      <w:r>
        <w:t>A nonzero interaction adjustment is exploratory and should be accompanied by the unadjusted HI and full evidence conditions.</w:t>
      </w:r>
    </w:p>
    <w:p>
      <w:pPr>
        <w:pStyle w:val="Heading1"/>
      </w:pPr>
      <w:r>
        <w:t>15. Saving, exporting, and reproducibility</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2268"/>
            <w:vAlign w:val="center"/>
            <w:shd w:fill="0B6B57"/>
          </w:tcPr>
          <w:p>
            <w:r/>
            <w:r>
              <w:rPr>
                <w:rFonts w:ascii="Arial" w:hAnsi="Arial"/>
                <w:b/>
                <w:color w:val="FFFFFF"/>
                <w:sz w:val="16"/>
              </w:rPr>
              <w:t>Output</w:t>
            </w:r>
          </w:p>
        </w:tc>
        <w:tc>
          <w:tcPr>
            <w:tcW w:type="dxa" w:w="4252"/>
            <w:vAlign w:val="center"/>
            <w:shd w:fill="0B6B57"/>
          </w:tcPr>
          <w:p>
            <w:r/>
            <w:r>
              <w:rPr>
                <w:rFonts w:ascii="Arial" w:hAnsi="Arial"/>
                <w:b/>
                <w:color w:val="FFFFFF"/>
                <w:sz w:val="16"/>
              </w:rPr>
              <w:t>Contents</w:t>
            </w:r>
          </w:p>
        </w:tc>
        <w:tc>
          <w:tcPr>
            <w:tcW w:type="dxa" w:w="2835"/>
            <w:vAlign w:val="center"/>
            <w:shd w:fill="0B6B57"/>
          </w:tcPr>
          <w:p>
            <w:r/>
            <w:r>
              <w:rPr>
                <w:rFonts w:ascii="Arial" w:hAnsi="Arial"/>
                <w:b/>
                <w:color w:val="FFFFFF"/>
                <w:sz w:val="16"/>
              </w:rPr>
              <w:t>Recommended use</w:t>
            </w:r>
          </w:p>
        </w:tc>
      </w:tr>
      <w:tr>
        <w:trPr>
          <w:cantSplit/>
        </w:trPr>
        <w:tc>
          <w:tcPr>
            <w:tcW w:type="dxa" w:w="2268"/>
            <w:vAlign w:val="center"/>
          </w:tcPr>
          <w:p>
            <w:r/>
            <w:r>
              <w:rPr>
                <w:rFonts w:ascii="Arial" w:hAnsi="Arial"/>
                <w:b w:val="0"/>
                <w:sz w:val="16"/>
              </w:rPr>
              <w:t>Scenario JSON</w:t>
            </w:r>
          </w:p>
        </w:tc>
        <w:tc>
          <w:tcPr>
            <w:tcW w:type="dxa" w:w="4252"/>
            <w:vAlign w:val="center"/>
          </w:tcPr>
          <w:p>
            <w:r/>
            <w:r>
              <w:rPr>
                <w:rFonts w:ascii="Arial" w:hAnsi="Arial"/>
                <w:b w:val="0"/>
                <w:sz w:val="16"/>
              </w:rPr>
              <w:t>All user inputs, model mode, metadata, QA settings, geographic parameters, and advanced-module settings.</w:t>
            </w:r>
          </w:p>
        </w:tc>
        <w:tc>
          <w:tcPr>
            <w:tcW w:type="dxa" w:w="2835"/>
            <w:vAlign w:val="center"/>
          </w:tcPr>
          <w:p>
            <w:r/>
            <w:r>
              <w:rPr>
                <w:rFonts w:ascii="Arial" w:hAnsi="Arial"/>
                <w:b w:val="0"/>
                <w:sz w:val="16"/>
              </w:rPr>
              <w:t>Reopen or share a scenario.</w:t>
            </w:r>
          </w:p>
        </w:tc>
      </w:tr>
      <w:tr>
        <w:trPr>
          <w:cantSplit/>
        </w:trPr>
        <w:tc>
          <w:tcPr>
            <w:tcW w:type="dxa" w:w="2268"/>
            <w:vAlign w:val="center"/>
            <w:shd w:fill="F1F6F4"/>
          </w:tcPr>
          <w:p>
            <w:r/>
            <w:r>
              <w:rPr>
                <w:rFonts w:ascii="Arial" w:hAnsi="Arial"/>
                <w:b w:val="0"/>
                <w:sz w:val="16"/>
              </w:rPr>
              <w:t>Audit JSON</w:t>
            </w:r>
          </w:p>
        </w:tc>
        <w:tc>
          <w:tcPr>
            <w:tcW w:type="dxa" w:w="4252"/>
            <w:vAlign w:val="center"/>
            <w:shd w:fill="F1F6F4"/>
          </w:tcPr>
          <w:p>
            <w:r/>
            <w:r>
              <w:rPr>
                <w:rFonts w:ascii="Arial" w:hAnsi="Arial"/>
                <w:b w:val="0"/>
                <w:sz w:val="16"/>
              </w:rPr>
              <w:t>Scenario plus calculated result, fitness flags, uncertainty, sensitivity, comparison runs, and advanced outputs.</w:t>
            </w:r>
          </w:p>
        </w:tc>
        <w:tc>
          <w:tcPr>
            <w:tcW w:type="dxa" w:w="2835"/>
            <w:vAlign w:val="center"/>
            <w:shd w:fill="F1F6F4"/>
          </w:tcPr>
          <w:p>
            <w:r/>
            <w:r>
              <w:rPr>
                <w:rFonts w:ascii="Arial" w:hAnsi="Arial"/>
                <w:b w:val="0"/>
                <w:sz w:val="16"/>
              </w:rPr>
              <w:t>Archive the complete analysis record.</w:t>
            </w:r>
          </w:p>
        </w:tc>
      </w:tr>
      <w:tr>
        <w:trPr>
          <w:cantSplit/>
        </w:trPr>
        <w:tc>
          <w:tcPr>
            <w:tcW w:type="dxa" w:w="2268"/>
            <w:vAlign w:val="center"/>
          </w:tcPr>
          <w:p>
            <w:r/>
            <w:r>
              <w:rPr>
                <w:rFonts w:ascii="Arial" w:hAnsi="Arial"/>
                <w:b w:val="0"/>
                <w:sz w:val="16"/>
              </w:rPr>
              <w:t>Static flow CSV</w:t>
            </w:r>
          </w:p>
        </w:tc>
        <w:tc>
          <w:tcPr>
            <w:tcW w:type="dxa" w:w="4252"/>
            <w:vAlign w:val="center"/>
          </w:tcPr>
          <w:p>
            <w:r/>
            <w:r>
              <w:rPr>
                <w:rFonts w:ascii="Arial" w:hAnsi="Arial"/>
                <w:b w:val="0"/>
                <w:sz w:val="16"/>
              </w:rPr>
              <w:t>Source, target, and annual mass flow.</w:t>
            </w:r>
          </w:p>
        </w:tc>
        <w:tc>
          <w:tcPr>
            <w:tcW w:type="dxa" w:w="2835"/>
            <w:vAlign w:val="center"/>
          </w:tcPr>
          <w:p>
            <w:r/>
            <w:r>
              <w:rPr>
                <w:rFonts w:ascii="Arial" w:hAnsi="Arial"/>
                <w:b w:val="0"/>
                <w:sz w:val="16"/>
              </w:rPr>
              <w:t>External plotting and tabular analysis.</w:t>
            </w:r>
          </w:p>
        </w:tc>
      </w:tr>
      <w:tr>
        <w:trPr>
          <w:cantSplit/>
        </w:trPr>
        <w:tc>
          <w:tcPr>
            <w:tcW w:type="dxa" w:w="2268"/>
            <w:vAlign w:val="center"/>
            <w:shd w:fill="F1F6F4"/>
          </w:tcPr>
          <w:p>
            <w:r/>
            <w:r>
              <w:rPr>
                <w:rFonts w:ascii="Arial" w:hAnsi="Arial"/>
                <w:b w:val="0"/>
                <w:sz w:val="16"/>
              </w:rPr>
              <w:t>Dynamic annual CSV</w:t>
            </w:r>
          </w:p>
        </w:tc>
        <w:tc>
          <w:tcPr>
            <w:tcW w:type="dxa" w:w="4252"/>
            <w:vAlign w:val="center"/>
            <w:shd w:fill="F1F6F4"/>
          </w:tcPr>
          <w:p>
            <w:r/>
            <w:r>
              <w:rPr>
                <w:rFonts w:ascii="Arial" w:hAnsi="Arial"/>
                <w:b w:val="0"/>
                <w:sz w:val="16"/>
              </w:rPr>
              <w:t>Annual inputs, releases, EoL, stocks, PECs, and closure.</w:t>
            </w:r>
          </w:p>
        </w:tc>
        <w:tc>
          <w:tcPr>
            <w:tcW w:type="dxa" w:w="2835"/>
            <w:vAlign w:val="center"/>
            <w:shd w:fill="F1F6F4"/>
          </w:tcPr>
          <w:p>
            <w:r/>
            <w:r>
              <w:rPr>
                <w:rFonts w:ascii="Arial" w:hAnsi="Arial"/>
                <w:b w:val="0"/>
                <w:sz w:val="16"/>
              </w:rPr>
              <w:t>Time-series analysis.</w:t>
            </w:r>
          </w:p>
        </w:tc>
      </w:tr>
      <w:tr>
        <w:trPr>
          <w:cantSplit/>
        </w:trPr>
        <w:tc>
          <w:tcPr>
            <w:tcW w:type="dxa" w:w="2268"/>
            <w:vAlign w:val="center"/>
          </w:tcPr>
          <w:p>
            <w:r/>
            <w:r>
              <w:rPr>
                <w:rFonts w:ascii="Arial" w:hAnsi="Arial"/>
                <w:b w:val="0"/>
                <w:sz w:val="16"/>
              </w:rPr>
              <w:t>Fate-input CSV</w:t>
            </w:r>
          </w:p>
        </w:tc>
        <w:tc>
          <w:tcPr>
            <w:tcW w:type="dxa" w:w="4252"/>
            <w:vAlign w:val="center"/>
          </w:tcPr>
          <w:p>
            <w:r/>
            <w:r>
              <w:rPr>
                <w:rFonts w:ascii="Arial" w:hAnsi="Arial"/>
                <w:b w:val="0"/>
                <w:sz w:val="16"/>
              </w:rPr>
              <w:t>Form-resolved environmental releases by medium and year.</w:t>
            </w:r>
          </w:p>
        </w:tc>
        <w:tc>
          <w:tcPr>
            <w:tcW w:type="dxa" w:w="2835"/>
            <w:vAlign w:val="center"/>
          </w:tcPr>
          <w:p>
            <w:r/>
            <w:r>
              <w:rPr>
                <w:rFonts w:ascii="Arial" w:hAnsi="Arial"/>
                <w:b w:val="0"/>
                <w:sz w:val="16"/>
              </w:rPr>
              <w:t>Input preparation for external fate models.</w:t>
            </w:r>
          </w:p>
        </w:tc>
      </w:tr>
      <w:tr>
        <w:trPr>
          <w:cantSplit/>
        </w:trPr>
        <w:tc>
          <w:tcPr>
            <w:tcW w:type="dxa" w:w="2268"/>
            <w:vAlign w:val="center"/>
            <w:shd w:fill="F1F6F4"/>
          </w:tcPr>
          <w:p>
            <w:r/>
            <w:r>
              <w:rPr>
                <w:rFonts w:ascii="Arial" w:hAnsi="Arial"/>
                <w:b w:val="0"/>
                <w:sz w:val="16"/>
              </w:rPr>
              <w:t>Sankey PNG</w:t>
            </w:r>
          </w:p>
        </w:tc>
        <w:tc>
          <w:tcPr>
            <w:tcW w:type="dxa" w:w="4252"/>
            <w:vAlign w:val="center"/>
            <w:shd w:fill="F1F6F4"/>
          </w:tcPr>
          <w:p>
            <w:r/>
            <w:r>
              <w:rPr>
                <w:rFonts w:ascii="Arial" w:hAnsi="Arial"/>
                <w:b w:val="0"/>
                <w:sz w:val="16"/>
              </w:rPr>
              <w:t>High-resolution mass-flow figure.</w:t>
            </w:r>
          </w:p>
        </w:tc>
        <w:tc>
          <w:tcPr>
            <w:tcW w:type="dxa" w:w="2835"/>
            <w:vAlign w:val="center"/>
            <w:shd w:fill="F1F6F4"/>
          </w:tcPr>
          <w:p>
            <w:r/>
            <w:r>
              <w:rPr>
                <w:rFonts w:ascii="Arial" w:hAnsi="Arial"/>
                <w:b w:val="0"/>
                <w:sz w:val="16"/>
              </w:rPr>
              <w:t>Reports, presentations, and manuscripts.</w:t>
            </w:r>
          </w:p>
        </w:tc>
      </w:tr>
    </w:tbl>
    <w:p>
      <w:pPr>
        <w:spacing w:after="20"/>
      </w:pPr>
    </w:p>
    <w:p>
      <w:pPr>
        <w:pStyle w:val="Heading2"/>
      </w:pPr>
      <w:r>
        <w:t>15.1 Minimum reproducibility record</w:t>
      </w:r>
    </w:p>
    <w:p>
      <w:pPr>
        <w:pStyle w:val="ListBullet"/>
      </w:pPr>
      <w:r>
        <w:t>Software version</w:t>
      </w:r>
    </w:p>
    <w:p>
      <w:pPr>
        <w:pStyle w:val="ListBullet"/>
      </w:pPr>
      <w:r>
        <w:t>Scenario JSON</w:t>
      </w:r>
    </w:p>
    <w:p>
      <w:pPr>
        <w:pStyle w:val="ListBullet"/>
      </w:pPr>
      <w:r>
        <w:t>Audit JSON</w:t>
      </w:r>
    </w:p>
    <w:p>
      <w:pPr>
        <w:pStyle w:val="ListBullet"/>
      </w:pPr>
      <w:r>
        <w:t>Input data sources and evidence classes</w:t>
      </w:r>
    </w:p>
    <w:p>
      <w:pPr>
        <w:pStyle w:val="ListBullet"/>
      </w:pPr>
      <w:r>
        <w:t>Random seed and iteration count</w:t>
      </w:r>
    </w:p>
    <w:p>
      <w:pPr>
        <w:pStyle w:val="ListBullet"/>
      </w:pPr>
      <w:r>
        <w:t>Tracked mass basis and system boundary</w:t>
      </w:r>
    </w:p>
    <w:p>
      <w:pPr>
        <w:pStyle w:val="ListBullet"/>
      </w:pPr>
      <w:r>
        <w:t>Any benchmark or observation used for validation</w:t>
      </w:r>
    </w:p>
    <w:p>
      <w:r/>
    </w:p>
    <w:p>
      <w:pPr>
        <w:pStyle w:val="Heading1"/>
      </w:pPr>
      <w:r>
        <w:t>16. Troubleshooting</w:t>
      </w:r>
    </w:p>
    <w:tbl>
      <w:tblPr>
        <w:tblStyle w:val="TableGrid"/>
        <w:tblW w:type="auto" w:w="0"/>
        <w:jc w:val="center"/>
        <w:tblLook w:firstColumn="1" w:firstRow="1" w:lastColumn="0" w:lastRow="0" w:noHBand="0" w:noVBand="1" w:val="04A0"/>
      </w:tblPr>
      <w:tblGrid>
        <w:gridCol w:w="3175"/>
        <w:gridCol w:w="3175"/>
        <w:gridCol w:w="3175"/>
      </w:tblGrid>
      <w:tr>
        <w:trPr>
          <w:tblHeader/>
          <w:cantSplit/>
        </w:trPr>
        <w:tc>
          <w:tcPr>
            <w:tcW w:type="dxa" w:w="2381"/>
            <w:vAlign w:val="center"/>
            <w:shd w:fill="0B6B57"/>
          </w:tcPr>
          <w:p>
            <w:r/>
            <w:r>
              <w:rPr>
                <w:rFonts w:ascii="Arial" w:hAnsi="Arial"/>
                <w:b/>
                <w:color w:val="FFFFFF"/>
                <w:sz w:val="16"/>
              </w:rPr>
              <w:t>Problem</w:t>
            </w:r>
          </w:p>
        </w:tc>
        <w:tc>
          <w:tcPr>
            <w:tcW w:type="dxa" w:w="3458"/>
            <w:vAlign w:val="center"/>
            <w:shd w:fill="0B6B57"/>
          </w:tcPr>
          <w:p>
            <w:r/>
            <w:r>
              <w:rPr>
                <w:rFonts w:ascii="Arial" w:hAnsi="Arial"/>
                <w:b/>
                <w:color w:val="FFFFFF"/>
                <w:sz w:val="16"/>
              </w:rPr>
              <w:t>Likely cause</w:t>
            </w:r>
          </w:p>
        </w:tc>
        <w:tc>
          <w:tcPr>
            <w:tcW w:type="dxa" w:w="3969"/>
            <w:vAlign w:val="center"/>
            <w:shd w:fill="0B6B57"/>
          </w:tcPr>
          <w:p>
            <w:r/>
            <w:r>
              <w:rPr>
                <w:rFonts w:ascii="Arial" w:hAnsi="Arial"/>
                <w:b/>
                <w:color w:val="FFFFFF"/>
                <w:sz w:val="16"/>
              </w:rPr>
              <w:t>Resolution</w:t>
            </w:r>
          </w:p>
        </w:tc>
      </w:tr>
      <w:tr>
        <w:trPr>
          <w:cantSplit/>
        </w:trPr>
        <w:tc>
          <w:tcPr>
            <w:tcW w:type="dxa" w:w="2381"/>
            <w:vAlign w:val="center"/>
          </w:tcPr>
          <w:p>
            <w:r/>
            <w:r>
              <w:rPr>
                <w:rFonts w:ascii="Arial" w:hAnsi="Arial"/>
                <w:b w:val="0"/>
                <w:sz w:val="16"/>
              </w:rPr>
              <w:t>Calculate button disabled</w:t>
            </w:r>
          </w:p>
        </w:tc>
        <w:tc>
          <w:tcPr>
            <w:tcW w:type="dxa" w:w="3458"/>
            <w:vAlign w:val="center"/>
          </w:tcPr>
          <w:p>
            <w:r/>
            <w:r>
              <w:rPr>
                <w:rFonts w:ascii="Arial" w:hAnsi="Arial"/>
                <w:b w:val="0"/>
                <w:sz w:val="16"/>
              </w:rPr>
              <w:t>Input totals or environmental parameters are invalid.</w:t>
            </w:r>
          </w:p>
        </w:tc>
        <w:tc>
          <w:tcPr>
            <w:tcW w:type="dxa" w:w="3969"/>
            <w:vAlign w:val="center"/>
          </w:tcPr>
          <w:p>
            <w:r/>
            <w:r>
              <w:rPr>
                <w:rFonts w:ascii="Arial" w:hAnsi="Arial"/>
                <w:b w:val="0"/>
                <w:sz w:val="16"/>
              </w:rPr>
              <w:t>Read the validation message; correct percentage closure or nonpositive values.</w:t>
            </w:r>
          </w:p>
        </w:tc>
      </w:tr>
      <w:tr>
        <w:trPr>
          <w:cantSplit/>
        </w:trPr>
        <w:tc>
          <w:tcPr>
            <w:tcW w:type="dxa" w:w="2381"/>
            <w:vAlign w:val="center"/>
            <w:shd w:fill="F1F6F4"/>
          </w:tcPr>
          <w:p>
            <w:r/>
            <w:r>
              <w:rPr>
                <w:rFonts w:ascii="Arial" w:hAnsi="Arial"/>
                <w:b w:val="0"/>
                <w:sz w:val="16"/>
              </w:rPr>
              <w:t>Scenario comparison graph empty</w:t>
            </w:r>
          </w:p>
        </w:tc>
        <w:tc>
          <w:tcPr>
            <w:tcW w:type="dxa" w:w="3458"/>
            <w:vAlign w:val="center"/>
            <w:shd w:fill="F1F6F4"/>
          </w:tcPr>
          <w:p>
            <w:r/>
            <w:r>
              <w:rPr>
                <w:rFonts w:ascii="Arial" w:hAnsi="Arial"/>
                <w:b w:val="0"/>
                <w:sz w:val="16"/>
              </w:rPr>
              <w:t>No completed run has been stored.</w:t>
            </w:r>
          </w:p>
        </w:tc>
        <w:tc>
          <w:tcPr>
            <w:tcW w:type="dxa" w:w="3969"/>
            <w:vAlign w:val="center"/>
            <w:shd w:fill="F1F6F4"/>
          </w:tcPr>
          <w:p>
            <w:r/>
            <w:r>
              <w:rPr>
                <w:rFonts w:ascii="Arial" w:hAnsi="Arial"/>
                <w:b w:val="0"/>
                <w:sz w:val="16"/>
              </w:rPr>
              <w:t>Calculate a scenario and click Add current run to comparison.</w:t>
            </w:r>
          </w:p>
        </w:tc>
      </w:tr>
      <w:tr>
        <w:trPr>
          <w:cantSplit/>
        </w:trPr>
        <w:tc>
          <w:tcPr>
            <w:tcW w:type="dxa" w:w="2381"/>
            <w:vAlign w:val="center"/>
          </w:tcPr>
          <w:p>
            <w:r/>
            <w:r>
              <w:rPr>
                <w:rFonts w:ascii="Arial" w:hAnsi="Arial"/>
                <w:b w:val="0"/>
                <w:sz w:val="16"/>
              </w:rPr>
              <w:t>Benchmark table empty</w:t>
            </w:r>
          </w:p>
        </w:tc>
        <w:tc>
          <w:tcPr>
            <w:tcW w:type="dxa" w:w="3458"/>
            <w:vAlign w:val="center"/>
          </w:tcPr>
          <w:p>
            <w:r/>
            <w:r>
              <w:rPr>
                <w:rFonts w:ascii="Arial" w:hAnsi="Arial"/>
                <w:b w:val="0"/>
                <w:sz w:val="16"/>
              </w:rPr>
              <w:t>No result exists or no bundled benchmark applies.</w:t>
            </w:r>
          </w:p>
        </w:tc>
        <w:tc>
          <w:tcPr>
            <w:tcW w:type="dxa" w:w="3969"/>
            <w:vAlign w:val="center"/>
          </w:tcPr>
          <w:p>
            <w:r/>
            <w:r>
              <w:rPr>
                <w:rFonts w:ascii="Arial" w:hAnsi="Arial"/>
                <w:b w:val="0"/>
                <w:sz w:val="16"/>
              </w:rPr>
              <w:t>Run the model or use Independent validation with project-specific data.</w:t>
            </w:r>
          </w:p>
        </w:tc>
      </w:tr>
      <w:tr>
        <w:trPr>
          <w:cantSplit/>
        </w:trPr>
        <w:tc>
          <w:tcPr>
            <w:tcW w:type="dxa" w:w="2381"/>
            <w:vAlign w:val="center"/>
            <w:shd w:fill="F1F6F4"/>
          </w:tcPr>
          <w:p>
            <w:r/>
            <w:r>
              <w:rPr>
                <w:rFonts w:ascii="Arial" w:hAnsi="Arial"/>
                <w:b w:val="0"/>
                <w:sz w:val="16"/>
              </w:rPr>
              <w:t>Axis title not visible</w:t>
            </w:r>
          </w:p>
        </w:tc>
        <w:tc>
          <w:tcPr>
            <w:tcW w:type="dxa" w:w="3458"/>
            <w:vAlign w:val="center"/>
            <w:shd w:fill="F1F6F4"/>
          </w:tcPr>
          <w:p>
            <w:r/>
            <w:r>
              <w:rPr>
                <w:rFonts w:ascii="Arial" w:hAnsi="Arial"/>
                <w:b w:val="0"/>
                <w:sz w:val="16"/>
              </w:rPr>
              <w:t>Old cached CSS/JavaScript is still loaded.</w:t>
            </w:r>
          </w:p>
        </w:tc>
        <w:tc>
          <w:tcPr>
            <w:tcW w:type="dxa" w:w="3969"/>
            <w:vAlign w:val="center"/>
            <w:shd w:fill="F1F6F4"/>
          </w:tcPr>
          <w:p>
            <w:r/>
            <w:r>
              <w:rPr>
                <w:rFonts w:ascii="Arial" w:hAnsi="Arial"/>
                <w:b w:val="0"/>
                <w:sz w:val="16"/>
              </w:rPr>
              <w:t>Replace the complete distribution and force-refresh the browser.</w:t>
            </w:r>
          </w:p>
        </w:tc>
      </w:tr>
      <w:tr>
        <w:trPr>
          <w:cantSplit/>
        </w:trPr>
        <w:tc>
          <w:tcPr>
            <w:tcW w:type="dxa" w:w="2381"/>
            <w:vAlign w:val="center"/>
          </w:tcPr>
          <w:p>
            <w:r/>
            <w:r>
              <w:rPr>
                <w:rFonts w:ascii="Arial" w:hAnsi="Arial"/>
                <w:b w:val="0"/>
                <w:sz w:val="16"/>
              </w:rPr>
              <w:t>Dynamic trajectory not updated</w:t>
            </w:r>
          </w:p>
        </w:tc>
        <w:tc>
          <w:tcPr>
            <w:tcW w:type="dxa" w:w="3458"/>
            <w:vAlign w:val="center"/>
          </w:tcPr>
          <w:p>
            <w:r/>
            <w:r>
              <w:rPr>
                <w:rFonts w:ascii="Arial" w:hAnsi="Arial"/>
                <w:b w:val="0"/>
                <w:sz w:val="16"/>
              </w:rPr>
              <w:t>Horizon changed after trajectory generation.</w:t>
            </w:r>
          </w:p>
        </w:tc>
        <w:tc>
          <w:tcPr>
            <w:tcW w:type="dxa" w:w="3969"/>
            <w:vAlign w:val="center"/>
          </w:tcPr>
          <w:p>
            <w:r/>
            <w:r>
              <w:rPr>
                <w:rFonts w:ascii="Arial" w:hAnsi="Arial"/>
                <w:b w:val="0"/>
                <w:sz w:val="16"/>
              </w:rPr>
              <w:t>Click Generate trajectory.</w:t>
            </w:r>
          </w:p>
        </w:tc>
      </w:tr>
      <w:tr>
        <w:trPr>
          <w:cantSplit/>
        </w:trPr>
        <w:tc>
          <w:tcPr>
            <w:tcW w:type="dxa" w:w="2381"/>
            <w:vAlign w:val="center"/>
            <w:shd w:fill="F1F6F4"/>
          </w:tcPr>
          <w:p>
            <w:r/>
            <w:r>
              <w:rPr>
                <w:rFonts w:ascii="Arial" w:hAnsi="Arial"/>
                <w:b w:val="0"/>
                <w:sz w:val="16"/>
              </w:rPr>
              <w:t>Mass balance differs from 100%</w:t>
            </w:r>
          </w:p>
        </w:tc>
        <w:tc>
          <w:tcPr>
            <w:tcW w:type="dxa" w:w="3458"/>
            <w:vAlign w:val="center"/>
            <w:shd w:fill="F1F6F4"/>
          </w:tcPr>
          <w:p>
            <w:r/>
            <w:r>
              <w:rPr>
                <w:rFonts w:ascii="Arial" w:hAnsi="Arial"/>
                <w:b w:val="0"/>
                <w:sz w:val="16"/>
              </w:rPr>
              <w:t>Invalid fractions, incompatible advanced inputs, or numerical issue.</w:t>
            </w:r>
          </w:p>
        </w:tc>
        <w:tc>
          <w:tcPr>
            <w:tcW w:type="dxa" w:w="3969"/>
            <w:vAlign w:val="center"/>
            <w:shd w:fill="F1F6F4"/>
          </w:tcPr>
          <w:p>
            <w:r/>
            <w:r>
              <w:rPr>
                <w:rFonts w:ascii="Arial" w:hAnsi="Arial"/>
                <w:b w:val="0"/>
                <w:sz w:val="16"/>
              </w:rPr>
              <w:t>Review input closure and audit residuals before interpretation.</w:t>
            </w:r>
          </w:p>
        </w:tc>
      </w:tr>
      <w:tr>
        <w:trPr>
          <w:cantSplit/>
        </w:trPr>
        <w:tc>
          <w:tcPr>
            <w:tcW w:type="dxa" w:w="2381"/>
            <w:vAlign w:val="center"/>
          </w:tcPr>
          <w:p>
            <w:r/>
            <w:r>
              <w:rPr>
                <w:rFonts w:ascii="Arial" w:hAnsi="Arial"/>
                <w:b w:val="0"/>
                <w:sz w:val="16"/>
              </w:rPr>
              <w:t>Local file does not run correctly</w:t>
            </w:r>
          </w:p>
        </w:tc>
        <w:tc>
          <w:tcPr>
            <w:tcW w:type="dxa" w:w="3458"/>
            <w:vAlign w:val="center"/>
          </w:tcPr>
          <w:p>
            <w:r/>
            <w:r>
              <w:rPr>
                <w:rFonts w:ascii="Arial" w:hAnsi="Arial"/>
                <w:b w:val="0"/>
                <w:sz w:val="16"/>
              </w:rPr>
              <w:t>Browser blocks local scripts.</w:t>
            </w:r>
          </w:p>
        </w:tc>
        <w:tc>
          <w:tcPr>
            <w:tcW w:type="dxa" w:w="3969"/>
            <w:vAlign w:val="center"/>
          </w:tcPr>
          <w:p>
            <w:r/>
            <w:r>
              <w:rPr>
                <w:rFonts w:ascii="Arial" w:hAnsi="Arial"/>
                <w:b w:val="0"/>
                <w:sz w:val="16"/>
              </w:rPr>
              <w:t>Serve the directory through python -m http.server 8080.</w:t>
            </w:r>
          </w:p>
        </w:tc>
      </w:tr>
      <w:tr>
        <w:trPr>
          <w:cantSplit/>
        </w:trPr>
        <w:tc>
          <w:tcPr>
            <w:tcW w:type="dxa" w:w="2381"/>
            <w:vAlign w:val="center"/>
            <w:shd w:fill="F1F6F4"/>
          </w:tcPr>
          <w:p>
            <w:r/>
            <w:r>
              <w:rPr>
                <w:rFonts w:ascii="Arial" w:hAnsi="Arial"/>
                <w:b w:val="0"/>
                <w:sz w:val="16"/>
              </w:rPr>
              <w:t>Manual link fails</w:t>
            </w:r>
          </w:p>
        </w:tc>
        <w:tc>
          <w:tcPr>
            <w:tcW w:type="dxa" w:w="3458"/>
            <w:vAlign w:val="center"/>
            <w:shd w:fill="F1F6F4"/>
          </w:tcPr>
          <w:p>
            <w:r/>
            <w:r>
              <w:rPr>
                <w:rFonts w:ascii="Arial" w:hAnsi="Arial"/>
                <w:b w:val="0"/>
                <w:sz w:val="16"/>
              </w:rPr>
              <w:t>The DOCX was not uploaded with the application.</w:t>
            </w:r>
          </w:p>
        </w:tc>
        <w:tc>
          <w:tcPr>
            <w:tcW w:type="dxa" w:w="3969"/>
            <w:vAlign w:val="center"/>
            <w:shd w:fill="F1F6F4"/>
          </w:tcPr>
          <w:p>
            <w:r/>
            <w:r>
              <w:rPr>
                <w:rFonts w:ascii="Arial" w:hAnsi="Arial"/>
                <w:b w:val="0"/>
                <w:sz w:val="16"/>
              </w:rPr>
            </w:r>
            <w:r>
              <w:t>Keep K-NanoMFA_User_Manual_v1.2.docx in the application root.</w:t>
            </w:r>
          </w:p>
        </w:tc>
      </w:tr>
    </w:tbl>
    <w:p>
      <w:pPr>
        <w:spacing w:after="20"/>
      </w:pPr>
    </w:p>
    <w:p>
      <w:r/>
    </w:p>
    <w:p>
      <w:pPr>
        <w:pStyle w:val="Heading1"/>
      </w:pPr>
      <w:r>
        <w:t>17. Scientific limitations, license, and disclaimer</w:t>
      </w:r>
    </w:p>
    <w:p>
      <w:pPr>
        <w:pStyle w:val="Heading2"/>
      </w:pPr>
      <w:r>
        <w:t>17.1 Scientific limitations</w:t>
      </w:r>
    </w:p>
    <w:p>
      <w:pPr>
        <w:pStyle w:val="ListBullet"/>
      </w:pPr>
      <w:r>
        <w:t>Bundled market and product assumptions are not measured national nanomaterial inventories.</w:t>
      </w:r>
    </w:p>
    <w:p>
      <w:pPr>
        <w:pStyle w:val="ListBullet"/>
      </w:pPr>
      <w:r>
        <w:t>Geographic downscaling by population, sewered population, or wastewater flow is a transparent proxy.</w:t>
      </w:r>
    </w:p>
    <w:p>
      <w:pPr>
        <w:pStyle w:val="ListBullet"/>
      </w:pPr>
      <w:r>
        <w:t>The base PEC module does not explicitly simulate aggregation, dissolution, sedimentation, resuspension, or spatial hydrology.</w:t>
      </w:r>
    </w:p>
    <w:p>
      <w:pPr>
        <w:pStyle w:val="ListBullet"/>
      </w:pPr>
      <w:r>
        <w:t>The reduced-form multimedia model uses first-order rates and requires independent parameter justification.</w:t>
      </w:r>
    </w:p>
    <w:p>
      <w:pPr>
        <w:pStyle w:val="ListBullet"/>
      </w:pPr>
      <w:r>
        <w:t>Analytical observations may track total elements, engineered particles, pristine nanoforms, transformed particles, or mixed size classes.</w:t>
      </w:r>
    </w:p>
    <w:p>
      <w:pPr>
        <w:pStyle w:val="ListBullet"/>
      </w:pPr>
      <w:r>
        <w:t>Benchmark agreement is not proof of predictive accuracy.</w:t>
      </w:r>
    </w:p>
    <w:p>
      <w:pPr>
        <w:pStyle w:val="Heading2"/>
      </w:pPr>
      <w:r>
        <w:t>17.2 License</w:t>
      </w:r>
    </w:p>
    <w:p>
      <w:r>
        <w:t>K-NanoMFA is distributed under the MIT License. Free use, copying, modification, and redistribution are permitted when copyright and license notices are retained. Scientific publications and derivative tools should identify the software version and acknowledge the developer.</w:t>
      </w:r>
    </w:p>
    <w:p>
      <w:pPr>
        <w:pStyle w:val="Heading2"/>
      </w:pPr>
      <w:r>
        <w:t>17.3 Research-use disclaimer</w:t>
      </w:r>
    </w:p>
    <w:p>
      <w:r>
        <w:t>K-NanoMFA provides screening-level MFA and PEC estimates. Outputs depend on user inputs, bundled priors, model structure, and uncertainty settings. They do not constitute regulatory, legal, engineering, environmental-compliance, health, or site-specific advice. Users are responsible for validating inputs, selecting appropriate assumptions, interpreting outputs, and independently verifying decisions based on the results.</w:t>
      </w:r>
    </w:p>
    <w:p>
      <w:r>
        <w:t>To the maximum extent permitted by applicable law, the software is provided “as is,” without express or implied warranty. The developer shall not be liable for claims, inaccurate results, data loss, or direct, indirect, incidental, special, or consequential damages arising from use of or reliance on the software. Kwangwoon University is listed as the developer’s affiliation and this does not imply institutional endorsement or acceptance of liability.</w:t>
      </w:r>
    </w:p>
    <w:p>
      <w:r/>
    </w:p>
    <w:p>
      <w:pPr>
        <w:pStyle w:val="Heading1"/>
      </w:pPr>
      <w:r>
        <w:t>18. References</w:t>
      </w:r>
    </w:p>
    <w:p>
      <w:pPr>
        <w:ind w:hanging="340" w:left="340"/>
      </w:pPr>
      <w:r>
        <w:t>Gottschalk, F., Sonderer, T., Scholz, R.W., Nowack, B., 2009. Modeled environmental concentrations of engineered nanomaterials (TiO₂, ZnO, Ag, CNT, fullerenes) for different regions. Environmental Science &amp; Technology 43, 9216–9222. https://doi.org/10.1021/es9015553.</w:t>
      </w:r>
    </w:p>
    <w:p>
      <w:pPr>
        <w:ind w:hanging="340" w:left="340"/>
      </w:pPr>
      <w:r>
        <w:t>Sun, T.Y., Gottschalk, F., Hungerbühler, K., Nowack, B., 2014. Comprehensive probabilistic modelling of environmental emissions of engineered nanomaterials. Environmental Pollution 185, 69–76. https://doi.org/10.1016/j.envpol.2013.10.004.</w:t>
      </w:r>
    </w:p>
    <w:p>
      <w:pPr>
        <w:ind w:hanging="340" w:left="340"/>
      </w:pPr>
      <w:r>
        <w:t>Sun, T.Y., Bornhöft, N.A., Hungerbühler, K., Nowack, B., 2016. Dynamic probabilistic modeling of environmental emissions of engineered nanomaterials. Environmental Science &amp; Technology 50, 4701–4711. https://doi.org/10.1021/acs.est.5b05828.</w:t>
      </w:r>
    </w:p>
    <w:p>
      <w:pPr>
        <w:ind w:hanging="340" w:left="340"/>
      </w:pPr>
      <w:r>
        <w:t>Wang, Y., Nowack, B., 2018. Dynamic probabilistic material flow analysis of nano-SiO₂, nano iron oxides, nano-CeO₂, nano-Al₂O₃, and quantum dots in seven European regions. Environmental Pollution 235, 589–601. https://doi.org/10.1016/j.envpol.2018.01.004.</w:t>
      </w:r>
    </w:p>
    <w:p>
      <w:pPr>
        <w:ind w:hanging="340" w:left="340"/>
      </w:pPr>
      <w:r>
        <w:t>Rajkovic, S., Bornhöft, N.A., van der Weijden, R., Nowack, B., Adam, V., 2020. Dynamic probabilistic material flow analysis of engineered nanomaterials in European waste treatment systems. Waste Management 113, 118–131. https://doi.org/10.1016/j.wasman.2020.05.032.</w:t>
      </w:r>
    </w:p>
    <w:p>
      <w:pPr>
        <w:ind w:hanging="340" w:left="340"/>
      </w:pPr>
      <w:r>
        <w:t>Nabi, M.M., Wang, J., Meyer, M., Croteau, M.N., Ismail, N., Baalousha, M., 2021. Concentrations and size distribution of TiO₂ and Ag engineered particles in five wastewater treatment plants in the United States. Science of the Total Environment 753, 142017. https://doi.org/10.1016/j.scitotenv.2020.142017.</w:t>
      </w:r>
    </w:p>
    <w:p>
      <w:pPr>
        <w:ind w:hanging="340" w:left="340"/>
      </w:pPr>
      <w:r>
        <w:t>Hong, H., Part, F., Nowack, B., 2022. Prospective dynamic and probabilistic material flow analysis of graphene-based materials in Europe from 2004 to 2030. Environmental Science &amp; Technology 56, 13798–13809. https://doi.org/10.1021/acs.est.2c04002.</w:t>
      </w:r>
    </w:p>
    <w:p>
      <w:pPr>
        <w:ind w:hanging="340" w:left="340"/>
      </w:pPr>
      <w:r>
        <w:t>Hong, H., Part, F., Nowack, B., 2024. Correction to “Prospective Dynamic and Probabilistic Material Flow Analysis of Graphene-Based Materials in Europe from 2004 to 2030.” Environmental Science &amp; Technology. https://doi.org/10.1021/acs.est.4c07878.</w:t>
      </w:r>
    </w:p>
    <w:p>
      <w:pPr>
        <w:ind w:hanging="340" w:left="340"/>
      </w:pPr>
      <w:r>
        <w:t>Meesters, J.A.J., Koelmans, A.A., Quik, J.T.K., Hendriks, A.J., van de Meent, D., 2014. Multimedia modeling of engineered nanoparticles with SimpleBox4nano: model definition and evaluation. Environmental Science &amp; Technology 48, 5726–5736. https://doi.org/10.1021/es500548h.</w:t>
      </w:r>
    </w:p>
    <w:p>
      <w:r/>
    </w:p>
    <w:p>
      <w:pPr/>
      <w:r>
        <w:t>OECD, 2018. Considerations for Assessing the Risks of Combined Exposure to Multiple Chemicals. OECD Series on Testing and Assessment No. 296. https://doi.org/10.1787/ceca15a9-en.</w:t>
      </w:r>
    </w:p>
    <w:p>
      <w:pPr/>
      <w:r>
        <w:t>World Health Organization, 2009. Assessment of Combined Exposures to Multiple Chemicals: Report of a WHO/IPCS International Workshop on Aggregate/Cumulative Risk Assessment. ISBN 978-92-4-156383-3.</w:t>
      </w:r>
    </w:p>
    <w:p>
      <w:pPr/>
      <w:r>
        <w:t>World Health Organization, 2017. Chemical Mixtures in Source Water and Drinking-Water. ISBN 978-92-4-151237-4.</w:t>
      </w:r>
    </w:p>
    <w:p>
      <w:pPr/>
      <w:r>
        <w:t>EFSA Scientific Committee, 2019. Guidance on harmonised methodologies for human health, animal health and ecological risk assessment of combined exposure to multiple chemicals. EFSA Journal 17, 5634.</w:t>
      </w:r>
    </w:p>
    <w:p>
      <w:pPr/>
      <w:r>
        <w:t>OECD, 2019. Guidance Document on Aquatic Toxicity Testing of Difficult Substances and Mixtures. https://doi.org/10.1787/0ed2f88e-en.</w:t>
      </w:r>
    </w:p>
    <w:p>
      <w:pPr>
        <w:spacing w:before="2000"/>
        <w:jc w:val="center"/>
      </w:pPr>
      <w:r>
        <w:rPr>
          <w:b/>
          <w:color w:val="0B6B57"/>
          <w:sz w:val="48"/>
        </w:rPr>
        <w:t>K-NanoMFA v1.2</w:t>
      </w:r>
    </w:p>
    <w:p>
      <w:pPr>
        <w:jc w:val="center"/>
      </w:pPr>
      <w:r>
        <w:t>Screening-level nanomaterial material-flow analysis, environmental PEC estimation, multi-material co-exposure, uncertainty analysis, and literature plausibility checking.</w:t>
      </w:r>
    </w:p>
    <w:p>
      <w:pPr>
        <w:spacing w:before="600"/>
        <w:jc w:val="center"/>
      </w:pPr>
      <w:r>
        <w:t>Prof. Younghun Kim</w:t>
        <w:br/>
        <w:t>Kwangwoon University</w:t>
        <w:br/>
        <w:t>korea1@kw.ac.kr</w:t>
      </w:r>
    </w:p>
    <w:sectPr w:rsidR="00FC693F" w:rsidRPr="0006063C" w:rsidSect="00034616">
      <w:headerReference w:type="default" r:id="rId9"/>
      <w:footerReference w:type="default" r:id="rId10"/>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6965"/>
        <w:sz w:val="16"/>
      </w:rPr>
      <w:t xml:space="preserve">Prof. Younghun Kim · Kwangwoon University · </w:t>
    </w:r>
    <w:r>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965"/>
        <w:sz w:val="16"/>
      </w:rPr>
      <w:t>K-NanoMFA v1.2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6B5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84E4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D4D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6B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Note">
    <w:name w:val="Manual Note"/>
    <w:pPr>
      <w:spacing w:before="80" w:after="120"/>
      <w:ind w:left="198" w:right="113"/>
    </w:pPr>
    <w:rPr>
      <w:rFonts w:ascii="Arial" w:hAnsi="Arial"/>
      <w:color w:val="465450"/>
      <w:sz w:val="19"/>
    </w:rPr>
  </w:style>
  <w:style w:type="paragraph" w:customStyle="1" w:styleId="CaptionSmall">
    <w:name w:val="Caption Small"/>
    <w:pPr>
      <w:jc w:val="center"/>
    </w:pPr>
    <w:rPr>
      <w:rFonts w:ascii="Arial" w:hAnsi="Arial"/>
      <w:i/>
      <w:color w:val="5A696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K-NanoMFA User Manual v1.2</dc:title>
  <dc:subject>Multi-material and co-exposure material-flow analysis user manual</dc:subject>
  <dc:creator>Prof. Younghun Kim, Kwangwoon University</dc:creator>
  <cp:keywords>nanomaterial, MFA, co-exposure, mixture, PEC, uncertainty</cp:keywords>
  <dc:description>K-NanoMFA v1.0 guided and literature-validated edition.</dc:description>
  <cp:lastModifiedBy/>
  <cp:revision>1</cp:revision>
  <dcterms:created xsi:type="dcterms:W3CDTF">2013-12-23T23:15:00Z</dcterms:created>
  <dcterms:modified xsi:type="dcterms:W3CDTF">2013-12-23T23:15:00Z</dcterms:modified>
  <cp:category/>
</cp:coreProperties>
</file>