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ReferenceDataValue / ReferenceDataDefinition — Architectural Analysis Report</w:t>
      </w:r>
    </w:p>
    <w:p>
      <w:r>
        <w:rPr>
          <w:i/>
        </w:rPr>
        <w:t xml:space="preserve">Generated: static analysis of TriVita repository. </w:t>
      </w:r>
    </w:p>
    <w:p>
      <w:pPr>
        <w:pStyle w:val="Heading1"/>
      </w:pPr>
      <w:r>
        <w:t>1. Summary (high-level architecture)</w:t>
      </w:r>
    </w:p>
    <w:p>
      <w:pPr>
        <w:pStyle w:val="ListBullet"/>
      </w:pPr>
      <w:r>
        <w:t>Canonical relational model (SQL scripts): dbo.ReferenceDataDefinition and dbo.ReferenceDataValue in shared domain (01_SharedDomain.sql) — tenant-scoped definition + value pairs used as enum-like masters and as FK targets across Patient, Doctor, Pharmacy, HMS, LIS, LMS, Communication, Identity enhancement scripts, etc.</w:t>
      </w:r>
    </w:p>
    <w:p>
      <w:pPr>
        <w:pStyle w:val="ListBullet"/>
      </w:pPr>
      <w:r>
        <w:t>EF Core entity names in code: Only PharmacyService defines PhrReferenceDataDefinition and PhrReferenceDataValue. Other modules do not map ReferenceDataValue to C# entities; they store long foreign keys (*ReferenceValueId) intended to match rows in ReferenceDataValue per SQL contracts.</w:t>
      </w:r>
    </w:p>
    <w:p>
      <w:pPr>
        <w:pStyle w:val="ListBullet"/>
      </w:pPr>
      <w:r>
        <w:t>Runtime writes to PhrReferenceData* from application code: PhrMedicineFormService (dosage forms) and PhrSupplierService (supplier master implemented on top of reference values, not on PhrSupplier).</w:t>
      </w:r>
    </w:p>
    <w:p>
      <w:pPr>
        <w:pStyle w:val="ListBullet"/>
      </w:pPr>
      <w:r>
        <w:t>Unified database: HealthcareDbContext composes all module assemblies (including Pharmacy configurations), so pharmacy.ReferenceDataDefinition / pharmacy.ReferenceDataValue appear in migrations/snapshot when module schemas are used.</w:t>
      </w:r>
    </w:p>
    <w:p>
      <w:pPr>
        <w:pStyle w:val="Heading1"/>
      </w:pPr>
      <w:r>
        <w:t>Section 1: Entity &amp; DB analysis</w:t>
      </w:r>
    </w:p>
    <w:p>
      <w:pPr>
        <w:pStyle w:val="Heading2"/>
      </w:pPr>
      <w:r>
        <w:t>1.1 Entity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Type 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Reference value</w:t>
            </w:r>
          </w:p>
        </w:tc>
        <w:tc>
          <w:tcPr>
            <w:tcW w:type="dxa" w:w="2880"/>
          </w:tcPr>
          <w:p>
            <w:r>
              <w:t>PhrReferenceDataValue</w:t>
            </w:r>
          </w:p>
        </w:tc>
        <w:tc>
          <w:tcPr>
            <w:tcW w:type="dxa" w:w="2880"/>
          </w:tcPr>
          <w:p>
            <w:r>
              <w:t>PharmacyService/.../PhrReferenceDataValue.cs</w:t>
            </w:r>
          </w:p>
        </w:tc>
      </w:tr>
      <w:tr>
        <w:tc>
          <w:tcPr>
            <w:tcW w:type="dxa" w:w="2880"/>
          </w:tcPr>
          <w:p>
            <w:r>
              <w:t>Definition (group)</w:t>
            </w:r>
          </w:p>
        </w:tc>
        <w:tc>
          <w:tcPr>
            <w:tcW w:type="dxa" w:w="2880"/>
          </w:tcPr>
          <w:p>
            <w:r>
              <w:t>PhrReferenceDataDefinition</w:t>
            </w:r>
          </w:p>
        </w:tc>
        <w:tc>
          <w:tcPr>
            <w:tcW w:type="dxa" w:w="2880"/>
          </w:tcPr>
          <w:p>
            <w:r>
              <w:t>PharmacyService/.../PhrReferenceDataDefinition.cs</w:t>
            </w:r>
          </w:p>
        </w:tc>
      </w:tr>
    </w:tbl>
    <w:p>
      <w:r>
        <w:t>Both inherit BaseEntity (Healthcare.Common): Id, TenantId, FacilityId, IsActive, IsDeleted, audit fields, RowVersion.</w:t>
      </w:r>
    </w:p>
    <w:p>
      <w:pPr>
        <w:pStyle w:val="Heading3"/>
      </w:pPr>
      <w:r>
        <w:t>Payload columns</w:t>
      </w:r>
    </w:p>
    <w:p>
      <w:r>
        <w:t>PhrReferenceDataDefinition: DefinitionCode, DefinitionName, Description</w:t>
      </w:r>
    </w:p>
    <w:p>
      <w:r>
        <w:t>PhrReferenceDataValue: ReferenceDataDefinitionId, ValueCode, ValueName, ValueText, SortOrder</w:t>
      </w:r>
    </w:p>
    <w:p>
      <w:pPr>
        <w:pStyle w:val="Heading2"/>
      </w:pPr>
      <w:r>
        <w:t>1.2 Table mapping</w:t>
      </w:r>
    </w:p>
    <w:p>
      <w:r>
        <w:t>EF snapshot (module schemas): pharmacy.ReferenceDataDefinition, pharmacy.ReferenceDataValue — columns align with BaseEntity + definition/value fields (HealthcareDbContextModelSnapshot).</w:t>
      </w:r>
    </w:p>
    <w:p>
      <w:r>
        <w:t>SQL script (01_SharedDomain.sql): dbo.ReferenceDataDefinition, dbo.ReferenceDataValue with composite FKs and uniqueness as documented in shared domain scripts.</w:t>
      </w:r>
    </w:p>
    <w:p>
      <w:pPr>
        <w:pStyle w:val="Heading2"/>
      </w:pPr>
      <w:r>
        <w:t>1.3 DbContext ownership</w:t>
      </w:r>
    </w:p>
    <w:p>
      <w:r>
        <w:t>PharmacyDbContext: Yes — DbSet&lt;PhrReferenceDataDefinition&gt;, DbSet&lt;PhrReferenceDataValue&gt;.</w:t>
      </w:r>
    </w:p>
    <w:p>
      <w:r>
        <w:t>HealthcareDbContext (unified): Yes in model/migrations via ApplyConfigurationsFromAssembly(PharmacyDbContext assembly); partial DbSets file may not name these sets; snapshot still includes entities.</w:t>
      </w:r>
    </w:p>
    <w:p>
      <w:r>
        <w:t>HmsDbContext, LisDbContext, LmsDbContext, SharedDbContext, CommunicationDbContext, IdentityDbContext: No EF entities for ReferenceDataValue.</w:t>
      </w:r>
    </w:p>
    <w:p>
      <w:pPr>
        <w:pStyle w:val="Heading1"/>
      </w:pPr>
      <w:r>
        <w:t>Section 2: DB context usage</w:t>
      </w:r>
    </w:p>
    <w:p>
      <w:r>
        <w:t>PharmacyDbContext lists PhrReferenceDataDefinitions and PhrReferenceDataValues among other pharmacy DbSets (see PharmacyDbContext.cs).</w:t>
      </w:r>
    </w:p>
    <w:p>
      <w:r>
        <w:t>Other contexts: no ReferenceData* DbSets; many entities use *ReferenceValueId scalar columns only.</w:t>
      </w:r>
    </w:p>
    <w:p>
      <w:r>
        <w:t>PharmacyService is the only service layer that uses EF against PhrReferenceData* through repositories wired to PharmacyDbContext.</w:t>
      </w:r>
    </w:p>
    <w:p>
      <w:pPr>
        <w:pStyle w:val="Heading1"/>
      </w:pPr>
      <w:r>
        <w:t>Section 3: Service layer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</w:tr>
      <w:tr>
        <w:tc>
          <w:tcPr>
            <w:tcW w:type="dxa" w:w="2160"/>
          </w:tcPr>
          <w:p>
            <w:r>
              <w:t>PhrMedicineFormService</w:t>
            </w:r>
          </w:p>
        </w:tc>
        <w:tc>
          <w:tcPr>
            <w:tcW w:type="dxa" w:w="2160"/>
          </w:tcPr>
          <w:p>
            <w:r>
              <w:t>GetById, GetPaged, Create, Update, Delete</w:t>
            </w:r>
          </w:p>
        </w:tc>
        <w:tc>
          <w:tcPr>
            <w:tcW w:type="dxa" w:w="2160"/>
          </w:tcPr>
          <w:p>
            <w:r>
              <w:t>CRUD for dosage forms as PhrReferenceDataValue; definition TRIVITA_PHARMACY_MEDICINE_FORM</w:t>
            </w:r>
          </w:p>
        </w:tc>
        <w:tc>
          <w:tcPr>
            <w:tcW w:type="dxa" w:w="2160"/>
          </w:tcPr>
          <w:p>
            <w:r>
              <w:t>Pharmacy</w:t>
            </w:r>
          </w:p>
        </w:tc>
      </w:tr>
      <w:tr>
        <w:tc>
          <w:tcPr>
            <w:tcW w:type="dxa" w:w="2160"/>
          </w:tcPr>
          <w:p>
            <w:r>
              <w:t>PhrSupplierService</w:t>
            </w:r>
          </w:p>
        </w:tc>
        <w:tc>
          <w:tcPr>
            <w:tcW w:type="dxa" w:w="2160"/>
          </w:tcPr>
          <w:p>
            <w:r>
              <w:t>GetById, GetPaged, Create, Update, Delete</w:t>
            </w:r>
          </w:p>
        </w:tc>
        <w:tc>
          <w:tcPr>
            <w:tcW w:type="dxa" w:w="2160"/>
          </w:tcPr>
          <w:p>
            <w:r>
              <w:t>CRUD for suppliers as PhrReferenceDataValue; definition TRIVITA_PHARMACY_SUPPLIER; ValueText for extended fields</w:t>
            </w:r>
          </w:p>
        </w:tc>
        <w:tc>
          <w:tcPr>
            <w:tcW w:type="dxa" w:w="2160"/>
          </w:tcPr>
          <w:p>
            <w:r>
              <w:t>Pharmacy</w:t>
            </w:r>
          </w:p>
        </w:tc>
      </w:tr>
    </w:tbl>
    <w:p>
      <w:r>
        <w:t>HMS/LIS/LMS/Communication: persist long IDs only; no PhrReferenceData* types.</w:t>
      </w:r>
    </w:p>
    <w:p>
      <w:pPr>
        <w:pStyle w:val="Heading1"/>
      </w:pPr>
      <w:r>
        <w:t>Section 4: API analysis</w:t>
      </w:r>
    </w:p>
    <w:p>
      <w:r>
        <w:t>/api/v{version}/medicine-form — GET by id, GET paged, POST, PUT, DELETE — Pharmacy — Medicine dosage form master.</w:t>
      </w:r>
    </w:p>
    <w:p>
      <w:r>
        <w:t>/api/v{version}/supplier — GET by id, GET paged, POST, PUT, DELETE — Pharmacy — Supplier master.</w:t>
      </w:r>
    </w:p>
    <w:p>
      <w:r>
        <w:t>Indirect: Medicine APIs use FormReferenceValueId DTO fields pointing at ReferenceDataValue FK.</w:t>
      </w:r>
    </w:p>
    <w:p>
      <w:pPr>
        <w:pStyle w:val="Heading1"/>
      </w:pPr>
      <w:r>
        <w:t>Section 5: Module-wise usage</w:t>
      </w:r>
    </w:p>
    <w:p>
      <w:r>
        <w:t>Pharmacy: EF CRUD for form + supplier definitions; Medicine.FormReferenceValueId; transactional *ReferenceValueId on PO/GRN/sales/stock/etc.</w:t>
      </w:r>
    </w:p>
    <w:p>
      <w:r>
        <w:t>HMS/LIS/LMS: widespread *ReferenceValueId on entities; no EF ReferenceDataValue entity.</w:t>
      </w:r>
    </w:p>
    <w:p>
      <w:r>
        <w:t>Shared: dbo.ReferenceData* in SQL; SharedDbContext has no reference tables.</w:t>
      </w:r>
    </w:p>
    <w:p>
      <w:r>
        <w:t>Communication: ReferenceValueIds in appsettings; entities store IDs.</w:t>
      </w:r>
    </w:p>
    <w:p>
      <w:r>
        <w:t>Identity: optional *ReferenceValueId columns on some entities.</w:t>
      </w:r>
    </w:p>
    <w:p>
      <w:pPr>
        <w:pStyle w:val="Heading1"/>
      </w:pPr>
      <w:r>
        <w:t>Section 6: UI (portal) usage</w:t>
      </w:r>
    </w:p>
    <w:p>
      <w:pPr>
        <w:pStyle w:val="ListBullet"/>
      </w:pPr>
      <w:r>
        <w:t>FormMasterPage — CRUD via medicine-form API.</w:t>
      </w:r>
    </w:p>
    <w:p>
      <w:pPr>
        <w:pStyle w:val="ListBullet"/>
      </w:pPr>
      <w:r>
        <w:t>MedicineMasterPage — form dropdown via pharmacyLookups / getMedicineFormPaged; formReferenceValueId on save.</w:t>
      </w:r>
    </w:p>
    <w:p>
      <w:pPr>
        <w:pStyle w:val="ListBullet"/>
      </w:pPr>
      <w:r>
        <w:t>SupplierMasterPage — supplier API.</w:t>
      </w:r>
    </w:p>
    <w:p>
      <w:pPr>
        <w:pStyle w:val="ListBullet"/>
      </w:pPr>
      <w:r>
        <w:t>PharmacyPurchaseOrderWorkspace — getSupplierPaged for supplier dropdown.</w:t>
      </w:r>
    </w:p>
    <w:p>
      <w:pPr>
        <w:pStyle w:val="ListBullet"/>
      </w:pPr>
      <w:r>
        <w:t>pharmacyLookups.ts — aggregates form (and unit/composition) options.</w:t>
      </w:r>
    </w:p>
    <w:p>
      <w:pPr>
        <w:pStyle w:val="Heading1"/>
      </w:pPr>
      <w:r>
        <w:t>Section 7: Data flow</w:t>
      </w:r>
    </w:p>
    <w:p>
      <w:r>
        <w:t>Category: MedicineCategory APIs → PhrMedicineCategory → dedicated table (not ReferenceDataValue).</w:t>
      </w:r>
    </w:p>
    <w:p>
      <w:r>
        <w:t>Unit: Unit APIs → PhrUnit → Unit table (not ReferenceDataValue).</w:t>
      </w:r>
    </w:p>
    <w:p>
      <w:r>
        <w:t>Supplier: Supplier API → PhrSupplierService → PhrReferenceDataValue (note: PhrSupplier table exists but service uses reference rows).</w:t>
      </w:r>
    </w:p>
    <w:p>
      <w:r>
        <w:t>Form: medicine-form API → PhrMedicineFormService → PhrReferenceDataValue. Medicine links via FormReferenceValueId.</w:t>
      </w:r>
    </w:p>
    <w:p>
      <w:pPr>
        <w:pStyle w:val="Heading1"/>
      </w:pPr>
      <w:r>
        <w:t>Section 8: Duplication / conflict check</w:t>
      </w:r>
    </w:p>
    <w:p>
      <w:r>
        <w:t>Medicine: dedicated Medicine row + FormReferenceValueId to ReferenceDataValue — intentional split.</w:t>
      </w:r>
    </w:p>
    <w:p>
      <w:r>
        <w:t>Supplier: CONFLICT — PhrSupplier / pharmacy.Supplier table exists (migration AddPharmacySupplierMaster) but PhrSupplierService reads/writes only PhrReferenceDataValue.</w:t>
      </w:r>
    </w:p>
    <w:p>
      <w:pPr>
        <w:pStyle w:val="Heading1"/>
      </w:pPr>
      <w:r>
        <w:t>Section 9: Configuration analysis</w:t>
      </w:r>
    </w:p>
    <w:p>
      <w:r>
        <w:t>Sample appsettings use ConnectionStrings:DefaultConnection to Database=TriVita for Pharmacy, HMS, Communication — single logical DB for local dev.</w:t>
      </w:r>
    </w:p>
    <w:p>
      <w:r>
        <w:t>Communication: Communication:ReferenceValueIds must match seeded ReferenceDataValue.Id values.</w:t>
      </w:r>
    </w:p>
    <w:p>
      <w:r>
        <w:t>README may mention CommunicationDatabase as alternate connection name.</w:t>
      </w:r>
    </w:p>
    <w:p>
      <w:pPr>
        <w:pStyle w:val="Heading1"/>
      </w:pPr>
      <w:r>
        <w:t>Section 10: Dependency map</w:t>
      </w:r>
    </w:p>
    <w:p>
      <w:r>
        <w:t>ReferenceDataValue → Pharmacy EF → PhrMedicineFormService / PhrSupplierService → MedicineFormController / SupplierController → FormMasterPage, MedicineMasterPage (form), SupplierMasterPage, PO workspace.</w:t>
      </w:r>
    </w:p>
    <w:p>
      <w:r>
        <w:t>Plus: cross-module *ReferenceValueId columns without EF entity.</w:t>
      </w:r>
    </w:p>
    <w:p>
      <w:pPr>
        <w:pStyle w:val="Heading1"/>
      </w:pPr>
      <w:r>
        <w:t>Section 11: Risk analysis</w:t>
      </w:r>
    </w:p>
    <w:p>
      <w:r>
        <w:t>Removing ReferenceDataValue breaks Pharmacy form/supplier APIs; medicine FK; pharmacy transactional statuses; HMS/LIS/LMS columns; Communication notification pipeline; optional Identity columns.</w:t>
      </w:r>
    </w:p>
    <w:p>
      <w:pPr>
        <w:pStyle w:val="Heading1"/>
      </w:pPr>
      <w:r>
        <w:t>Section 12: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Master</w:t>
            </w:r>
          </w:p>
        </w:tc>
        <w:tc>
          <w:tcPr>
            <w:tcW w:type="dxa" w:w="2160"/>
          </w:tcPr>
          <w:p>
            <w:r>
              <w:t>ReferenceDataValue</w:t>
            </w:r>
          </w:p>
        </w:tc>
        <w:tc>
          <w:tcPr>
            <w:tcW w:type="dxa" w:w="2160"/>
          </w:tcPr>
          <w:p>
            <w:r>
              <w:t>Dedicated table</w:t>
            </w:r>
          </w:p>
        </w:tc>
        <w:tc>
          <w:tcPr>
            <w:tcW w:type="dxa" w:w="2160"/>
          </w:tcPr>
          <w:p>
            <w:r>
              <w:t>Both/conflict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MedicineCategory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Yes (service impl)</w:t>
            </w:r>
          </w:p>
        </w:tc>
        <w:tc>
          <w:tcPr>
            <w:tcW w:type="dxa" w:w="2160"/>
          </w:tcPr>
          <w:p>
            <w:r>
              <w:t>PhrSupplier table exists</w:t>
            </w:r>
          </w:p>
        </w:tc>
        <w:tc>
          <w:tcPr>
            <w:tcW w:type="dxa" w:w="2160"/>
          </w:tcPr>
          <w:p>
            <w:r>
              <w:t>Yes — conflict</w:t>
            </w:r>
          </w:p>
        </w:tc>
      </w:tr>
      <w:tr>
        <w:tc>
          <w:tcPr>
            <w:tcW w:type="dxa" w:w="2160"/>
          </w:tcPr>
          <w:p>
            <w:r>
              <w:t>Form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 separate Form table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Manufacturer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Manufacturer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Composition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Composition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Medicine</w:t>
            </w:r>
          </w:p>
        </w:tc>
        <w:tc>
          <w:tcPr>
            <w:tcW w:type="dxa" w:w="2160"/>
          </w:tcPr>
          <w:p>
            <w:r>
              <w:t>Partial (form FK)</w:t>
            </w:r>
          </w:p>
        </w:tc>
        <w:tc>
          <w:tcPr>
            <w:tcW w:type="dxa" w:w="2160"/>
          </w:tcPr>
          <w:p>
            <w:r>
              <w:t>Medicine table</w:t>
            </w:r>
          </w:p>
        </w:tc>
        <w:tc>
          <w:tcPr>
            <w:tcW w:type="dxa" w:w="2160"/>
          </w:tcPr>
          <w:p>
            <w:r>
              <w:t>No duplicate row</w:t>
            </w:r>
          </w:p>
        </w:tc>
      </w:tr>
    </w:tbl>
    <w:p>
      <w:pPr>
        <w:pStyle w:val="Heading1"/>
      </w:pPr>
      <w:r>
        <w:t>Section 13: Migration impact (conceptual)</w:t>
      </w:r>
    </w:p>
    <w:p>
      <w:r>
        <w:t>DB: replace FKs; reseed modules; resolve dbo vs pharmacy schema strategy.</w:t>
      </w:r>
    </w:p>
    <w:p>
      <w:r>
        <w:t>Services/APIs/UI: redesign all *ReferenceValueId consumers; replace form/supplier services if storage model changes.</w:t>
      </w:r>
    </w:p>
    <w:p>
      <w:r>
        <w:t>Supplier: migrate to PhrSupplier or drop unused table — explicit decision.</w:t>
      </w:r>
    </w:p>
    <w:p>
      <w:pPr>
        <w:pStyle w:val="Heading1"/>
      </w:pPr>
      <w:r>
        <w:t>Section 14: Final recommendations</w:t>
      </w:r>
    </w:p>
    <w:p>
      <w:pPr>
        <w:pStyle w:val="ListNumber"/>
      </w:pPr>
      <w:r>
        <w:t>Freeze scope: Pharmacy-only vs platform-wide enum redesign.</w:t>
      </w:r>
    </w:p>
    <w:p>
      <w:pPr>
        <w:pStyle w:val="ListNumber"/>
      </w:pPr>
      <w:r>
        <w:t>Reconcile supplier: single persistence model (PhrSupplier vs reference-value rows).</w:t>
      </w:r>
    </w:p>
    <w:p>
      <w:pPr>
        <w:pStyle w:val="ListNumber"/>
      </w:pPr>
      <w:r>
        <w:t>Keep ReferenceDataValue for cross-module statuses until a replacement taxonomy and FK migration exist.</w:t>
      </w:r>
    </w:p>
    <w:p>
      <w:pPr>
        <w:pStyle w:val="ListNumber"/>
      </w:pPr>
      <w:r>
        <w:t>Align dbo vs pharmacy reference table deployment.</w:t>
      </w:r>
    </w:p>
    <w:p>
      <w:pPr>
        <w:pStyle w:val="ListNumber"/>
      </w:pPr>
      <w:r>
        <w:t>Communication: update ReferenceValueIds and retest notifications after reference data changes.</w:t>
      </w:r>
    </w:p>
    <w:p/>
    <w:p>
      <w:pPr>
        <w:jc w:val="left"/>
      </w:pPr>
      <w:r>
        <w:t>End of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