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spacing w:before="0" w:after="0"/>
        <w:jc w:val="center"/>
      </w:pPr>
      <w:r>
        <w:rPr>
          <w:b/>
          <w:i w:val="0"/>
          <w:sz w:val="24"/>
        </w:rPr>
        <w:t xml:space="preserve">Министерство науки и высшего образования Российской Федерации</w:t>
      </w:r>
    </w:p>
    <w:p>
      <w:pPr>
        <w:spacing w:before="0" w:after="0"/>
        <w:jc w:val="center"/>
      </w:pPr>
      <w:r>
        <w:rPr>
          <w:b/>
          <w:i w:val="0"/>
          <w:sz w:val="20"/>
        </w:rPr>
        <w:t xml:space="preserve">ФЕДЕРАЛЬНОЕ ГОСУДАРСТВЕННОЕ АВТОНОМНОЕ ОБРАЗОВАТЕЛЬНОЕ УЧРЕЖДЕНИЕ ВЫСШЕГО ОБРАЗОВАНИЯ</w:t>
      </w:r>
    </w:p>
    <w:p>
      <w:pPr>
        <w:spacing w:before="0" w:after="0"/>
        <w:jc w:val="center"/>
      </w:pPr>
      <w:r>
        <w:rPr>
          <w:b/>
          <w:i w:val="0"/>
          <w:sz w:val="26"/>
        </w:rPr>
        <w:t xml:space="preserve">«НАЦИОНАЛЬНЫЙ ИССЛЕДОВАТЕЛЬСКИЙ УНИВЕРСИТЕТ ИТМО»</w:t>
      </w:r>
    </w:p>
    <w:p>
      <w:pPr>
        <w:spacing w:before="0" w:after="0"/>
        <w:jc w:val="center"/>
      </w:pPr>
      <w:r>
        <w:rPr>
          <w:b/>
          <w:i w:val="0"/>
          <w:sz w:val="26"/>
        </w:rPr>
        <w:t xml:space="preserve">(Университет ИТМО)</w:t>
      </w:r>
    </w:p>
    <w:p>
      <w:pPr>
        <w:spacing w:before="0" w:after="0"/>
      </w:pPr>
    </w:p>
    <w:p>
      <w:pPr>
        <w:spacing w:before="0" w:after="0"/>
      </w:pPr>
      <w:r>
        <w:rPr>
          <w:b w:val="0"/>
          <w:i w:val="0"/>
          <w:sz w:val="24"/>
        </w:rPr>
        <w:t xml:space="preserve">Факультет</w:t>
        <w:tab/>
        <w:t xml:space="preserve">Прикладной информатики и математики</w:t>
      </w:r>
    </w:p>
    <w:p>
      <w:pPr>
        <w:spacing w:before="0" w:after="0"/>
      </w:pPr>
    </w:p>
    <w:p>
      <w:pPr>
        <w:spacing w:before="0" w:after="0"/>
      </w:pPr>
      <w:r>
        <w:rPr>
          <w:b w:val="0"/>
          <w:i w:val="0"/>
          <w:sz w:val="24"/>
        </w:rPr>
        <w:t xml:space="preserve">Образовательная программа</w:t>
        <w:tab/>
        <w:t xml:space="preserve">Основы программирования</w:t>
      </w:r>
    </w:p>
    <w:p>
      <w:pPr>
        <w:spacing w:before="0" w:after="0"/>
      </w:pPr>
    </w:p>
    <w:p>
      <w:pPr>
        <w:spacing w:before="0" w:after="0"/>
      </w:pPr>
      <w:r>
        <w:rPr>
          <w:b w:val="0"/>
          <w:i w:val="0"/>
          <w:sz w:val="24"/>
        </w:rPr>
        <w:t xml:space="preserve">Направление подготовки (специальность)</w:t>
        <w:tab/>
        <w:t xml:space="preserve">11.03.02 DevOps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jc w:val="center"/>
      </w:pPr>
      <w:r>
        <w:t>ЛАБОРАТОРНАЯ РАБОТА № 3</w:t>
      </w:r>
    </w:p>
    <w:p>
      <w:pPr>
        <w:spacing w:before="0" w:after="0"/>
      </w:pPr>
    </w:p>
    <w:p>
      <w:pPr>
        <w:spacing w:before="0" w:after="0"/>
        <w:jc w:val="center"/>
      </w:pPr>
      <w:r>
        <w:rPr>
          <w:b/>
          <w:i w:val="0"/>
          <w:sz w:val="24"/>
        </w:rPr>
        <w:t xml:space="preserve"> По дисциплине «Основы программирования»</w:t>
      </w:r>
    </w:p>
    <w:p>
      <w:pPr>
        <w:spacing w:before="0" w:after="0"/>
      </w:pPr>
    </w:p>
    <w:p>
      <w:pPr>
        <w:spacing w:before="0" w:after="0"/>
        <w:jc w:val="center"/>
      </w:pPr>
      <w:r>
        <w:t>Тема: Алгоритмы, коллекции и функции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  <w:r>
        <w:t>Выполнил</w:t>
        <w:tab/>
        <w:t>студент гр. К3121 Джунгуров Д.</w:t>
      </w:r>
    </w:p>
    <w:p>
      <w:pPr>
        <w:spacing w:before="0" w:after="0"/>
      </w:pPr>
      <w:r>
        <w:rPr>
          <w:b/>
          <w:i w:val="0"/>
          <w:sz w:val="24"/>
        </w:rPr>
        <w:t xml:space="preserve">Проверил</w:t>
        <w:tab/>
        <w:tab/>
        <w:tab/>
        <w:tab/>
        <w:tab/>
      </w:r>
    </w:p>
    <w:p>
      <w:pPr>
        <w:spacing w:before="0" w:after="0"/>
      </w:pPr>
      <w:r>
        <w:rPr>
          <w:b/>
          <w:i w:val="0"/>
          <w:sz w:val="24"/>
        </w:rPr>
        <w:t xml:space="preserve">Дата</w:t>
        <w:tab/>
        <w:tab/>
        <w:tab/>
        <w:tab/>
        <w:tab/>
        <w:tab/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jc w:val="center"/>
      </w:pPr>
      <w:r>
        <w:t>Санкт-Петербург 2026</w:t>
      </w:r>
    </w:p>
    <w:p>
      <w:r>
        <w:br w:type="page"/>
      </w:r>
    </w:p>
    <w:p>
      <w:pPr>
        <w:spacing w:before="280" w:after="120" w:line="276" w:lineRule="auto"/>
        <w:jc w:val="left"/>
      </w:pPr>
      <w:r>
        <w:rPr>
          <w:rFonts w:ascii="Times New Roman" w:hAnsi="Times New Roman"/>
          <w:b/>
          <w:i w:val="0"/>
          <w:sz w:val="32"/>
        </w:rPr>
        <w:t>Цель работы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Научиться переводить условие задачи в алгоритм, выбирать подходящую структуру данных и разделять программу на небольшие функции с понятными контрактами.</w:t>
      </w:r>
    </w:p>
    <w:p>
      <w:pPr>
        <w:spacing w:before="280" w:after="120" w:line="276" w:lineRule="auto"/>
        <w:jc w:val="left"/>
      </w:pPr>
      <w:r>
        <w:rPr>
          <w:rFonts w:ascii="Times New Roman" w:hAnsi="Times New Roman"/>
          <w:b/>
          <w:i w:val="0"/>
          <w:sz w:val="32"/>
        </w:rPr>
        <w:t>Ход работы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Задание 1. Условия и классификация данных</w:t>
      </w:r>
    </w:p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Часть 1. Проверка диапазонов и определение уровня (task_1.py)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Программа получает три параметра: числовой результат score (целое число от 0 до 100), тип работы work_type ('exam', 'project', 'practice') и количество пропущенных занятий absences (от 0 до 5). С помощью конструкции if / elif / else в функции validate_input() проверяются допустимые диапазоны: 0 &lt;= score &lt;= 100 и 0 &lt;= absences &lt;= 5. Если хотя бы одно значение выходит за рамки, программа выводит сообщение об ошибке и прекращает классификацию.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Определение уровня студента:</w:t>
        <w:br/>
        <w:t>• 90–100: отличный</w:t>
        <w:br/>
        <w:t>• 75–89: хороший</w:t>
        <w:br/>
        <w:t>• 60–74: удовлетворительный</w:t>
        <w:br/>
        <w:t>• 0–59: недостаточный</w:t>
        <w:br/>
        <w:t>Если пропущено более 3 занятий (absences &gt; 3), уровень снижается на 1 ступень (но не ниже «недостаточный»).</w:t>
        <w:br/>
        <w:t>Для сопоставления типа работы используется match / case (exam → экзаменационная, project → проектная, practice → практическая).</w:t>
      </w:r>
    </w:p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Порядок проверки условий и анализ недостижимых ветвей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В коде используется нисходящий порядок проверки (от большего балла к меньшему): сначала score &gt;= 90, затем score &gt;= 75, затем score &gt;= 60, иначе — недостаточный. Так как Python выходит из цепочки elif при первом истинном условии, каждая ветка срабатывает изолированно.</w:t>
        <w:br/>
        <w:t>Если бы условия проверялись снизу вверх (например, первым проверялось score &gt;= 60), то для любого результата от 60 и выше (включая 75, 90 и 100) срабатывала бы первая же проверка, а ветки score &gt;= 75 и score &gt;= 90 стали бы недостижимыми (мертвым кодом).</w:t>
      </w:r>
    </w:p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Таблица тестовых сценариев (Задание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57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b/>
                <w:sz w:val="21"/>
              </w:rPr>
              <w:t>Балл</w:t>
            </w:r>
          </w:p>
        </w:tc>
        <w:tc>
          <w:tcPr>
            <w:tcW w:type="dxa" w:w="129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b/>
                <w:sz w:val="21"/>
              </w:rPr>
              <w:t>Пропуски</w:t>
            </w:r>
          </w:p>
        </w:tc>
        <w:tc>
          <w:tcPr>
            <w:tcW w:type="dxa" w:w="1584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b/>
                <w:sz w:val="21"/>
              </w:rPr>
              <w:t>Тип работы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b/>
                <w:sz w:val="21"/>
              </w:rPr>
              <w:t>Ожидаемый результат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b/>
                <w:sz w:val="21"/>
              </w:rPr>
              <w:t>Фактический результат</w:t>
            </w:r>
          </w:p>
        </w:tc>
      </w:tr>
      <w:tr>
        <w:tc>
          <w:tcPr>
            <w:tcW w:type="dxa" w:w="57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type="dxa" w:w="129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type="dxa" w:w="1584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practice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практическая работа, недостаточный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практическая работа, недостаточный</w:t>
            </w:r>
          </w:p>
        </w:tc>
      </w:tr>
      <w:tr>
        <w:tc>
          <w:tcPr>
            <w:tcW w:type="dxa" w:w="57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59</w:t>
            </w:r>
          </w:p>
        </w:tc>
        <w:tc>
          <w:tcPr>
            <w:tcW w:type="dxa" w:w="129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584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practice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практическая работа, недостаточный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практическая работа, недостаточный</w:t>
            </w:r>
          </w:p>
        </w:tc>
      </w:tr>
      <w:tr>
        <w:tc>
          <w:tcPr>
            <w:tcW w:type="dxa" w:w="57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60</w:t>
            </w:r>
          </w:p>
        </w:tc>
        <w:tc>
          <w:tcPr>
            <w:tcW w:type="dxa" w:w="129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584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project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проектная работа, удовлетворительный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проектная работа, удовлетворительный</w:t>
            </w:r>
          </w:p>
        </w:tc>
      </w:tr>
      <w:tr>
        <w:tc>
          <w:tcPr>
            <w:tcW w:type="dxa" w:w="57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74</w:t>
            </w:r>
          </w:p>
        </w:tc>
        <w:tc>
          <w:tcPr>
            <w:tcW w:type="dxa" w:w="129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1584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exam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экзаменационная работа, удовлетворительный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экзаменационная работа, удовлетворительный</w:t>
            </w:r>
          </w:p>
        </w:tc>
      </w:tr>
      <w:tr>
        <w:tc>
          <w:tcPr>
            <w:tcW w:type="dxa" w:w="57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75</w:t>
            </w:r>
          </w:p>
        </w:tc>
        <w:tc>
          <w:tcPr>
            <w:tcW w:type="dxa" w:w="129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type="dxa" w:w="1584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practice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практическая работа, хороший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практическая работа, хороший</w:t>
            </w:r>
          </w:p>
        </w:tc>
      </w:tr>
      <w:tr>
        <w:tc>
          <w:tcPr>
            <w:tcW w:type="dxa" w:w="57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89</w:t>
            </w:r>
          </w:p>
        </w:tc>
        <w:tc>
          <w:tcPr>
            <w:tcW w:type="dxa" w:w="129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1584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project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проектная работа, хороший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проектная работа, хороший</w:t>
            </w:r>
          </w:p>
        </w:tc>
      </w:tr>
      <w:tr>
        <w:tc>
          <w:tcPr>
            <w:tcW w:type="dxa" w:w="57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90</w:t>
            </w:r>
          </w:p>
        </w:tc>
        <w:tc>
          <w:tcPr>
            <w:tcW w:type="dxa" w:w="129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1584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exam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экзаменационная работа, отличный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экзаменационная работа, отличный</w:t>
            </w:r>
          </w:p>
        </w:tc>
      </w:tr>
      <w:tr>
        <w:tc>
          <w:tcPr>
            <w:tcW w:type="dxa" w:w="57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8</w:t>
            </w:r>
          </w:p>
        </w:tc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100</w:t>
            </w:r>
          </w:p>
        </w:tc>
        <w:tc>
          <w:tcPr>
            <w:tcW w:type="dxa" w:w="129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0</w:t>
            </w:r>
          </w:p>
        </w:tc>
        <w:tc>
          <w:tcPr>
            <w:tcW w:type="dxa" w:w="1584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project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проектная работа, отличный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проектная работа, отличный</w:t>
            </w:r>
          </w:p>
        </w:tc>
      </w:tr>
      <w:tr>
        <w:tc>
          <w:tcPr>
            <w:tcW w:type="dxa" w:w="57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90</w:t>
            </w:r>
          </w:p>
        </w:tc>
        <w:tc>
          <w:tcPr>
            <w:tcW w:type="dxa" w:w="129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1584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exam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экзаменационная работа, хороший (снижен)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экзаменационная работа, хороший</w:t>
            </w:r>
          </w:p>
        </w:tc>
      </w:tr>
      <w:tr>
        <w:tc>
          <w:tcPr>
            <w:tcW w:type="dxa" w:w="57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60</w:t>
            </w:r>
          </w:p>
        </w:tc>
        <w:tc>
          <w:tcPr>
            <w:tcW w:type="dxa" w:w="129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1584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practice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практическая работа, недостаточный (снижен)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практическая работа, недостаточный</w:t>
            </w:r>
          </w:p>
        </w:tc>
      </w:tr>
    </w:tbl>
    <w:p>
      <w:pPr>
        <w:spacing w:before="0" w:after="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Практическое расширение: пакетная обработка списка из 12 записей показала распределение: отличный — 2, хороший — 3, удовлетворительный — 3, недостаточный — 4.</w:t>
      </w:r>
    </w:p>
    <w:p>
      <w:pPr>
        <w:spacing w:before="160" w:after="160" w:line="276" w:lineRule="auto"/>
        <w:jc w:val="left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Задание 2. Циклы и базовые алгоритмические схемы</w:t>
      </w:r>
    </w:p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Часть 1. Однопроходный анализ измерений (task_2.py)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Исходные данные: measurements = [12, 15, 11, 18, 18, 9, 21, 15, 7, 18].</w:t>
        <w:br/>
        <w:t>Без использования встроенных min(), max(), sum() и count() за один проход цикла for подсчитаны: сумма (144), минимум (7), максимум (21), число четных элементов (4) и длина (10). Вторым проходом найдено количество значений строго выше среднего арифметического 14.4 (получилось 6 чисел).</w:t>
      </w:r>
    </w:p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Псевдокод алгоритмов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1. Однопроходный анализ числового списка:</w:t>
      </w:r>
    </w:p>
    <w:p>
      <w:pPr>
        <w:spacing w:before="60" w:after="80" w:line="252" w:lineRule="auto"/>
        <w:ind w:left="288"/>
      </w:pPr>
      <w:r>
        <w:rPr>
          <w:rFonts w:ascii="Courier New" w:hAnsi="Courier New"/>
          <w:sz w:val="20"/>
        </w:rPr>
        <w:t>АЛГОРИТМ analyze_data(data):</w:t>
        <w:br/>
        <w:t xml:space="preserve">    total = 0, min_v = data[0], max_v = data[0], even_cnt = 0</w:t>
        <w:br/>
        <w:t xml:space="preserve">    ДЛЯ x ИЗ data:</w:t>
        <w:br/>
        <w:t xml:space="preserve">        total = total + x</w:t>
        <w:br/>
        <w:t xml:space="preserve">        ЕСЛИ x &lt; min_v ТО min_v = x</w:t>
        <w:br/>
        <w:t xml:space="preserve">        ЕСЛИ x &gt; max_v ТО max_v = x</w:t>
        <w:br/>
        <w:t xml:space="preserve">        ЕСЛИ x MOD 2 == 0 ТО even_cnt = even_cnt + 1</w:t>
        <w:br/>
        <w:t xml:space="preserve">    mean_v = total / ДЛИНА(data)</w:t>
        <w:br/>
        <w:t xml:space="preserve">    above_mean_cnt = КОЛИЧЕСТВО(x ИЗ data ГДЕ x &gt; mean_v)</w:t>
        <w:br/>
        <w:t xml:space="preserve">    ВОЗВРАТ total, min_v, max_v, even_cnt, mean_v, above_mean_cnt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2. Бинарный поиск в отсортированном списке:</w:t>
      </w:r>
    </w:p>
    <w:p>
      <w:pPr>
        <w:spacing w:before="60" w:after="80" w:line="252" w:lineRule="auto"/>
        <w:ind w:left="288"/>
      </w:pPr>
      <w:r>
        <w:rPr>
          <w:rFonts w:ascii="Courier New" w:hAnsi="Courier New"/>
          <w:sz w:val="20"/>
        </w:rPr>
        <w:t>АЛГОРИТМ binary_search(data, target):</w:t>
        <w:br/>
        <w:t xml:space="preserve">    left = 0, right = ДЛИНА(data) - 1, comps = 0</w:t>
        <w:br/>
        <w:t xml:space="preserve">    ПОКА left &lt;= right:</w:t>
        <w:br/>
        <w:t xml:space="preserve">        comps = comps + 1</w:t>
        <w:br/>
        <w:t xml:space="preserve">        mid = (left + right) DIV 2</w:t>
        <w:br/>
        <w:t xml:space="preserve">        ЕСЛИ data[mid] == target ТО ВОЗВРАТ mid, comps</w:t>
        <w:br/>
        <w:t xml:space="preserve">        ИНАЧЕ ЕСЛИ data[mid] &lt; target ТО left = mid + 1</w:t>
        <w:br/>
        <w:t xml:space="preserve">        ИНАЧЕ right = mid - 1</w:t>
        <w:br/>
        <w:t xml:space="preserve">    ВОЗВРАТ -1, comps</w:t>
      </w:r>
    </w:p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Проверка простоты числа и доказательство ограничения перебора sqrt(n)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Функция is_prime(n) проверяет делители d только до sqrt(n) включительно (d * d &lt;= n).</w:t>
        <w:br/>
        <w:t>Доказательство корректности: пусть n — составное число, то есть n = a * b, где 1 &lt; a &lt;= b &lt; n. Если предположить, что оба делителя строго больше sqrt(n) (a &gt; sqrt(n) и b &gt; sqrt(n)), то их произведение a * b &gt; sqrt(n) * sqrt(n) = n, откуда n &gt; n — противоречие. Следовательно, наименьший делитель составного числа обязан удовлетворять условию a &lt;= sqrt(n). Если на отрезке [2, sqrt(n)] делителей не нашлось, число гарантированно является простым. Временная сложность алгоритма — O(sqrt(n)).</w:t>
      </w:r>
    </w:p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Оценки временной и пространственной сложности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59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b/>
                <w:sz w:val="21"/>
              </w:rPr>
              <w:t>Алгоритм</w:t>
            </w:r>
          </w:p>
        </w:tc>
        <w:tc>
          <w:tcPr>
            <w:tcW w:type="dxa" w:w="1584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b/>
                <w:sz w:val="21"/>
              </w:rPr>
              <w:t>Время (лучшее)</w:t>
            </w:r>
          </w:p>
        </w:tc>
        <w:tc>
          <w:tcPr>
            <w:tcW w:type="dxa" w:w="2160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b/>
                <w:sz w:val="21"/>
              </w:rPr>
              <w:t>Время (худшее / среднее)</w:t>
            </w:r>
          </w:p>
        </w:tc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b/>
                <w:sz w:val="21"/>
              </w:rPr>
              <w:t>Память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b/>
                <w:sz w:val="21"/>
              </w:rPr>
              <w:t>От чего зависит</w:t>
            </w:r>
          </w:p>
        </w:tc>
      </w:tr>
      <w:tr>
        <w:tc>
          <w:tcPr>
            <w:tcW w:type="dxa" w:w="259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Однопроходный анализ</w:t>
            </w:r>
          </w:p>
        </w:tc>
        <w:tc>
          <w:tcPr>
            <w:tcW w:type="dxa" w:w="1584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O(N)</w:t>
            </w:r>
          </w:p>
        </w:tc>
        <w:tc>
          <w:tcPr>
            <w:tcW w:type="dxa" w:w="2160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O(N)</w:t>
            </w:r>
          </w:p>
        </w:tc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O(1)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От длины списка N (2 прохода)</w:t>
            </w:r>
          </w:p>
        </w:tc>
      </w:tr>
      <w:tr>
        <w:tc>
          <w:tcPr>
            <w:tcW w:type="dxa" w:w="259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Линейный поиск</w:t>
            </w:r>
          </w:p>
        </w:tc>
        <w:tc>
          <w:tcPr>
            <w:tcW w:type="dxa" w:w="1584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O(1)</w:t>
            </w:r>
          </w:p>
        </w:tc>
        <w:tc>
          <w:tcPr>
            <w:tcW w:type="dxa" w:w="2160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O(N)</w:t>
            </w:r>
          </w:p>
        </w:tc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O(1)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От позиции элемента (худший — элемента нет)</w:t>
            </w:r>
          </w:p>
        </w:tc>
      </w:tr>
      <w:tr>
        <w:tc>
          <w:tcPr>
            <w:tcW w:type="dxa" w:w="259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Проверка простоты</w:t>
            </w:r>
          </w:p>
        </w:tc>
        <w:tc>
          <w:tcPr>
            <w:tcW w:type="dxa" w:w="1584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O(1)</w:t>
            </w:r>
          </w:p>
        </w:tc>
        <w:tc>
          <w:tcPr>
            <w:tcW w:type="dxa" w:w="2160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O(sqrt(n))</w:t>
            </w:r>
          </w:p>
        </w:tc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O(1)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От величины числа n (худший — n простое)</w:t>
            </w:r>
          </w:p>
        </w:tc>
      </w:tr>
      <w:tr>
        <w:tc>
          <w:tcPr>
            <w:tcW w:type="dxa" w:w="259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Сортировка выбором</w:t>
            </w:r>
          </w:p>
        </w:tc>
        <w:tc>
          <w:tcPr>
            <w:tcW w:type="dxa" w:w="1584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O(N^2)</w:t>
            </w:r>
          </w:p>
        </w:tc>
        <w:tc>
          <w:tcPr>
            <w:tcW w:type="dxa" w:w="2160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O(N^2)</w:t>
            </w:r>
          </w:p>
        </w:tc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O(1)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Всегда N*(N-1)/2 сравнений</w:t>
            </w:r>
          </w:p>
        </w:tc>
      </w:tr>
      <w:tr>
        <w:tc>
          <w:tcPr>
            <w:tcW w:type="dxa" w:w="259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Бинарный поиск</w:t>
            </w:r>
          </w:p>
        </w:tc>
        <w:tc>
          <w:tcPr>
            <w:tcW w:type="dxa" w:w="1584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O(1)</w:t>
            </w:r>
          </w:p>
        </w:tc>
        <w:tc>
          <w:tcPr>
            <w:tcW w:type="dxa" w:w="2160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O(log2 N)</w:t>
            </w:r>
          </w:p>
        </w:tc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O(1)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Диапазон поиска делится пополам</w:t>
            </w:r>
          </w:p>
        </w:tc>
      </w:tr>
    </w:tbl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Сравнительная таблица числа сравнений (эксперимент)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b/>
                <w:sz w:val="21"/>
              </w:rPr>
              <w:t>N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b/>
                <w:sz w:val="21"/>
              </w:rPr>
              <w:t>Случай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b/>
                <w:sz w:val="21"/>
              </w:rPr>
              <w:t>Линейный поиск (сравнений)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b/>
                <w:sz w:val="21"/>
              </w:rPr>
              <w:t>Бинарный поиск (сравнений)</w:t>
            </w:r>
          </w:p>
        </w:tc>
      </w:tr>
      <w:tr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Первый элемент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</w:tr>
      <w:tr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Середина списка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</w:tr>
      <w:tr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Последний элемент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</w:tr>
      <w:tr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Отсутствует (-1)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</w:tr>
      <w:tr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100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Середина списка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51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</w:tr>
      <w:tr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100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Последний элемент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100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7</w:t>
            </w:r>
          </w:p>
        </w:tc>
      </w:tr>
      <w:tr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1000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Середина списка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501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9</w:t>
            </w:r>
          </w:p>
        </w:tc>
      </w:tr>
      <w:tr>
        <w:tc>
          <w:tcPr>
            <w:tcW w:type="dxa" w:w="115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1000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Последний элемент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1000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10</w:t>
            </w:r>
          </w:p>
        </w:tc>
      </w:tr>
    </w:tbl>
    <w:p>
      <w:pPr>
        <w:spacing w:before="0" w:after="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Вывод: при росте выборки в 10 раз (со 100 до 1000 элементов) линейный поиск в худшем случае делает в 10 раз больше сравнений (1000), тогда как бинарный поиск требует лишь 10 сравнений (O(log2 1000) ≈ 10).</w:t>
      </w:r>
    </w:p>
    <w:p>
      <w:pPr>
        <w:spacing w:before="160" w:after="160" w:line="276" w:lineRule="auto"/>
        <w:jc w:val="left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Задание 3. Коллекции и выбор структуры данных</w:t>
      </w:r>
    </w:p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Часть 1. Структуры данных и множества (task_3.py)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По журналу сдачи лабораторных работ построены 5 структур данных:</w:t>
        <w:br/>
        <w:t>• Множество всех студентов (set): {'anna', 'boris', 'daria'}</w:t>
        <w:br/>
        <w:t>• Множество всех сданных работ (set): {'lab_01', 'lab_02'}</w:t>
        <w:br/>
        <w:t>• Словарь попыток каждого студента (dict): student → список (lab, score)</w:t>
        <w:br/>
        <w:t>• Словарь лучших результатов (dict): (student, lab) → max_score</w:t>
        <w:br/>
        <w:t>• Словарь количества попыток (dict): (student, lab) → count</w:t>
        <w:br/>
        <w:t>Студенты, сдававшие обе работы, найдены проверкой вхождения множеств: anna и boris.</w:t>
        <w:br/>
        <w:t>Инкрементальное обновление базы: метод add_submission добавляет новую запись ('daria', 'lab_02', 4) за среднее время O(1) без полного повторного построения структур.</w:t>
      </w:r>
    </w:p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Обоснование выбора коллекций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1. Почему set подходит для хранения уникальных значений: множество устроено на базе динамической хеш-таблицы. При вставке вычисляется хеш объекта. Если элемент уже существует, коллизия равенства отсекает дубликат. Проверка принадлежности in и добавление выполняются в среднем за O(1).</w:t>
        <w:br/>
        <w:t>2. Почему кортеж (tuple) можно использовать как ключ словаря: кортеж — неизменяемый тип (immutable). Его хеш-код вычисляется один раз и не меняется на всем протяжении жизненного цикла объекта (__hash__), что удовлетворяет контракту хешируемого типа (hashable).</w:t>
        <w:br/>
        <w:t>3. Почему список (list) НЕЛЬЗЯ использовать как ключ словаря: список является изменяемым типом (mutable). Если бы список был ключом словаря, изменение его элементов нарушило бы поиск в корзинах хеш-таблицы. Поэтому для списков метод __hash__ не определен (TypeError: unhashable type: 'list').</w:t>
        <w:br/>
        <w:t>4. Почему словарь предпочтительнее списка для поиска по (student, lab): в списке пар поиск требует полного линейного перебора всех элементов за время O(N). В словаре поиск по хешу ключа выполняется мгновенно за O(1).</w:t>
      </w:r>
    </w:p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Практическое расширение: текстовый обработчик запросов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Функция handle_query() принимает текстовые команды:</w:t>
        <w:br/>
        <w:t>• student &lt;name&gt; — попытки студента;</w:t>
        <w:br/>
        <w:t>• best &lt;student&gt; &lt;lab&gt; — лучший результат;</w:t>
        <w:br/>
        <w:t>• attempts &lt;student&gt; &lt;lab&gt; — количество попыток;</w:t>
        <w:br/>
        <w:t>• completed &lt;lab&gt; — студенты, сдававшие работу.</w:t>
        <w:br/>
        <w:t>Запросы обрабатываются безопасно без сбоев при отсутствии ключей или неверных командах.</w:t>
      </w:r>
    </w:p>
    <w:p>
      <w:pPr>
        <w:spacing w:before="160" w:after="160" w:line="276" w:lineRule="auto"/>
        <w:jc w:val="left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Задание 4. Функции, параметры и области видимости</w:t>
      </w:r>
    </w:p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Часть 1. Контракты функций (task_4.py)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• arithmetic_mean(values: list[float]) -&gt; float: возвращает среднее значение списка. При пустом списке выполняет ранний возврат 0.0. Исходный список не изменяется.</w:t>
        <w:br/>
        <w:t>• normalize_name(name: str) -&gt; str: очищает строку от пробелов и капитализирует слова (capitalize()).</w:t>
        <w:br/>
        <w:t>• build_report(student, results, *, precision=2, prefix='Результат'): параметры precision и prefix строго именованные (*). При отсутствии оценок сообщает об отсутствии данных.</w:t>
        <w:br/>
        <w:t>• collect_tags(*tags: str, lowercase: bool = True) -&gt; tuple: принимает переменное число аргументов *tags, удаляет пустые значения и дубликаты с сохранением исходного порядка.</w:t>
        <w:br/>
        <w:t>Для каждой функции написано не менее трех проверок через assert.</w:t>
      </w:r>
    </w:p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Схема областей видимости LEGB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Порядок разрешения имен в Python: Local → Enclosing → Global → Built-in.</w:t>
      </w:r>
    </w:p>
    <w:p>
      <w:pPr>
        <w:spacing w:before="60" w:after="80" w:line="252" w:lineRule="auto"/>
        <w:ind w:left="288"/>
      </w:pPr>
      <w:r>
        <w:rPr>
          <w:rFonts w:ascii="Courier New" w:hAnsi="Courier New"/>
          <w:sz w:val="20"/>
        </w:rPr>
        <w:t>+-------------------------------------------------------------------------+</w:t>
        <w:br/>
        <w:t>| Built-in Scope: len(), print(), range(), TypeError                      |</w:t>
        <w:br/>
        <w:t>|   +-----------------------------------------------------------------+   |</w:t>
        <w:br/>
        <w:t>|   | Global Scope: course = 'Python'                                 |   |</w:t>
        <w:br/>
        <w:t>|   |   +---------------------------------------------------------+   |   |</w:t>
        <w:br/>
        <w:t>|   |   | Enclosing Scope (outer_function): topic = 'Функции'     |   |   |</w:t>
        <w:br/>
        <w:t>|   |   |   +-------------------------------------------------+   |   |   |</w:t>
        <w:br/>
        <w:t>|   |   |   | Local Scope (inner_function):                   |   |   |   |</w:t>
        <w:br/>
        <w:t>|   |   |   |   nonlocal topic -&gt; меняет topic во внешней ф-и |   |   |   |</w:t>
        <w:br/>
        <w:t>|   |   |   +-------------------------------------------------+   |   |   |</w:t>
        <w:br/>
        <w:t>|   |   +---------------------------------------------------------+   |   |</w:t>
        <w:br/>
        <w:t>|   +-----------------------------------------------------------------+   |</w:t>
        <w:br/>
        <w:t>+-------------------------------------------------------------------------+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В коде переменная course объявлена в глобальной области. В функции outer_function создана переменная topic = 'Функции'. Внутри вложенной функции инструкция nonlocal topic позволяет перезаписать переменную объемлющей области, не создавая локальной переменной и не изменяя глобальную course.</w:t>
      </w:r>
    </w:p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Исследование ошибки изменяемого значения по умолчанию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Проблема: в сигнатуре def buggy_add_result(value, results=[]): объект списка создается один раз при чтении def и сохраняется в кортеже атрибута __defaults__. Поскольку список изменяем, все вызовы без передачи второго аргумента работают с одним и тем же объектом в памяти, накапливая элементы между независимыми вызовами.</w:t>
        <w:br/>
        <w:t>Исправление: использовать значение по умолчанию None (results=None), а внутри функции проверять: if results is None: results = []. Новый список будет создаваться при каждом отдельном вызове.</w:t>
      </w:r>
    </w:p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Практическое расширение: функции высшего порядка и замыкания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• apply_to_results(operation, values): применяет функцию высшего порядка (проверено на lambda x: x + 5.0) к списку оценок.</w:t>
        <w:br/>
        <w:t>• make_threshold_checker(threshold): возвращает функцию-предикат, сохраняющую пороговое значение threshold в своей ячейке замыкания (__closure__). Продемонстрированы две независимые проверки с порогами 60.0 и 80.0.</w:t>
      </w:r>
    </w:p>
    <w:p>
      <w:pPr>
        <w:spacing w:before="160" w:after="160" w:line="276" w:lineRule="auto"/>
        <w:jc w:val="left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 w:line="276" w:lineRule="auto"/>
        <w:jc w:val="left"/>
      </w:pPr>
      <w:r>
        <w:rPr>
          <w:rFonts w:ascii="Times New Roman" w:hAnsi="Times New Roman"/>
          <w:b/>
          <w:i w:val="0"/>
          <w:sz w:val="28"/>
        </w:rPr>
        <w:t>Задание 5. Анализатор учебных результатов (Интеграционное задание)</w:t>
      </w:r>
    </w:p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Контракты функций интеграционного задания (task_5.py)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1. mean(values: list[float | int]) -&gt; float</w:t>
        <w:br/>
        <w:t xml:space="preserve">   • Вход: список чисел. Выход: среднее арифметическое (float). Для пустого списка возвращает 0.0.</w:t>
        <w:br/>
        <w:t>2. minimum(values: list[float | int]) -&gt; Optional[float | int]</w:t>
        <w:br/>
        <w:t xml:space="preserve">   • Вход: список чисел. Выход: наименьшее значение без min(). Для пустого списка — None.</w:t>
        <w:br/>
        <w:t>3. maximum(values: list[float | int]) -&gt; Optional[float | int]</w:t>
        <w:br/>
        <w:t xml:space="preserve">   • Вход: список чисел. Выход: наибольшее значение без max(). Для пустого списка — None.</w:t>
        <w:br/>
        <w:t>4. classify(score: float | int) -&gt; str</w:t>
        <w:br/>
        <w:t xml:space="preserve">   • Вход: балл от 0 до 100. Выход: категория (отличный &gt;=90, хороший &gt;=75, удовлетворительный &gt;=60, недостаточный &lt;60).</w:t>
        <w:br/>
        <w:t>5. student_summary(name: str, results: list[int]) -&gt; dict</w:t>
        <w:br/>
        <w:t xml:space="preserve">   • Вход: имя и список оценок. Выход: словарь статистики студента. При пустом списке: mean=0.0, min=None, max=None, категория 'нет оценок'.</w:t>
        <w:br/>
        <w:t>6. find_top_students(students: dict[str, list[int]]) -&gt; list[tuple[str, float]]</w:t>
        <w:br/>
        <w:t xml:space="preserve">   • Вход: словарь группы. Выход: список лидеров с максимальным средним баллом (при равенстве возвращает всех лидеров).</w:t>
        <w:br/>
        <w:t>7. group_summary(students: dict[str, list[int]]) -&gt; dict</w:t>
        <w:br/>
        <w:t xml:space="preserve">   • Вход: словарь группы. Выход: сводная статистика, средний балл группы, рейтинг студентов без изменения исходного словаря.</w:t>
        <w:br/>
        <w:t>8. format_report(student_data: dict, group_data: dict) -&gt; str</w:t>
        <w:br/>
        <w:t xml:space="preserve">   • Вход: сформированные словари данных. Выход: готовая форматированная таблица отчета.</w:t>
      </w:r>
    </w:p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Сводка успеваемости учебной группы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Для исходного словаря группы (Анна: [78, 91, 84, 88], Борис: [60, 72, 68], Дарья: [95, 93, 97, 90], Илья: [55, 61]):</w:t>
        <w:br/>
        <w:t>• Всего студентов в группе: 4</w:t>
        <w:br/>
        <w:t>• Общий средний балл группы: 79.38</w:t>
        <w:br/>
        <w:t>• Лидер группы: Дарья (средний балл 93.75)</w:t>
        <w:br/>
        <w:t>• Распределение по категориям: отличный — 1, хороший — 1, удовлетворительный — 1, недостаточный — 1.</w:t>
      </w:r>
    </w:p>
    <w:p>
      <w:pPr>
        <w:spacing w:before="120" w:after="6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Таблица проверки 6 тестовых сценариев Задания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57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2160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b/>
                <w:sz w:val="21"/>
              </w:rPr>
              <w:t>Сценарий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b/>
                <w:sz w:val="21"/>
              </w:rPr>
              <w:t>Входные данные</w:t>
            </w:r>
          </w:p>
        </w:tc>
        <w:tc>
          <w:tcPr>
            <w:tcW w:type="dxa" w:w="331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b/>
                <w:sz w:val="21"/>
              </w:rPr>
              <w:t>Ожидаемый результат</w:t>
            </w:r>
          </w:p>
        </w:tc>
        <w:tc>
          <w:tcPr>
            <w:tcW w:type="dxa" w:w="331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b/>
                <w:sz w:val="21"/>
              </w:rPr>
              <w:t>Фактический результат</w:t>
            </w:r>
          </w:p>
        </w:tc>
      </w:tr>
      <w:tr>
        <w:tc>
          <w:tcPr>
            <w:tcW w:type="dxa" w:w="57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1</w:t>
            </w:r>
          </w:p>
        </w:tc>
        <w:tc>
          <w:tcPr>
            <w:tcW w:type="dxa" w:w="2160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Базовый набор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4 студента (Анна, Борис, Дарья, Илья)</w:t>
            </w:r>
          </w:p>
        </w:tc>
        <w:tc>
          <w:tcPr>
            <w:tcW w:type="dxa" w:w="331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Ср. балл 79.38, лидер: Дарья (93.75)</w:t>
            </w:r>
          </w:p>
        </w:tc>
        <w:tc>
          <w:tcPr>
            <w:tcW w:type="dxa" w:w="331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Ср. балл 79.38, лидер: Дарья (93.75)</w:t>
            </w:r>
          </w:p>
        </w:tc>
      </w:tr>
      <w:tr>
        <w:tc>
          <w:tcPr>
            <w:tcW w:type="dxa" w:w="57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2</w:t>
            </w:r>
          </w:p>
        </w:tc>
        <w:tc>
          <w:tcPr>
            <w:tcW w:type="dxa" w:w="2160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Один студент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Виктор: [85, 90, 88]</w:t>
            </w:r>
          </w:p>
        </w:tc>
        <w:tc>
          <w:tcPr>
            <w:tcW w:type="dxa" w:w="331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Ср. балл 87.67, лидер: Виктор</w:t>
            </w:r>
          </w:p>
        </w:tc>
        <w:tc>
          <w:tcPr>
            <w:tcW w:type="dxa" w:w="331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Ср. балл 87.67, лидер: Виктор</w:t>
            </w:r>
          </w:p>
        </w:tc>
      </w:tr>
      <w:tr>
        <w:tc>
          <w:tcPr>
            <w:tcW w:type="dxa" w:w="57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3</w:t>
            </w:r>
          </w:p>
        </w:tc>
        <w:tc>
          <w:tcPr>
            <w:tcW w:type="dxa" w:w="2160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Несколько лидеров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Алиса [90, 100], Максим [92, 98] (оба 95.0)</w:t>
            </w:r>
          </w:p>
        </w:tc>
        <w:tc>
          <w:tcPr>
            <w:tcW w:type="dxa" w:w="331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Лидеры: Алиса (95.00), Максим (95.00)</w:t>
            </w:r>
          </w:p>
        </w:tc>
        <w:tc>
          <w:tcPr>
            <w:tcW w:type="dxa" w:w="331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Лидеры: Алиса (95.00), Максим (95.00)</w:t>
            </w:r>
          </w:p>
        </w:tc>
      </w:tr>
      <w:tr>
        <w:tc>
          <w:tcPr>
            <w:tcW w:type="dxa" w:w="57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4</w:t>
            </w:r>
          </w:p>
        </w:tc>
        <w:tc>
          <w:tcPr>
            <w:tcW w:type="dxa" w:w="2160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Пустая группа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{}</w:t>
            </w:r>
          </w:p>
        </w:tc>
        <w:tc>
          <w:tcPr>
            <w:tcW w:type="dxa" w:w="331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Ср. балл 0.00, лидеры: нет данных</w:t>
            </w:r>
          </w:p>
        </w:tc>
        <w:tc>
          <w:tcPr>
            <w:tcW w:type="dxa" w:w="331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Ср. балл 0.00, лидеры: нет данных</w:t>
            </w:r>
          </w:p>
        </w:tc>
      </w:tr>
      <w:tr>
        <w:tc>
          <w:tcPr>
            <w:tcW w:type="dxa" w:w="57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5</w:t>
            </w:r>
          </w:p>
        </w:tc>
        <w:tc>
          <w:tcPr>
            <w:tcW w:type="dxa" w:w="2160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Студент без оценок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Елена [90, 95], Николай []</w:t>
            </w:r>
          </w:p>
        </w:tc>
        <w:tc>
          <w:tcPr>
            <w:tcW w:type="dxa" w:w="331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Николай: 'нет оценок', в конце рейтинга</w:t>
            </w:r>
          </w:p>
        </w:tc>
        <w:tc>
          <w:tcPr>
            <w:tcW w:type="dxa" w:w="331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Николай: 'нет оценок', в конце рейтинга</w:t>
            </w:r>
          </w:p>
        </w:tc>
      </w:tr>
      <w:tr>
        <w:tc>
          <w:tcPr>
            <w:tcW w:type="dxa" w:w="576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6</w:t>
            </w:r>
          </w:p>
        </w:tc>
        <w:tc>
          <w:tcPr>
            <w:tcW w:type="dxa" w:w="2160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Границы категорий</w:t>
            </w:r>
          </w:p>
        </w:tc>
        <w:tc>
          <w:tcPr>
            <w:tcW w:type="dxa" w:w="3168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59, 60, 74, 75, 89, 90</w:t>
            </w:r>
          </w:p>
        </w:tc>
        <w:tc>
          <w:tcPr>
            <w:tcW w:type="dxa" w:w="331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Точное соответствие категориям</w:t>
            </w:r>
          </w:p>
        </w:tc>
        <w:tc>
          <w:tcPr>
            <w:tcW w:type="dxa" w:w="3312"/>
          </w:tcPr>
          <w:p>
            <w:pPr>
              <w:spacing w:line="252" w:lineRule="auto" w:before="40" w:after="40"/>
            </w:pPr>
            <w:r>
              <w:rPr>
                <w:rFonts w:ascii="Times New Roman" w:hAnsi="Times New Roman"/>
                <w:sz w:val="21"/>
              </w:rPr>
              <w:t>Точное соответствие категориям</w:t>
            </w:r>
          </w:p>
        </w:tc>
      </w:tr>
    </w:tbl>
    <w:p>
      <w:pPr>
        <w:spacing w:before="160" w:after="160" w:line="276" w:lineRule="auto"/>
        <w:jc w:val="left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80" w:after="120" w:line="276" w:lineRule="auto"/>
        <w:jc w:val="left"/>
      </w:pPr>
      <w:r>
        <w:rPr>
          <w:rFonts w:ascii="Times New Roman" w:hAnsi="Times New Roman"/>
          <w:b/>
          <w:i w:val="0"/>
          <w:sz w:val="32"/>
        </w:rPr>
        <w:t>Вывод о том, как декомпозиция повлияла на читаемость решения</w:t>
      </w:r>
    </w:p>
    <w:p>
      <w:pPr>
        <w:spacing w:before="0" w:after="6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В ходе выполнения лабораторной работы № 3 были исследованы базовые алгоритмические схемы, коллекции и области видимости Python. Экспериментально подтверждено логарифмическое преимущество бинарного поиска (O(log2 N)) над линейным поиском (O(N)) по числу сравнений на массивах до 1000 элементов. Обоснована эффективность хеш-таблиц (set, dict) для мгновенного поиска за O(1).</w:t>
        <w:br/>
        <w:br/>
        <w:t>Разбиение интеграционной задачи на небольшие функции существенно повысило качество решения:</w:t>
        <w:br/>
        <w:t>1. Четкое разделение ответственности: математические функции (mean, minimum, maximum) производят расчеты, classify классифицирует, student_summary и group_summary формируют структуры данных, а format_report занимается исключительно строковым форматированием. Логика не смешана с представлением.</w:t>
        <w:br/>
        <w:t>2. Простота отладки и тестирования: каждую функцию можно вызывать и независимо проверять с помощью assert.</w:t>
        <w:br/>
        <w:t>3. Локализация краевых случаев: благодаря строгим контрактам пустые списки оценок и пустая группа обрабатываются корректно без сбоев всей программы.</w:t>
        <w:br/>
        <w:t>4. Чистота данных: функции не изменяют переданные структуры данных по месту, исключая скрытые побочные эффекты.</w:t>
      </w:r>
    </w:p>
    <w:sectPr>
      <w:type w:val="nextPage"/>
      <w:pgSz w:w="11906" w:h="16838"/>
      <w:pgMar w:top="1417" w:right="1417" w:bottom="1417" w:left="1417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2">
    <w:multiLevelType w:val="multilevel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3">
    <w:multiLevelType w:val="multilevel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5">
    <w:multiLevelType w:val="multilevel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6">
    <w:multiLevelType w:val="multilevel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7">
    <w:multiLevelType w:val="multilevel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abstractNum w:abstractNumId="8">
    <w:multiLevelType w:val="multilevel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"/>
      <w:lvlJc w:val="left"/>
      <w:pPr>
        <w:ind w:left="0" w:hanging="0"/>
      </w:pPr>
    </w:lvl>
    <w:lvl w:ilvl="2">
      <w:start w:val="1"/>
      <w:numFmt w:val="decimal"/>
      <w:lvlText w:val=""/>
      <w:lvlJc w:val="left"/>
      <w:pPr>
        <w:ind w:left="0" w:hanging="0"/>
      </w:pPr>
    </w:lvl>
    <w:lvl w:ilvl="3">
      <w:start w:val="1"/>
      <w:numFmt w:val="decimal"/>
      <w:lvlText w:val=""/>
      <w:lvlJc w:val="left"/>
      <w:pPr>
        <w:ind w:left="0" w:hanging="0"/>
      </w:pPr>
    </w:lvl>
    <w:lvl w:ilvl="4">
      <w:start w:val="1"/>
      <w:numFmt w:val="decimal"/>
      <w:lvlText w:val=""/>
      <w:lvlJc w:val="left"/>
      <w:pPr>
        <w:ind w:left="0" w:hanging="0"/>
      </w:pPr>
    </w:lvl>
    <w:lvl w:ilvl="5">
      <w:start w:val="1"/>
      <w:numFmt w:val="decimal"/>
      <w:lvlText w:val=""/>
      <w:lvlJc w:val="left"/>
      <w:pPr>
        <w:ind w:left="0" w:hanging="0"/>
      </w:pPr>
    </w:lvl>
    <w:lvl w:ilvl="6">
      <w:start w:val="1"/>
      <w:numFmt w:val="decimal"/>
      <w:lvlText w:val=""/>
      <w:lvlJc w:val="left"/>
      <w:pPr>
        <w:ind w:left="0" w:hanging="0"/>
      </w:pPr>
    </w:lvl>
    <w:lvl w:ilvl="7">
      <w:start w:val="1"/>
      <w:numFmt w:val="decimal"/>
      <w:lvlText w:val=""/>
      <w:lvlJc w:val="left"/>
      <w:pPr>
        <w:ind w:left="0" w:hanging="0"/>
      </w:pPr>
    </w:lvl>
    <w:lvl w:ilvl="8">
      <w:start w:val="1"/>
      <w:numFmt w:val="decimal"/>
      <w:lvlText w:val=""/>
      <w:lvlJc w:val="left"/>
      <w:pPr>
        <w:ind w:left="0" w:hanging="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4"/>
  </w:compat>
  <m:mathPr>
    <m:brkBin m:val="before"/>
    <m:brkBinSub m:val="--"/>
    <m:wrapIndent m:val="1440"/>
  </m:mathPr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Cambria" w:hAnsi="Cambria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hAnsi="Calibri"/>
      <w:b/>
      <w:bCs/>
      <w:color w:val="3760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hAnsi="Calibri"/>
      <w:color w:val="2440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hAnsi="Calibri"/>
      <w:i/>
      <w:iCs/>
      <w:color w:val="2440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="Calibri" w:hAnsi="Calibri"/>
      <w:b/>
      <w:bCs/>
      <w:color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="Calibri" w:hAnsi="Calibri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="Calibri" w:hAnsi="Calibr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hAnsi="Calibri"/>
      <w:color w:val="17375E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Pr>
      <w:rFonts w:ascii="Calibri" w:hAnsi="Calibri"/>
      <w:color w:val="17375E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hAnsi="Calibr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ilvl w:val="0"/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ilvl w:val="0"/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ilvl w:val="0"/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ilvl w:val="0"/>
        <w:numId w:val="5"/>
      </w:numPr>
      <w:contextualSpacing/>
    </w:pPr>
  </w:style>
  <w:style w:type="paragraph" w:styleId="ListNumber2">
    <w:name w:val="List Number 2"/>
    <w:basedOn w:val="Normal"/>
    <w:uiPriority w:val="99"/>
    <w:pPr>
      <w:numPr>
        <w:ilvl w:val="0"/>
        <w:numId w:val="6"/>
      </w:numPr>
      <w:contextualSpacing/>
    </w:pPr>
  </w:style>
  <w:style w:type="paragraph" w:styleId="ListNumber3">
    <w:name w:val="List Number 3"/>
    <w:basedOn w:val="Normal"/>
    <w:uiPriority w:val="99"/>
    <w:pPr>
      <w:numPr>
        <w:ilvl w:val="0"/>
        <w:numId w:val="7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unhideWhenUsed/>
    <w:rPr>
      <w:rFonts w:ascii="Calibri" w:hAnsi="Calibri"/>
      <w:b/>
      <w:bCs/>
      <w:i/>
      <w:iCs/>
      <w:color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unhideWhenUsed/>
    <w:rPr>
      <w:rFonts w:ascii="Calibri" w:hAnsi="Calibri"/>
      <w:color w:val="244061"/>
    </w:rPr>
  </w:style>
  <w:style w:type="character" w:styleId="Heading6Char" w:customStyle="1">
    <w:name w:val="Heading 6 Char"/>
    <w:basedOn w:val="DefaultParagraphFont"/>
    <w:link w:val="Heading6"/>
    <w:uiPriority w:val="9"/>
    <w:semiHidden/>
    <w:unhideWhenUsed/>
    <w:rPr>
      <w:rFonts w:ascii="Calibri" w:hAnsi="Calibri"/>
      <w:i/>
      <w:iCs/>
      <w:color w:val="244061"/>
    </w:rPr>
  </w:style>
  <w:style w:type="character" w:styleId="Heading7Char" w:customStyle="1">
    <w:name w:val="Heading 7 Char"/>
    <w:basedOn w:val="DefaultParagraphFont"/>
    <w:link w:val="Heading7"/>
    <w:uiPriority w:val="9"/>
    <w:semiHidden/>
    <w:unhideWhenUsed/>
    <w:rPr>
      <w:rFonts w:ascii="Calibri" w:hAnsi="Calibri"/>
      <w:i/>
      <w:iCs/>
      <w:color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unhideWhenUsed/>
    <w:rPr>
      <w:rFonts w:ascii="Calibri" w:hAnsi="Calibri"/>
      <w:color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unhideWhenUsed/>
    <w:rPr>
      <w:rFonts w:ascii="Calibri" w:hAnsi="Calibr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000000"/>
          <w:left w:val="nil" w:sz="4" w:space="0" w:color="auto"/>
          <w:bottom w:val="single" w:sz="8" w:space="0" w:color="000000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76092"/>
    </w:rPr>
    <w:tblPr>
      <w:tblStyleRow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F81BD"/>
          <w:left w:val="nil" w:sz="4" w:space="0" w:color="auto"/>
          <w:bottom w:val="single" w:sz="8" w:space="0" w:color="4F81B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53735"/>
    </w:rPr>
    <w:tblPr>
      <w:tblStyleRow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C0504D"/>
          <w:left w:val="nil" w:sz="4" w:space="0" w:color="auto"/>
          <w:bottom w:val="single" w:sz="8" w:space="0" w:color="C0504D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33C"/>
    </w:rPr>
    <w:tblPr>
      <w:tblStyleRow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9BBB59"/>
          <w:left w:val="nil" w:sz="4" w:space="0" w:color="auto"/>
          <w:bottom w:val="single" w:sz="8" w:space="0" w:color="9BBB59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604A7B"/>
    </w:rPr>
    <w:tblPr>
      <w:tblStyleRow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8064A2"/>
          <w:left w:val="nil" w:sz="4" w:space="0" w:color="auto"/>
          <w:bottom w:val="single" w:sz="8" w:space="0" w:color="8064A2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59B"/>
    </w:rPr>
    <w:tblPr>
      <w:tblStyleRow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4BACC6"/>
          <w:left w:val="nil" w:sz="4" w:space="0" w:color="auto"/>
          <w:bottom w:val="single" w:sz="8" w:space="0" w:color="4BACC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46C0A"/>
    </w:rPr>
    <w:tblPr>
      <w:tblStyleRow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lastRow">
      <w:rPr>
        <w:b/>
        <w:bCs/>
      </w:rPr>
      <w:tcPr>
        <w:tcBorders>
          <w:top w:val="single" w:sz="8" w:space="0" w:color="F79646"/>
          <w:left w:val="nil" w:sz="4" w:space="0" w:color="auto"/>
          <w:bottom w:val="single" w:sz="8" w:space="0" w:color="F79646"/>
          <w:right w:val="nil" w:sz="4" w:space="0" w:color="auto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 w:sz="4" w:space="0" w:color="auto"/>
          <w:insideV w:val="single" w:sz="8" w:space="0" w:color="000000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 w:sz="4" w:space="0" w:color="auto"/>
          <w:insideV w:val="single" w:sz="8" w:space="0" w:color="4F81B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4E0EF"/>
      </w:tcPr>
    </w:tblStylePr>
    <w:tblStylePr w:type="band1Horz"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4E0EF"/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 w:sz="4" w:space="0" w:color="auto"/>
          <w:insideV w:val="single" w:sz="8" w:space="0" w:color="C0504D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4D3"/>
      </w:tcPr>
    </w:tblStylePr>
    <w:tblStylePr w:type="band1Horz"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4D3"/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 w:sz="4" w:space="0" w:color="auto"/>
          <w:insideV w:val="single" w:sz="8" w:space="0" w:color="9BBB59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6"/>
      </w:tcPr>
    </w:tblStylePr>
    <w:tblStylePr w:type="band1Horz"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6"/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 w:sz="4" w:space="0" w:color="auto"/>
          <w:insideV w:val="single" w:sz="8" w:space="0" w:color="8064A2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E0D9E8"/>
      </w:tcPr>
    </w:tblStylePr>
    <w:tblStylePr w:type="band1Horz"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E0D9E8"/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 w:sz="4" w:space="0" w:color="auto"/>
          <w:insideV w:val="single" w:sz="8" w:space="0" w:color="4BACC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3EAF1"/>
      </w:tcPr>
    </w:tblStylePr>
    <w:tblStylePr w:type="band1Horz"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3EAF1"/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lastRow">
      <w:rPr>
        <w:rFonts w:ascii="Calibri" w:hAnsi="Calibri"/>
        <w:b/>
        <w:bCs/>
      </w:rPr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 w:sz="4" w:space="0" w:color="auto"/>
          <w:insideV w:val="single" w:sz="8" w:space="0" w:color="F79646"/>
        </w:tcBorders>
      </w:tcPr>
    </w:tblStylePr>
    <w:tblStylePr w:type="firstCol">
      <w:rPr>
        <w:rFonts w:ascii="Calibri" w:hAnsi="Calibri"/>
        <w:b/>
        <w:bCs/>
      </w:rPr>
    </w:tblStylePr>
    <w:tblStylePr w:type="lastCol">
      <w:rPr>
        <w:rFonts w:ascii="Calibri" w:hAnsi="Calibri"/>
        <w:b/>
        <w:bCs/>
      </w:rPr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5D1"/>
      </w:tcPr>
    </w:tblStylePr>
    <w:tblStylePr w:type="band1Horz"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5D1"/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b/>
        <w:bCs/>
      </w:rPr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b/>
        <w:bCs/>
      </w:rPr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4E0EF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b/>
        <w:bCs/>
      </w:rPr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4D3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b/>
        <w:bCs/>
      </w:rPr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6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b/>
        <w:bCs/>
      </w:rPr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D9E8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b/>
        <w:bCs/>
      </w:rPr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EAF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b/>
        <w:bCs/>
      </w:rPr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 w:sz="4" w:space="0" w:color="auto"/>
          <w:insideV w:val="nil" w:sz="4" w:space="0" w:color="auto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/>
      </w:tcPr>
    </w:tblStylePr>
    <w:tblStylePr w:type="band1Horz">
      <w:tcPr>
        <w:tcBorders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sz="18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Row">
      <w:rPr>
        <w:color w:val="auto"/>
      </w:rPr>
      <w:tcPr>
        <w:tcBorders>
          <w:top w:val="double" w:sz="6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 w:sz="4" w:space="0" w:color="auto"/>
          <w:left w:val="nil" w:sz="4" w:space="0" w:color="auto"/>
          <w:bottom w:val="single" w:sz="18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8D8D8"/>
      </w:tcPr>
    </w:tblStylePr>
    <w:tblStylePr w:type="band1Horz">
      <w:tcPr>
        <w:shd w:val="clear" w:color="auto" w:fill="D8D8D8"/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000000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F81B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cPr>
        <w:shd w:val="clear" w:color="auto" w:fill="D4E0EF"/>
      </w:tcPr>
    </w:tblStylePr>
    <w:tblStylePr w:type="band1Horz">
      <w:tcPr>
        <w:shd w:val="clear" w:color="auto" w:fill="D4E0E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C0504D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cPr>
        <w:shd w:val="clear" w:color="auto" w:fill="EFD4D3"/>
      </w:tcPr>
    </w:tblStylePr>
    <w:tblStylePr w:type="band1Horz">
      <w:tcPr>
        <w:shd w:val="clear" w:color="auto" w:fill="EFD4D3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9BBB59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cPr>
        <w:shd w:val="clear" w:color="auto" w:fill="E6EED6"/>
      </w:tcPr>
    </w:tblStylePr>
    <w:tblStylePr w:type="band1Horz">
      <w:tcPr>
        <w:shd w:val="clear" w:color="auto" w:fill="E6EED6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8064A2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cPr>
        <w:shd w:val="clear" w:color="auto" w:fill="E0D9E8"/>
      </w:tcPr>
    </w:tblStylePr>
    <w:tblStylePr w:type="band1Horz">
      <w:tcPr>
        <w:shd w:val="clear" w:color="auto" w:fill="E0D9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4BACC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cPr>
        <w:shd w:val="clear" w:color="auto" w:fill="D3EAF1"/>
      </w:tcPr>
    </w:tblStylePr>
    <w:tblStylePr w:type="band1Horz">
      <w:tcPr>
        <w:shd w:val="clear" w:color="auto" w:fill="D3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/>
      </w:rPr>
      <w:tcPr>
        <w:tcBorders>
          <w:top w:val="nil" w:sz="4" w:space="0" w:color="auto"/>
          <w:bottom w:val="single" w:sz="8" w:space="0" w:color="F79646"/>
        </w:tcBorders>
      </w:tcPr>
    </w:tblStylePr>
    <w:tblStylePr w:type="lastRow">
      <w:rPr>
        <w:b/>
        <w:bCs/>
        <w:color w:val="1F497D"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cPr>
        <w:shd w:val="clear" w:color="auto" w:fill="FDE5D1"/>
      </w:tcPr>
    </w:tblStylePr>
    <w:tblStylePr w:type="band1Horz">
      <w:tcPr>
        <w:shd w:val="clear" w:color="auto" w:fill="FDE5D1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000000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000000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000000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F81B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F81B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F81B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F81B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C0504D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C0504D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C0504D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9BBB59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9BBB59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9BBB59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8064A2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8064A2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8064A2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4BACC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4BACC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4BACC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tcPr>
        <w:tcBorders>
          <w:top w:val="single" w:sz="8" w:space="0" w:color="F79646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8" w:space="0" w:color="F79646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tcPr>
        <w:tcBorders>
          <w:top w:val="nil" w:sz="4" w:space="0" w:color="auto"/>
          <w:left w:val="single" w:sz="8" w:space="0" w:color="F79646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band1Vert">
      <w:tcPr>
        <w:tcBorders>
          <w:left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tcBorders>
          <w:top w:val="nil" w:sz="4" w:space="0" w:color="auto"/>
          <w:bottom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EEF3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CE6F2"/>
      </w:tcPr>
    </w:tblStylePr>
    <w:tblStylePr w:type="band1Vert">
      <w:tcPr>
        <w:shd w:val="clear" w:color="auto" w:fill="A7C0DE"/>
      </w:tcPr>
    </w:tblStylePr>
    <w:tblStylePr w:type="band1Horz">
      <w:tcPr>
        <w:tcBorders>
          <w:insideH w:val="single" w:sz="6" w:space="0" w:color="4F81BD"/>
          <w:insideV w:val="single" w:sz="6" w:space="0" w:color="4F81BD"/>
        </w:tcBorders>
        <w:shd w:val="clear" w:color="auto" w:fill="A7C0DE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F9EEEE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2DCDB"/>
      </w:tcPr>
    </w:tblStylePr>
    <w:tblStylePr w:type="band1Vert">
      <w:tcPr>
        <w:shd w:val="clear" w:color="auto" w:fill="E0A8A6"/>
      </w:tcPr>
    </w:tblStylePr>
    <w:tblStylePr w:type="band1Horz">
      <w:tcPr>
        <w:tcBorders>
          <w:insideH w:val="single" w:sz="6" w:space="0" w:color="C0504D"/>
          <w:insideV w:val="single" w:sz="6" w:space="0" w:color="C0504D"/>
        </w:tcBorders>
        <w:shd w:val="clear" w:color="auto" w:fill="E0A8A6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F5F8EF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BF1DE"/>
      </w:tcPr>
    </w:tblStylePr>
    <w:tblStylePr w:type="band1Vert">
      <w:tcPr>
        <w:shd w:val="clear" w:color="auto" w:fill="CDDDAC"/>
      </w:tcPr>
    </w:tblStylePr>
    <w:tblStylePr w:type="band1Horz"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F3F0F6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0EC"/>
      </w:tcPr>
    </w:tblStylePr>
    <w:tblStylePr w:type="band1Vert">
      <w:tcPr>
        <w:shd w:val="clear" w:color="auto" w:fill="C0B2D1"/>
      </w:tcPr>
    </w:tblStylePr>
    <w:tblStylePr w:type="band1Horz">
      <w:tcPr>
        <w:tcBorders>
          <w:insideH w:val="single" w:sz="6" w:space="0" w:color="8064A2"/>
          <w:insideV w:val="single" w:sz="6" w:space="0" w:color="8064A2"/>
        </w:tcBorders>
        <w:shd w:val="clear" w:color="auto" w:fill="C0B2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EDF7F9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BEEF4"/>
      </w:tcPr>
    </w:tblStylePr>
    <w:tblStylePr w:type="band1Vert">
      <w:tcPr>
        <w:shd w:val="clear" w:color="auto" w:fill="A5D6E3"/>
      </w:tcPr>
    </w:tblStylePr>
    <w:tblStylePr w:type="band1Horz">
      <w:tcPr>
        <w:tcBorders>
          <w:insideH w:val="single" w:sz="6" w:space="0" w:color="4BACC6"/>
          <w:insideV w:val="single" w:sz="6" w:space="0" w:color="4BACC6"/>
        </w:tcBorders>
        <w:shd w:val="clear" w:color="auto" w:fill="A5D6E3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hAnsi="Calibri"/>
      <w:color w:val="000000"/>
    </w:rPr>
    <w:tblPr>
      <w:tblStyleRow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cPr>
        <w:shd w:val="clear" w:color="auto" w:fill="FEF5ED"/>
      </w:tcPr>
    </w:tblStylePr>
    <w:tblStylePr w:type="lastRow">
      <w:rPr>
        <w:b/>
        <w:bCs/>
        <w:color w:val="000000"/>
      </w:rPr>
      <w:tcPr>
        <w:tcBorders>
          <w:top w:val="single" w:sz="12" w:space="0" w:color="000000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ADA"/>
      </w:tcPr>
    </w:tblStylePr>
    <w:tblStylePr w:type="band1Vert">
      <w:tcPr>
        <w:shd w:val="clear" w:color="auto" w:fill="FBCBA3"/>
      </w:tcPr>
    </w:tblStylePr>
    <w:tblStylePr w:type="band1Horz">
      <w:tcPr>
        <w:tcBorders>
          <w:insideH w:val="single" w:sz="6" w:space="0" w:color="F79646"/>
          <w:insideV w:val="single" w:sz="6" w:space="0" w:color="F79646"/>
        </w:tcBorders>
        <w:shd w:val="clear" w:color="auto" w:fill="FBCBA3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808080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81B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7C0DE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504D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E0A8A6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E0A8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BBB59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DDDAC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8064A2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C0B2D1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0B2D1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BACC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A5D6E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6E3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FFFFFF"/>
      </w:rPr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cPr>
        <w:tcBorders>
          <w:left w:val="single" w:sz="8" w:space="0" w:color="FFFFFF"/>
          <w:right w:val="single" w:sz="24" w:space="0" w:color="FFFFFF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 w:sz="4" w:space="0" w:color="auto"/>
          <w:left w:val="single" w:sz="24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79646"/>
      </w:tcPr>
    </w:tblStylePr>
    <w:tblStylePr w:type="band1Vert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 w:sz="4" w:space="0" w:color="auto"/>
          <w:insideV w:val="nil" w:sz="4" w:space="0" w:color="auto"/>
        </w:tcBorders>
        <w:shd w:val="clear" w:color="auto" w:fill="FBCBA3"/>
      </w:tcPr>
    </w:tblStylePr>
    <w:tblStylePr w:type="band1Horz"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BA3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44061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76092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32523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53735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F6228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693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03152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604A7B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1586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3185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18" w:space="0" w:color="FFFFFF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lastRow">
      <w:tcPr>
        <w:tcBorders>
          <w:top w:val="single" w:sz="18" w:space="0" w:color="FFFFFF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974807"/>
      </w:tcPr>
    </w:tblStylePr>
    <w:tblStylePr w:type="firstCol">
      <w:tcPr>
        <w:tcBorders>
          <w:top w:val="nil" w:sz="4" w:space="0" w:color="auto"/>
          <w:left w:val="nil" w:sz="4" w:space="0" w:color="auto"/>
          <w:bottom w:val="nil" w:sz="4" w:space="0" w:color="auto"/>
          <w:right w:val="single" w:sz="18" w:space="0" w:color="FFFFFF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lastCol">
      <w:tcPr>
        <w:tcBorders>
          <w:top w:val="nil" w:sz="4" w:space="0" w:color="auto"/>
          <w:left w:val="single" w:sz="18" w:space="0" w:color="FFFFFF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  <w:tblStylePr w:type="band1Horz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4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000000"/>
          <w:insideV w:val="nil" w:sz="4" w:space="0" w:color="auto"/>
        </w:tcBorders>
        <w:shd w:val="clear" w:color="auto" w:fill="00000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C4D75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C4C74"/>
          <w:insideV w:val="nil" w:sz="4" w:space="0" w:color="auto"/>
        </w:tcBorders>
        <w:shd w:val="clear" w:color="auto" w:fill="2C4D75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C4D75"/>
      </w:tcPr>
    </w:tblStylePr>
    <w:tblStylePr w:type="band1Vert">
      <w:tcPr>
        <w:shd w:val="clear" w:color="auto" w:fill="B9CDE5"/>
      </w:tcPr>
    </w:tblStylePr>
    <w:tblStylePr w:type="band1Horz">
      <w:tcPr>
        <w:shd w:val="clear" w:color="auto" w:fill="A7C0DE"/>
      </w:tc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C0504D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772C2A"/>
          <w:insideV w:val="nil" w:sz="4" w:space="0" w:color="auto"/>
        </w:tcBorders>
        <w:shd w:val="clear" w:color="auto" w:fill="772C2A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772C2A"/>
      </w:tcPr>
    </w:tblStylePr>
    <w:tblStylePr w:type="band1Vert">
      <w:tcPr>
        <w:shd w:val="clear" w:color="auto" w:fill="E6B9B8"/>
      </w:tcPr>
    </w:tblStylePr>
    <w:tblStylePr w:type="band1Horz">
      <w:tcPr>
        <w:shd w:val="clear" w:color="auto" w:fill="E0A8A6"/>
      </w:tc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8064A2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5F7530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5E7530"/>
          <w:insideV w:val="nil" w:sz="4" w:space="0" w:color="auto"/>
        </w:tcBorders>
        <w:shd w:val="clear" w:color="auto" w:fill="5F7530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5F7530"/>
      </w:tcPr>
    </w:tblStylePr>
    <w:tblStylePr w:type="band1Vert">
      <w:tcPr>
        <w:shd w:val="clear" w:color="auto" w:fill="D7E4BD"/>
      </w:tcPr>
    </w:tblStylePr>
    <w:tblStylePr w:type="band1Horz"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9BBB59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4D3B62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4C3B62"/>
          <w:insideV w:val="nil" w:sz="4" w:space="0" w:color="auto"/>
        </w:tcBorders>
        <w:shd w:val="clear" w:color="auto" w:fill="4D3B62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4D3B62"/>
      </w:tcPr>
    </w:tblStylePr>
    <w:tblStylePr w:type="band1Vert">
      <w:tcPr>
        <w:shd w:val="clear" w:color="auto" w:fill="CCC1DA"/>
      </w:tcPr>
    </w:tblStylePr>
    <w:tblStylePr w:type="band1Horz">
      <w:tcPr>
        <w:shd w:val="clear" w:color="auto" w:fill="C0B2D1"/>
      </w:tc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F7964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276A7C"/>
          <w:insideV w:val="nil" w:sz="4" w:space="0" w:color="auto"/>
        </w:tcBorders>
        <w:shd w:val="clear" w:color="auto" w:fill="276A7C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276A7C"/>
      </w:tcPr>
    </w:tblStylePr>
    <w:tblStylePr w:type="band1Vert">
      <w:tcPr>
        <w:shd w:val="clear" w:color="auto" w:fill="B7DEE8"/>
      </w:tcPr>
    </w:tblStylePr>
    <w:tblStylePr w:type="band1Horz">
      <w:tcPr>
        <w:shd w:val="clear" w:color="auto" w:fill="A5D6E3"/>
      </w:tc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top w:val="nil" w:sz="4" w:space="0" w:color="auto"/>
          <w:left w:val="nil" w:sz="4" w:space="0" w:color="auto"/>
          <w:bottom w:val="single" w:sz="24" w:space="0" w:color="4BACC6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sz="6" w:space="0" w:color="FFFFFF"/>
        </w:tcBorders>
        <w:shd w:val="clear" w:color="auto" w:fill="B65708"/>
      </w:tcPr>
    </w:tblStylePr>
    <w:tblStylePr w:type="fir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single" w:sz="4" w:space="0" w:color="B65608"/>
          <w:insideV w:val="nil" w:sz="4" w:space="0" w:color="auto"/>
        </w:tcBorders>
        <w:shd w:val="clear" w:color="auto" w:fill="B65708"/>
      </w:tcPr>
    </w:tblStylePr>
    <w:tblStylePr w:type="lastCol">
      <w:rPr>
        <w:color w:val="FFFFFF"/>
      </w:rPr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B65708"/>
      </w:tcPr>
    </w:tblStylePr>
    <w:tblStylePr w:type="band1Vert">
      <w:tcPr>
        <w:shd w:val="clear" w:color="auto" w:fill="FCD5B5"/>
      </w:tcPr>
    </w:tblStylePr>
    <w:tblStylePr w:type="band1Horz">
      <w:tcPr>
        <w:shd w:val="clear" w:color="auto" w:fill="FBCBA3"/>
      </w:tc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4E0EF"/>
      </w:tcPr>
    </w:tblStylePr>
    <w:tblStylePr w:type="band1Horz">
      <w:tcPr>
        <w:shd w:val="clear" w:color="auto" w:fill="DCE6F2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9F3B38"/>
      </w:tcPr>
    </w:tblStylePr>
    <w:tblStylePr w:type="lastRow">
      <w:rPr>
        <w:b/>
        <w:bCs/>
        <w:color w:val="9F3B38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FD4D3"/>
      </w:tcPr>
    </w:tblStylePr>
    <w:tblStylePr w:type="band1Horz">
      <w:tcPr>
        <w:shd w:val="clear" w:color="auto" w:fill="F2DC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664F83"/>
      </w:tcPr>
    </w:tblStylePr>
    <w:tblStylePr w:type="lastRow">
      <w:rPr>
        <w:b/>
        <w:bCs/>
        <w:color w:val="664F83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6EED6"/>
      </w:tcPr>
    </w:tblStylePr>
    <w:tblStylePr w:type="band1Horz">
      <w:tcPr>
        <w:shd w:val="clear" w:color="auto" w:fill="EBF1DE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7E9D40"/>
      </w:tcPr>
    </w:tblStylePr>
    <w:tblStylePr w:type="lastRow">
      <w:rPr>
        <w:b/>
        <w:bCs/>
        <w:color w:val="7E9D40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E0D9E8"/>
      </w:tcPr>
    </w:tblStylePr>
    <w:tblStylePr w:type="band1Horz">
      <w:tcPr>
        <w:shd w:val="clear" w:color="auto" w:fill="E6E0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F3740B"/>
      </w:tcPr>
    </w:tblStylePr>
    <w:tblStylePr w:type="lastRow">
      <w:rPr>
        <w:b/>
        <w:bCs/>
        <w:color w:val="F3740B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D3EAF1"/>
      </w:tcPr>
    </w:tblStylePr>
    <w:tblStylePr w:type="band1Horz">
      <w:tcPr>
        <w:shd w:val="clear" w:color="auto" w:fill="DBEEF4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bottom w:val="single" w:sz="12" w:space="0" w:color="FFFFFF"/>
        </w:tcBorders>
        <w:shd w:val="clear" w:color="auto" w:fill="358EA6"/>
      </w:tcPr>
    </w:tblStylePr>
    <w:tblStylePr w:type="lastRow">
      <w:rPr>
        <w:b/>
        <w:bCs/>
        <w:color w:val="358EA6"/>
      </w:rPr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 w:sz="4" w:space="0" w:color="auto"/>
          <w:left w:val="nil" w:sz="4" w:space="0" w:color="auto"/>
          <w:bottom w:val="nil" w:sz="4" w:space="0" w:color="auto"/>
          <w:right w:val="nil" w:sz="4" w:space="0" w:color="auto"/>
          <w:insideH w:val="nil" w:sz="4" w:space="0" w:color="auto"/>
          <w:insideV w:val="nil" w:sz="4" w:space="0" w:color="auto"/>
        </w:tcBorders>
        <w:shd w:val="clear" w:color="auto" w:fill="FDE5D1"/>
      </w:tcPr>
    </w:tblStylePr>
    <w:tblStylePr w:type="band1Horz">
      <w:tcPr>
        <w:shd w:val="clear" w:color="auto" w:fill="FDEADA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B9CDE5"/>
      </w:tcPr>
    </w:tblStylePr>
    <w:tblStylePr w:type="lastRow">
      <w:rPr>
        <w:b/>
        <w:bCs/>
        <w:color w:val="000000"/>
      </w:rPr>
      <w:tcPr>
        <w:shd w:val="clear" w:color="auto" w:fill="B9CDE5"/>
      </w:tcPr>
    </w:tblStylePr>
    <w:tblStylePr w:type="firstCol">
      <w:rPr>
        <w:color w:val="FFFFFF"/>
      </w:rPr>
      <w:tcPr>
        <w:shd w:val="clear" w:color="auto" w:fill="376092"/>
      </w:tcPr>
    </w:tblStylePr>
    <w:tblStylePr w:type="lastCol">
      <w:rPr>
        <w:color w:val="FFFFFF"/>
      </w:rPr>
      <w:tcPr>
        <w:shd w:val="clear" w:color="auto" w:fill="376092"/>
      </w:tcPr>
    </w:tblStylePr>
    <w:tblStylePr w:type="band1Vert">
      <w:tcPr>
        <w:shd w:val="clear" w:color="auto" w:fill="A7C0DE"/>
      </w:tcPr>
    </w:tblStylePr>
    <w:tblStylePr w:type="band1Horz">
      <w:tcPr>
        <w:shd w:val="clear" w:color="auto" w:fill="A7C0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E6B9B8"/>
      </w:tcPr>
    </w:tblStylePr>
    <w:tblStylePr w:type="lastRow">
      <w:rPr>
        <w:b/>
        <w:bCs/>
        <w:color w:val="000000"/>
      </w:rPr>
      <w:tcPr>
        <w:shd w:val="clear" w:color="auto" w:fill="E6B9B8"/>
      </w:tcPr>
    </w:tblStylePr>
    <w:tblStylePr w:type="firstCol">
      <w:rPr>
        <w:color w:val="FFFFFF"/>
      </w:rPr>
      <w:tcPr>
        <w:shd w:val="clear" w:color="auto" w:fill="953735"/>
      </w:tcPr>
    </w:tblStylePr>
    <w:tblStylePr w:type="lastCol">
      <w:rPr>
        <w:color w:val="FFFFFF"/>
      </w:rPr>
      <w:tcPr>
        <w:shd w:val="clear" w:color="auto" w:fill="953735"/>
      </w:tcPr>
    </w:tblStylePr>
    <w:tblStylePr w:type="band1Vert">
      <w:tcPr>
        <w:shd w:val="clear" w:color="auto" w:fill="E0A8A6"/>
      </w:tcPr>
    </w:tblStylePr>
    <w:tblStylePr w:type="band1Horz">
      <w:tcPr>
        <w:shd w:val="clear" w:color="auto" w:fill="E0A8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D7E4BD"/>
      </w:tcPr>
    </w:tblStylePr>
    <w:tblStylePr w:type="lastRow">
      <w:rPr>
        <w:b/>
        <w:bCs/>
        <w:color w:val="000000"/>
      </w:rPr>
      <w:tcPr>
        <w:shd w:val="clear" w:color="auto" w:fill="D7E4BD"/>
      </w:tcPr>
    </w:tblStylePr>
    <w:tblStylePr w:type="firstCol">
      <w:rPr>
        <w:color w:val="FFFFFF"/>
      </w:rPr>
      <w:tcPr>
        <w:shd w:val="clear" w:color="auto" w:fill="76933C"/>
      </w:tcPr>
    </w:tblStylePr>
    <w:tblStylePr w:type="lastCol">
      <w:rPr>
        <w:color w:val="FFFFFF"/>
      </w:rPr>
      <w:tcPr>
        <w:shd w:val="clear" w:color="auto" w:fill="76933C"/>
      </w:tcPr>
    </w:tblStylePr>
    <w:tblStylePr w:type="band1Vert">
      <w:tcPr>
        <w:shd w:val="clear" w:color="auto" w:fill="CDDDAC"/>
      </w:tcPr>
    </w:tblStylePr>
    <w:tblStylePr w:type="band1Horz"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CCC1DA"/>
      </w:tcPr>
    </w:tblStylePr>
    <w:tblStylePr w:type="lastRow">
      <w:rPr>
        <w:b/>
        <w:bCs/>
        <w:color w:val="000000"/>
      </w:rPr>
      <w:tcPr>
        <w:shd w:val="clear" w:color="auto" w:fill="CCC1DA"/>
      </w:tcPr>
    </w:tblStylePr>
    <w:tblStylePr w:type="firstCol">
      <w:rPr>
        <w:color w:val="FFFFFF"/>
      </w:rPr>
      <w:tcPr>
        <w:shd w:val="clear" w:color="auto" w:fill="604A7B"/>
      </w:tcPr>
    </w:tblStylePr>
    <w:tblStylePr w:type="lastCol">
      <w:rPr>
        <w:color w:val="FFFFFF"/>
      </w:rPr>
      <w:tcPr>
        <w:shd w:val="clear" w:color="auto" w:fill="604A7B"/>
      </w:tcPr>
    </w:tblStylePr>
    <w:tblStylePr w:type="band1Vert">
      <w:tcPr>
        <w:shd w:val="clear" w:color="auto" w:fill="C0B2D1"/>
      </w:tcPr>
    </w:tblStylePr>
    <w:tblStylePr w:type="band1Horz">
      <w:tcPr>
        <w:shd w:val="clear" w:color="auto" w:fill="C0B2D1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B7DEE8"/>
      </w:tcPr>
    </w:tblStylePr>
    <w:tblStylePr w:type="lastRow">
      <w:rPr>
        <w:b/>
        <w:bCs/>
        <w:color w:val="000000"/>
      </w:rPr>
      <w:tcPr>
        <w:shd w:val="clear" w:color="auto" w:fill="B7DEE8"/>
      </w:tcPr>
    </w:tblStylePr>
    <w:tblStylePr w:type="firstCol">
      <w:rPr>
        <w:color w:val="FFFFFF"/>
      </w:rPr>
      <w:tcPr>
        <w:shd w:val="clear" w:color="auto" w:fill="31859B"/>
      </w:tcPr>
    </w:tblStylePr>
    <w:tblStylePr w:type="lastCol">
      <w:rPr>
        <w:color w:val="FFFFFF"/>
      </w:rPr>
      <w:tcPr>
        <w:shd w:val="clear" w:color="auto" w:fill="31859B"/>
      </w:tcPr>
    </w:tblStylePr>
    <w:tblStylePr w:type="band1Vert">
      <w:tcPr>
        <w:shd w:val="clear" w:color="auto" w:fill="A5D6E3"/>
      </w:tcPr>
    </w:tblStylePr>
    <w:tblStylePr w:type="band1Horz">
      <w:tcPr>
        <w:shd w:val="clear" w:color="auto" w:fill="A5D6E3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shd w:val="clear" w:color="auto" w:fill="FCD5B5"/>
      </w:tcPr>
    </w:tblStylePr>
    <w:tblStylePr w:type="lastRow">
      <w:rPr>
        <w:b/>
        <w:bCs/>
        <w:color w:val="000000"/>
      </w:rPr>
      <w:tcPr>
        <w:shd w:val="clear" w:color="auto" w:fill="FCD5B5"/>
      </w:tcPr>
    </w:tblStylePr>
    <w:tblStylePr w:type="firstCol">
      <w:rPr>
        <w:color w:val="FFFFFF"/>
      </w:rPr>
      <w:tcPr>
        <w:shd w:val="clear" w:color="auto" w:fill="E46C0A"/>
      </w:tcPr>
    </w:tblStylePr>
    <w:tblStylePr w:type="lastCol">
      <w:rPr>
        <w:color w:val="FFFFFF"/>
      </w:rPr>
      <w:tcPr>
        <w:shd w:val="clear" w:color="auto" w:fill="E46C0A"/>
      </w:tcPr>
    </w:tblStylePr>
    <w:tblStylePr w:type="band1Vert">
      <w:tcPr>
        <w:shd w:val="clear" w:color="auto" w:fill="FBCBA3"/>
      </w:tcPr>
    </w:tblStylePr>
    <w:tblStylePr w:type="band1Horz">
      <w:tcPr>
        <w:shd w:val="clear" w:color="auto" w:fill="FBCBA3"/>
      </w:tcPr>
    </w:tblStyle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fontTable" Target="fontTable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Them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1669</Words>
  <Paragraphs>186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WordCraft User</cp:lastModifiedBy>
  <cp:revision>10</cp:revision>
  <dcterms:created xsi:type="dcterms:W3CDTF">2013-12-23T23:15:00Z</dcterms:created>
  <dcterms:modified xsi:type="dcterms:W3CDTF">2026-10-14T15:10:10Z</dcterms:modified>
</cp:coreProperties>
</file>