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69B89" w14:textId="344482CF" w:rsidR="00165AA0" w:rsidRPr="00165AA0" w:rsidRDefault="00165AA0" w:rsidP="00165A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b/>
          <w:bCs/>
          <w:sz w:val="28"/>
          <w:szCs w:val="28"/>
        </w:rPr>
        <w:t>Требования к интеграции подсистем комплексной системы безопасности</w:t>
      </w:r>
      <w:r w:rsidRPr="00165AA0">
        <w:rPr>
          <w:rFonts w:ascii="Times New Roman" w:hAnsi="Times New Roman" w:cs="Times New Roman"/>
          <w:sz w:val="28"/>
          <w:szCs w:val="28"/>
        </w:rPr>
        <w:br/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Объект:</w:t>
      </w:r>
      <w:r w:rsidRPr="00165AA0">
        <w:rPr>
          <w:rFonts w:ascii="Times New Roman" w:hAnsi="Times New Roman" w:cs="Times New Roman"/>
          <w:sz w:val="28"/>
          <w:szCs w:val="28"/>
        </w:rPr>
        <w:t xml:space="preserve"> Энергетическая подстанция</w:t>
      </w:r>
    </w:p>
    <w:p w14:paraId="7B3A4088" w14:textId="00EDD213" w:rsidR="00165AA0" w:rsidRPr="00165AA0" w:rsidRDefault="00165AA0" w:rsidP="00165A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 xml:space="preserve">Интеграция подсистем видеонаблюдения (СВН) и контроля доступа (СКУД) является ключевым элементом, обеспечивающим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принцип комплексности</w:t>
      </w:r>
      <w:r w:rsidRPr="00165AA0">
        <w:rPr>
          <w:rFonts w:ascii="Times New Roman" w:hAnsi="Times New Roman" w:cs="Times New Roman"/>
          <w:sz w:val="28"/>
          <w:szCs w:val="28"/>
        </w:rPr>
        <w:t xml:space="preserve"> (Лекция №1, п. 8.2). Она превращает два независимых модуля в единый контур безопасности, способный автоматически реагировать на события, формировать доказательную базу и предотвращать технологические риски. Все интеграционные сценарии и протоколы соответствуют отраслевым стандартам и требованиям надёжности.</w:t>
      </w:r>
    </w:p>
    <w:p w14:paraId="04CAA2A9" w14:textId="77777777" w:rsidR="00165AA0" w:rsidRPr="00165AA0" w:rsidRDefault="00165AA0" w:rsidP="00165A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5AA0">
        <w:rPr>
          <w:rFonts w:ascii="Times New Roman" w:hAnsi="Times New Roman" w:cs="Times New Roman"/>
          <w:b/>
          <w:bCs/>
          <w:sz w:val="28"/>
          <w:szCs w:val="28"/>
        </w:rPr>
        <w:t>1. Общие принципы интеграции</w:t>
      </w:r>
    </w:p>
    <w:p w14:paraId="6CCEED9B" w14:textId="77777777" w:rsidR="00165AA0" w:rsidRPr="00165AA0" w:rsidRDefault="00165AA0" w:rsidP="00165A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 xml:space="preserve">Интеграция реализуется через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открытые стандарты</w:t>
      </w:r>
      <w:r w:rsidRPr="00165AA0">
        <w:rPr>
          <w:rFonts w:ascii="Times New Roman" w:hAnsi="Times New Roman" w:cs="Times New Roman"/>
          <w:sz w:val="28"/>
          <w:szCs w:val="28"/>
        </w:rPr>
        <w:t xml:space="preserve">: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ONVIF Profile C</w:t>
      </w:r>
      <w:r w:rsidRPr="00165AA0">
        <w:rPr>
          <w:rFonts w:ascii="Times New Roman" w:hAnsi="Times New Roman" w:cs="Times New Roman"/>
          <w:sz w:val="28"/>
          <w:szCs w:val="28"/>
        </w:rPr>
        <w:t xml:space="preserve"> и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HTTP/REST API</w:t>
      </w:r>
      <w:r w:rsidRPr="00165AA0">
        <w:rPr>
          <w:rFonts w:ascii="Times New Roman" w:hAnsi="Times New Roman" w:cs="Times New Roman"/>
          <w:sz w:val="28"/>
          <w:szCs w:val="28"/>
        </w:rPr>
        <w:t xml:space="preserve"> — для взаимодействия СВН ↔ СКУД;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OSDP Secure</w:t>
      </w:r>
      <w:r w:rsidRPr="00165AA0">
        <w:rPr>
          <w:rFonts w:ascii="Times New Roman" w:hAnsi="Times New Roman" w:cs="Times New Roman"/>
          <w:sz w:val="28"/>
          <w:szCs w:val="28"/>
        </w:rPr>
        <w:t xml:space="preserve"> — для внутренних каналов СКУД.</w:t>
      </w:r>
    </w:p>
    <w:p w14:paraId="597E46B2" w14:textId="77777777" w:rsidR="00165AA0" w:rsidRPr="00165AA0" w:rsidRDefault="00165AA0" w:rsidP="00165A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 xml:space="preserve">Все API-вызовы используют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HTTPS с TLS 1.3</w:t>
      </w:r>
      <w:r w:rsidRPr="00165AA0">
        <w:rPr>
          <w:rFonts w:ascii="Times New Roman" w:hAnsi="Times New Roman" w:cs="Times New Roman"/>
          <w:sz w:val="28"/>
          <w:szCs w:val="28"/>
        </w:rPr>
        <w:t>, обеспечивая защиту от перехвата и подмены.</w:t>
      </w:r>
    </w:p>
    <w:p w14:paraId="5C6B1060" w14:textId="77777777" w:rsidR="00165AA0" w:rsidRPr="00165AA0" w:rsidRDefault="00165AA0" w:rsidP="00165A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 xml:space="preserve">Интеграция работает как в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штатном</w:t>
      </w:r>
      <w:r w:rsidRPr="00165AA0">
        <w:rPr>
          <w:rFonts w:ascii="Times New Roman" w:hAnsi="Times New Roman" w:cs="Times New Roman"/>
          <w:sz w:val="28"/>
          <w:szCs w:val="28"/>
        </w:rPr>
        <w:t xml:space="preserve">, так и в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автономном режиме</w:t>
      </w:r>
      <w:r w:rsidRPr="00165AA0">
        <w:rPr>
          <w:rFonts w:ascii="Times New Roman" w:hAnsi="Times New Roman" w:cs="Times New Roman"/>
          <w:sz w:val="28"/>
          <w:szCs w:val="28"/>
        </w:rPr>
        <w:t>: локальные контроллеры СКУД хранят правила триггеров и могут запускать действия даже при обрыве связи с VMS.</w:t>
      </w:r>
    </w:p>
    <w:p w14:paraId="0BE2A27D" w14:textId="109CE5A4" w:rsidR="00165AA0" w:rsidRPr="00165AA0" w:rsidRDefault="00165AA0" w:rsidP="00165AA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 xml:space="preserve">Все события </w:t>
      </w:r>
      <w:proofErr w:type="spellStart"/>
      <w:r w:rsidRPr="00165AA0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165AA0">
        <w:rPr>
          <w:rFonts w:ascii="Times New Roman" w:hAnsi="Times New Roman" w:cs="Times New Roman"/>
          <w:sz w:val="28"/>
          <w:szCs w:val="28"/>
        </w:rPr>
        <w:t xml:space="preserve"> как в СКУД, так и в СВН, что обеспечивает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сквозной аудит</w:t>
      </w:r>
      <w:r w:rsidRPr="00165AA0">
        <w:rPr>
          <w:rFonts w:ascii="Times New Roman" w:hAnsi="Times New Roman" w:cs="Times New Roman"/>
          <w:sz w:val="28"/>
          <w:szCs w:val="28"/>
        </w:rPr>
        <w:t xml:space="preserve"> в соответствии с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ФЗ-152</w:t>
      </w:r>
      <w:r w:rsidRPr="00165AA0">
        <w:rPr>
          <w:rFonts w:ascii="Times New Roman" w:hAnsi="Times New Roman" w:cs="Times New Roman"/>
          <w:sz w:val="28"/>
          <w:szCs w:val="28"/>
        </w:rPr>
        <w:t>.</w:t>
      </w:r>
    </w:p>
    <w:p w14:paraId="1080558D" w14:textId="77777777" w:rsidR="00165AA0" w:rsidRPr="00165AA0" w:rsidRDefault="00165AA0" w:rsidP="00165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AA0">
        <w:rPr>
          <w:rFonts w:ascii="Times New Roman" w:hAnsi="Times New Roman" w:cs="Times New Roman"/>
          <w:b/>
          <w:bCs/>
          <w:sz w:val="28"/>
          <w:szCs w:val="28"/>
        </w:rPr>
        <w:t>2. Сценарии интеграции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"/>
        <w:gridCol w:w="1850"/>
        <w:gridCol w:w="2347"/>
        <w:gridCol w:w="1612"/>
        <w:gridCol w:w="1794"/>
        <w:gridCol w:w="1303"/>
      </w:tblGrid>
      <w:tr w:rsidR="00165AA0" w:rsidRPr="00165AA0" w14:paraId="24D03CE7" w14:textId="77777777" w:rsidTr="00165AA0">
        <w:tc>
          <w:tcPr>
            <w:tcW w:w="0" w:type="auto"/>
            <w:hideMark/>
          </w:tcPr>
          <w:p w14:paraId="265EC848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1D3645A1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Инициирующая подсистема</w:t>
            </w:r>
          </w:p>
        </w:tc>
        <w:tc>
          <w:tcPr>
            <w:tcW w:w="0" w:type="auto"/>
            <w:hideMark/>
          </w:tcPr>
          <w:p w14:paraId="4619F24D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0" w:type="auto"/>
            <w:hideMark/>
          </w:tcPr>
          <w:p w14:paraId="6C715261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Реагирующая подсистема</w:t>
            </w:r>
          </w:p>
        </w:tc>
        <w:tc>
          <w:tcPr>
            <w:tcW w:w="0" w:type="auto"/>
            <w:hideMark/>
          </w:tcPr>
          <w:p w14:paraId="52724E58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hideMark/>
          </w:tcPr>
          <w:p w14:paraId="06347098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Протокол / API</w:t>
            </w:r>
          </w:p>
        </w:tc>
      </w:tr>
      <w:tr w:rsidR="00165AA0" w:rsidRPr="00165AA0" w14:paraId="3A5E1086" w14:textId="77777777" w:rsidTr="00165AA0">
        <w:tc>
          <w:tcPr>
            <w:tcW w:w="0" w:type="auto"/>
            <w:hideMark/>
          </w:tcPr>
          <w:p w14:paraId="63BD40E8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E70000F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СКУД</w:t>
            </w:r>
          </w:p>
        </w:tc>
        <w:tc>
          <w:tcPr>
            <w:tcW w:w="0" w:type="auto"/>
            <w:hideMark/>
          </w:tcPr>
          <w:p w14:paraId="59BF4259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Несанкционированная попытка доступа (щитовая, КПП)</w:t>
            </w:r>
          </w:p>
        </w:tc>
        <w:tc>
          <w:tcPr>
            <w:tcW w:w="0" w:type="auto"/>
            <w:hideMark/>
          </w:tcPr>
          <w:p w14:paraId="196136C3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СВН</w:t>
            </w:r>
          </w:p>
        </w:tc>
        <w:tc>
          <w:tcPr>
            <w:tcW w:w="0" w:type="auto"/>
            <w:hideMark/>
          </w:tcPr>
          <w:p w14:paraId="417E95EE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Принудительная запись с ближайших камер на 5 минут</w:t>
            </w:r>
          </w:p>
        </w:tc>
        <w:tc>
          <w:tcPr>
            <w:tcW w:w="0" w:type="auto"/>
            <w:hideMark/>
          </w:tcPr>
          <w:p w14:paraId="304AA30E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ONVIF Profile C + HTTP API</w:t>
            </w:r>
          </w:p>
        </w:tc>
      </w:tr>
      <w:tr w:rsidR="00165AA0" w:rsidRPr="00165AA0" w14:paraId="3857C3EA" w14:textId="77777777" w:rsidTr="00165AA0">
        <w:tc>
          <w:tcPr>
            <w:tcW w:w="0" w:type="auto"/>
            <w:hideMark/>
          </w:tcPr>
          <w:p w14:paraId="45ACC69C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104C3806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СКУД</w:t>
            </w:r>
          </w:p>
        </w:tc>
        <w:tc>
          <w:tcPr>
            <w:tcW w:w="0" w:type="auto"/>
            <w:hideMark/>
          </w:tcPr>
          <w:p w14:paraId="570E007D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Успешный проход авторизованного инженера через КПП</w:t>
            </w:r>
          </w:p>
        </w:tc>
        <w:tc>
          <w:tcPr>
            <w:tcW w:w="0" w:type="auto"/>
            <w:hideMark/>
          </w:tcPr>
          <w:p w14:paraId="4F35B219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СВН</w:t>
            </w:r>
          </w:p>
        </w:tc>
        <w:tc>
          <w:tcPr>
            <w:tcW w:w="0" w:type="auto"/>
            <w:hideMark/>
          </w:tcPr>
          <w:p w14:paraId="59FE3821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Сохранение видеоклипа (30 секунд до и после события)</w:t>
            </w:r>
          </w:p>
        </w:tc>
        <w:tc>
          <w:tcPr>
            <w:tcW w:w="0" w:type="auto"/>
            <w:hideMark/>
          </w:tcPr>
          <w:p w14:paraId="08BC3C08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HTTP API</w:t>
            </w:r>
          </w:p>
        </w:tc>
      </w:tr>
      <w:tr w:rsidR="00165AA0" w:rsidRPr="00165AA0" w14:paraId="08821D74" w14:textId="77777777" w:rsidTr="00165AA0">
        <w:tc>
          <w:tcPr>
            <w:tcW w:w="0" w:type="auto"/>
            <w:hideMark/>
          </w:tcPr>
          <w:p w14:paraId="1A03CD04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EDCC03D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СВН</w:t>
            </w:r>
          </w:p>
        </w:tc>
        <w:tc>
          <w:tcPr>
            <w:tcW w:w="0" w:type="auto"/>
            <w:hideMark/>
          </w:tcPr>
          <w:p w14:paraId="15C796F7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Обнаружение температуры &gt;80 °C на термокамере (РУ)</w:t>
            </w:r>
          </w:p>
        </w:tc>
        <w:tc>
          <w:tcPr>
            <w:tcW w:w="0" w:type="auto"/>
            <w:hideMark/>
          </w:tcPr>
          <w:p w14:paraId="24F73B0D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СКУД</w:t>
            </w:r>
          </w:p>
        </w:tc>
        <w:tc>
          <w:tcPr>
            <w:tcW w:w="0" w:type="auto"/>
            <w:hideMark/>
          </w:tcPr>
          <w:p w14:paraId="3BA139D7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Временная блокировка всех точек доступа в зону РУ (кроме дежурного инженера)</w:t>
            </w:r>
          </w:p>
        </w:tc>
        <w:tc>
          <w:tcPr>
            <w:tcW w:w="0" w:type="auto"/>
            <w:hideMark/>
          </w:tcPr>
          <w:p w14:paraId="3334B7F6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REST API</w:t>
            </w:r>
          </w:p>
        </w:tc>
      </w:tr>
      <w:tr w:rsidR="00165AA0" w:rsidRPr="00165AA0" w14:paraId="0E2AB94E" w14:textId="77777777" w:rsidTr="00165AA0">
        <w:tc>
          <w:tcPr>
            <w:tcW w:w="0" w:type="auto"/>
            <w:hideMark/>
          </w:tcPr>
          <w:p w14:paraId="02B0B0C1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F7985C6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Пожарная сигнализация</w:t>
            </w:r>
          </w:p>
        </w:tc>
        <w:tc>
          <w:tcPr>
            <w:tcW w:w="0" w:type="auto"/>
            <w:hideMark/>
          </w:tcPr>
          <w:p w14:paraId="040DD67A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Срабатывание ППК (сухой контакт)</w:t>
            </w:r>
          </w:p>
        </w:tc>
        <w:tc>
          <w:tcPr>
            <w:tcW w:w="0" w:type="auto"/>
            <w:hideMark/>
          </w:tcPr>
          <w:p w14:paraId="21E9ACC3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СКУД</w:t>
            </w:r>
          </w:p>
        </w:tc>
        <w:tc>
          <w:tcPr>
            <w:tcW w:w="0" w:type="auto"/>
            <w:hideMark/>
          </w:tcPr>
          <w:p w14:paraId="1C956F49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Разблокировка всех дверей для эвакуации</w:t>
            </w:r>
          </w:p>
        </w:tc>
        <w:tc>
          <w:tcPr>
            <w:tcW w:w="0" w:type="auto"/>
            <w:hideMark/>
          </w:tcPr>
          <w:p w14:paraId="2BDB1112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Сухой контакт → контроллер СКУД</w:t>
            </w:r>
          </w:p>
        </w:tc>
      </w:tr>
      <w:tr w:rsidR="00165AA0" w:rsidRPr="00165AA0" w14:paraId="2116A471" w14:textId="77777777" w:rsidTr="00165AA0">
        <w:tc>
          <w:tcPr>
            <w:tcW w:w="0" w:type="auto"/>
            <w:hideMark/>
          </w:tcPr>
          <w:p w14:paraId="1813B00B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6554D25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СКУД</w:t>
            </w:r>
          </w:p>
        </w:tc>
        <w:tc>
          <w:tcPr>
            <w:tcW w:w="0" w:type="auto"/>
            <w:hideMark/>
          </w:tcPr>
          <w:p w14:paraId="517D524B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Сброс тревоги ППК</w:t>
            </w:r>
          </w:p>
        </w:tc>
        <w:tc>
          <w:tcPr>
            <w:tcW w:w="0" w:type="auto"/>
            <w:hideMark/>
          </w:tcPr>
          <w:p w14:paraId="4FCAD685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СКУД</w:t>
            </w:r>
          </w:p>
        </w:tc>
        <w:tc>
          <w:tcPr>
            <w:tcW w:w="0" w:type="auto"/>
            <w:hideMark/>
          </w:tcPr>
          <w:p w14:paraId="33948CE6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Восстановление политик доступа</w:t>
            </w:r>
          </w:p>
        </w:tc>
        <w:tc>
          <w:tcPr>
            <w:tcW w:w="0" w:type="auto"/>
            <w:hideMark/>
          </w:tcPr>
          <w:p w14:paraId="64EE3290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Сухой контакт</w:t>
            </w:r>
          </w:p>
        </w:tc>
      </w:tr>
    </w:tbl>
    <w:p w14:paraId="7CAF4CA1" w14:textId="12C8E4A9" w:rsidR="00165AA0" w:rsidRPr="00165AA0" w:rsidRDefault="00165AA0" w:rsidP="00165AA0"/>
    <w:p w14:paraId="6C1BA490" w14:textId="77777777" w:rsidR="00165AA0" w:rsidRPr="00165AA0" w:rsidRDefault="00165AA0" w:rsidP="00165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AA0">
        <w:rPr>
          <w:rFonts w:ascii="Times New Roman" w:hAnsi="Times New Roman" w:cs="Times New Roman"/>
          <w:b/>
          <w:bCs/>
          <w:sz w:val="28"/>
          <w:szCs w:val="28"/>
        </w:rPr>
        <w:t>3. Технические требования к протоколам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5"/>
        <w:gridCol w:w="2761"/>
        <w:gridCol w:w="2493"/>
        <w:gridCol w:w="2456"/>
      </w:tblGrid>
      <w:tr w:rsidR="00165AA0" w:rsidRPr="00165AA0" w14:paraId="6A7D0A74" w14:textId="77777777" w:rsidTr="00165AA0">
        <w:tc>
          <w:tcPr>
            <w:tcW w:w="0" w:type="auto"/>
            <w:hideMark/>
          </w:tcPr>
          <w:p w14:paraId="7B850DB0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Протокол / Интерфейс</w:t>
            </w:r>
          </w:p>
        </w:tc>
        <w:tc>
          <w:tcPr>
            <w:tcW w:w="0" w:type="auto"/>
            <w:hideMark/>
          </w:tcPr>
          <w:p w14:paraId="3A6B1000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hideMark/>
          </w:tcPr>
          <w:p w14:paraId="38519B9A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Обязательные параметры</w:t>
            </w:r>
          </w:p>
        </w:tc>
        <w:tc>
          <w:tcPr>
            <w:tcW w:w="0" w:type="auto"/>
            <w:hideMark/>
          </w:tcPr>
          <w:p w14:paraId="2DCB475A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</w:tr>
      <w:tr w:rsidR="00165AA0" w:rsidRPr="00165AA0" w14:paraId="50EA1DA7" w14:textId="77777777" w:rsidTr="00165AA0">
        <w:tc>
          <w:tcPr>
            <w:tcW w:w="0" w:type="auto"/>
            <w:hideMark/>
          </w:tcPr>
          <w:p w14:paraId="5A06FE46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ONVIF Profile C</w:t>
            </w:r>
          </w:p>
        </w:tc>
        <w:tc>
          <w:tcPr>
            <w:tcW w:w="0" w:type="auto"/>
            <w:hideMark/>
          </w:tcPr>
          <w:p w14:paraId="5955A01D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Управление событиями СКУД из VMS и обратно</w:t>
            </w:r>
          </w:p>
        </w:tc>
        <w:tc>
          <w:tcPr>
            <w:tcW w:w="0" w:type="auto"/>
            <w:hideMark/>
          </w:tcPr>
          <w:p w14:paraId="44EC6CD3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Поддержка Event Handling, Rule Engine</w:t>
            </w:r>
          </w:p>
        </w:tc>
        <w:tc>
          <w:tcPr>
            <w:tcW w:w="0" w:type="auto"/>
            <w:hideMark/>
          </w:tcPr>
          <w:p w14:paraId="3D17B0E5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Аутентификация по логину/паролю, HTTPS</w:t>
            </w:r>
          </w:p>
        </w:tc>
      </w:tr>
      <w:tr w:rsidR="00165AA0" w:rsidRPr="00165AA0" w14:paraId="7F5C0148" w14:textId="77777777" w:rsidTr="00165AA0">
        <w:tc>
          <w:tcPr>
            <w:tcW w:w="0" w:type="auto"/>
            <w:hideMark/>
          </w:tcPr>
          <w:p w14:paraId="40806F0D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HTTP/REST API</w:t>
            </w:r>
          </w:p>
        </w:tc>
        <w:tc>
          <w:tcPr>
            <w:tcW w:w="0" w:type="auto"/>
            <w:hideMark/>
          </w:tcPr>
          <w:p w14:paraId="1A312855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Кастомные</w:t>
            </w:r>
            <w:proofErr w:type="spellEnd"/>
            <w:r w:rsidRPr="00165AA0">
              <w:rPr>
                <w:rFonts w:ascii="Times New Roman" w:hAnsi="Times New Roman" w:cs="Times New Roman"/>
                <w:sz w:val="24"/>
                <w:szCs w:val="24"/>
              </w:rPr>
              <w:t xml:space="preserve"> интеграционные сценарии (</w:t>
            </w:r>
            <w:proofErr w:type="spellStart"/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термоперегрев</w:t>
            </w:r>
            <w:proofErr w:type="spellEnd"/>
            <w:r w:rsidRPr="00165AA0">
              <w:rPr>
                <w:rFonts w:ascii="Times New Roman" w:hAnsi="Times New Roman" w:cs="Times New Roman"/>
                <w:sz w:val="24"/>
                <w:szCs w:val="24"/>
              </w:rPr>
              <w:t xml:space="preserve"> → блокировка)</w:t>
            </w:r>
          </w:p>
        </w:tc>
        <w:tc>
          <w:tcPr>
            <w:tcW w:w="0" w:type="auto"/>
            <w:hideMark/>
          </w:tcPr>
          <w:p w14:paraId="6AE4F9DA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JSON-формат, таймаут ≤ 2 с, повтор до 3 раз</w:t>
            </w:r>
          </w:p>
        </w:tc>
        <w:tc>
          <w:tcPr>
            <w:tcW w:w="0" w:type="auto"/>
            <w:hideMark/>
          </w:tcPr>
          <w:p w14:paraId="6D520A24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TLS 1.3, токены доступа</w:t>
            </w:r>
          </w:p>
        </w:tc>
      </w:tr>
      <w:tr w:rsidR="00165AA0" w:rsidRPr="00165AA0" w14:paraId="7FCFD1CA" w14:textId="77777777" w:rsidTr="00165AA0">
        <w:tc>
          <w:tcPr>
            <w:tcW w:w="0" w:type="auto"/>
            <w:hideMark/>
          </w:tcPr>
          <w:p w14:paraId="07AA3141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OSDP Secure</w:t>
            </w:r>
          </w:p>
        </w:tc>
        <w:tc>
          <w:tcPr>
            <w:tcW w:w="0" w:type="auto"/>
            <w:hideMark/>
          </w:tcPr>
          <w:p w14:paraId="27303519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Внутренняя связь: считыватель ↔ контроллер СКУД</w:t>
            </w:r>
          </w:p>
        </w:tc>
        <w:tc>
          <w:tcPr>
            <w:tcW w:w="0" w:type="auto"/>
            <w:hideMark/>
          </w:tcPr>
          <w:p w14:paraId="7F71D98B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Шифрование AES-128, двусторонняя аутентификация</w:t>
            </w:r>
          </w:p>
        </w:tc>
        <w:tc>
          <w:tcPr>
            <w:tcW w:w="0" w:type="auto"/>
            <w:hideMark/>
          </w:tcPr>
          <w:p w14:paraId="4DB3A50D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Защищён от подмены и перехвата</w:t>
            </w:r>
          </w:p>
        </w:tc>
      </w:tr>
      <w:tr w:rsidR="00165AA0" w:rsidRPr="00165AA0" w14:paraId="039EC40F" w14:textId="77777777" w:rsidTr="00165AA0">
        <w:tc>
          <w:tcPr>
            <w:tcW w:w="0" w:type="auto"/>
            <w:hideMark/>
          </w:tcPr>
          <w:p w14:paraId="62B02C11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Сухой контакт</w:t>
            </w:r>
          </w:p>
        </w:tc>
        <w:tc>
          <w:tcPr>
            <w:tcW w:w="0" w:type="auto"/>
            <w:hideMark/>
          </w:tcPr>
          <w:p w14:paraId="1B97616B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Аварийное взаимодействие с пожарной сигнализацией</w:t>
            </w:r>
          </w:p>
        </w:tc>
        <w:tc>
          <w:tcPr>
            <w:tcW w:w="0" w:type="auto"/>
            <w:hideMark/>
          </w:tcPr>
          <w:p w14:paraId="1981062A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Напряжение ≤ 24 В, ток ≤ 100 мА</w:t>
            </w:r>
          </w:p>
        </w:tc>
        <w:tc>
          <w:tcPr>
            <w:tcW w:w="0" w:type="auto"/>
            <w:hideMark/>
          </w:tcPr>
          <w:p w14:paraId="05D626E5" w14:textId="77777777" w:rsidR="00165AA0" w:rsidRPr="00165AA0" w:rsidRDefault="00165AA0" w:rsidP="00165AA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5AA0">
              <w:rPr>
                <w:rFonts w:ascii="Times New Roman" w:hAnsi="Times New Roman" w:cs="Times New Roman"/>
                <w:sz w:val="24"/>
                <w:szCs w:val="24"/>
              </w:rPr>
              <w:t>Не зависит от сети и питания — работает всегда</w:t>
            </w:r>
          </w:p>
        </w:tc>
      </w:tr>
    </w:tbl>
    <w:p w14:paraId="31D01261" w14:textId="77777777" w:rsidR="00165AA0" w:rsidRDefault="00165AA0" w:rsidP="00165A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C1CB1" w14:textId="77777777" w:rsidR="00165AA0" w:rsidRDefault="00165AA0" w:rsidP="00165A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28B74" w14:textId="165DE237" w:rsidR="00165AA0" w:rsidRPr="00165AA0" w:rsidRDefault="00165AA0" w:rsidP="00165A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5AA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Требования к оборудованию и ПО</w:t>
      </w:r>
    </w:p>
    <w:p w14:paraId="20ACD98D" w14:textId="77777777" w:rsidR="00165AA0" w:rsidRPr="00165AA0" w:rsidRDefault="00165AA0" w:rsidP="00165AA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b/>
          <w:bCs/>
          <w:sz w:val="28"/>
          <w:szCs w:val="28"/>
        </w:rPr>
        <w:t>VMS-сервер</w:t>
      </w:r>
      <w:r w:rsidRPr="00165AA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65AA0">
        <w:rPr>
          <w:rFonts w:ascii="Times New Roman" w:hAnsi="Times New Roman" w:cs="Times New Roman"/>
          <w:sz w:val="28"/>
          <w:szCs w:val="28"/>
        </w:rPr>
        <w:t>Milestone</w:t>
      </w:r>
      <w:proofErr w:type="spellEnd"/>
      <w:r w:rsidRPr="00165A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AA0">
        <w:rPr>
          <w:rFonts w:ascii="Times New Roman" w:hAnsi="Times New Roman" w:cs="Times New Roman"/>
          <w:sz w:val="28"/>
          <w:szCs w:val="28"/>
        </w:rPr>
        <w:t>XProtect</w:t>
      </w:r>
      <w:proofErr w:type="spellEnd"/>
      <w:r w:rsidRPr="00165AA0">
        <w:rPr>
          <w:rFonts w:ascii="Times New Roman" w:hAnsi="Times New Roman" w:cs="Times New Roman"/>
          <w:sz w:val="28"/>
          <w:szCs w:val="28"/>
        </w:rPr>
        <w:t xml:space="preserve"> 2023 R2 — поддержка ONVIF Profile C, встроенные Action </w:t>
      </w:r>
      <w:proofErr w:type="spellStart"/>
      <w:r w:rsidRPr="00165AA0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165AA0">
        <w:rPr>
          <w:rFonts w:ascii="Times New Roman" w:hAnsi="Times New Roman" w:cs="Times New Roman"/>
          <w:sz w:val="28"/>
          <w:szCs w:val="28"/>
        </w:rPr>
        <w:t xml:space="preserve"> для триггеров.</w:t>
      </w:r>
    </w:p>
    <w:p w14:paraId="2222CC2B" w14:textId="77777777" w:rsidR="00165AA0" w:rsidRPr="00165AA0" w:rsidRDefault="00165AA0" w:rsidP="00165AA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b/>
          <w:bCs/>
          <w:sz w:val="28"/>
          <w:szCs w:val="28"/>
        </w:rPr>
        <w:t>ПО СКУД</w:t>
      </w:r>
      <w:r w:rsidRPr="00165AA0">
        <w:rPr>
          <w:rFonts w:ascii="Times New Roman" w:hAnsi="Times New Roman" w:cs="Times New Roman"/>
          <w:sz w:val="28"/>
          <w:szCs w:val="28"/>
        </w:rPr>
        <w:t xml:space="preserve">: HID Global </w:t>
      </w:r>
      <w:proofErr w:type="spellStart"/>
      <w:r w:rsidRPr="00165AA0">
        <w:rPr>
          <w:rFonts w:ascii="Times New Roman" w:hAnsi="Times New Roman" w:cs="Times New Roman"/>
          <w:sz w:val="28"/>
          <w:szCs w:val="28"/>
        </w:rPr>
        <w:t>Velocity</w:t>
      </w:r>
      <w:proofErr w:type="spellEnd"/>
      <w:r w:rsidRPr="00165AA0">
        <w:rPr>
          <w:rFonts w:ascii="Times New Roman" w:hAnsi="Times New Roman" w:cs="Times New Roman"/>
          <w:sz w:val="28"/>
          <w:szCs w:val="28"/>
        </w:rPr>
        <w:t xml:space="preserve"> Standard 4.2 — поддержка REST API, </w:t>
      </w:r>
      <w:proofErr w:type="spellStart"/>
      <w:r w:rsidRPr="00165AA0">
        <w:rPr>
          <w:rFonts w:ascii="Times New Roman" w:hAnsi="Times New Roman" w:cs="Times New Roman"/>
          <w:sz w:val="28"/>
          <w:szCs w:val="28"/>
        </w:rPr>
        <w:t>вебхуков</w:t>
      </w:r>
      <w:proofErr w:type="spellEnd"/>
      <w:r w:rsidRPr="00165AA0">
        <w:rPr>
          <w:rFonts w:ascii="Times New Roman" w:hAnsi="Times New Roman" w:cs="Times New Roman"/>
          <w:sz w:val="28"/>
          <w:szCs w:val="28"/>
        </w:rPr>
        <w:t>, интеграции с VMS.</w:t>
      </w:r>
    </w:p>
    <w:p w14:paraId="2BFF4E36" w14:textId="77777777" w:rsidR="00165AA0" w:rsidRPr="00165AA0" w:rsidRDefault="00165AA0" w:rsidP="00165AA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b/>
          <w:bCs/>
          <w:sz w:val="28"/>
          <w:szCs w:val="28"/>
        </w:rPr>
        <w:t>Контроллеры СКУД</w:t>
      </w:r>
      <w:r w:rsidRPr="00165AA0">
        <w:rPr>
          <w:rFonts w:ascii="Times New Roman" w:hAnsi="Times New Roman" w:cs="Times New Roman"/>
          <w:sz w:val="28"/>
          <w:szCs w:val="28"/>
        </w:rPr>
        <w:t xml:space="preserve">: HID </w:t>
      </w:r>
      <w:proofErr w:type="spellStart"/>
      <w:r w:rsidRPr="00165AA0">
        <w:rPr>
          <w:rFonts w:ascii="Times New Roman" w:hAnsi="Times New Roman" w:cs="Times New Roman"/>
          <w:sz w:val="28"/>
          <w:szCs w:val="28"/>
        </w:rPr>
        <w:t>VertX</w:t>
      </w:r>
      <w:proofErr w:type="spellEnd"/>
      <w:r w:rsidRPr="00165AA0">
        <w:rPr>
          <w:rFonts w:ascii="Times New Roman" w:hAnsi="Times New Roman" w:cs="Times New Roman"/>
          <w:sz w:val="28"/>
          <w:szCs w:val="28"/>
        </w:rPr>
        <w:t xml:space="preserve"> EVO — возможность хранения локальных правил интеграции (автономный режим).</w:t>
      </w:r>
    </w:p>
    <w:p w14:paraId="4517815E" w14:textId="329BD998" w:rsidR="00165AA0" w:rsidRPr="00165AA0" w:rsidRDefault="00165AA0" w:rsidP="00165AA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b/>
          <w:bCs/>
          <w:sz w:val="28"/>
          <w:szCs w:val="28"/>
        </w:rPr>
        <w:t>Камеры</w:t>
      </w:r>
      <w:r w:rsidRPr="00165AA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65AA0">
        <w:rPr>
          <w:rFonts w:ascii="Times New Roman" w:hAnsi="Times New Roman" w:cs="Times New Roman"/>
          <w:sz w:val="28"/>
          <w:szCs w:val="28"/>
        </w:rPr>
        <w:t>Axis</w:t>
      </w:r>
      <w:proofErr w:type="spellEnd"/>
      <w:r w:rsidRPr="00165AA0">
        <w:rPr>
          <w:rFonts w:ascii="Times New Roman" w:hAnsi="Times New Roman" w:cs="Times New Roman"/>
          <w:sz w:val="28"/>
          <w:szCs w:val="28"/>
        </w:rPr>
        <w:t xml:space="preserve"> Q1952-E — передача температурных метаданных через ONVIF Profile T.</w:t>
      </w:r>
    </w:p>
    <w:p w14:paraId="31CADC93" w14:textId="77777777" w:rsidR="00165AA0" w:rsidRPr="00165AA0" w:rsidRDefault="00165AA0" w:rsidP="00165A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5AA0">
        <w:rPr>
          <w:rFonts w:ascii="Times New Roman" w:hAnsi="Times New Roman" w:cs="Times New Roman"/>
          <w:b/>
          <w:bCs/>
          <w:sz w:val="28"/>
          <w:szCs w:val="28"/>
        </w:rPr>
        <w:t>5. Требования к отказоустойчивости и тестированию</w:t>
      </w:r>
    </w:p>
    <w:p w14:paraId="4E7CBCAF" w14:textId="77777777" w:rsidR="00165AA0" w:rsidRPr="00165AA0" w:rsidRDefault="00165AA0" w:rsidP="00165AA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 xml:space="preserve">При обрыве связи между СВН и СКУД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локальные правила на контроллерах остаются активными</w:t>
      </w:r>
      <w:r w:rsidRPr="00165AA0">
        <w:rPr>
          <w:rFonts w:ascii="Times New Roman" w:hAnsi="Times New Roman" w:cs="Times New Roman"/>
          <w:sz w:val="28"/>
          <w:szCs w:val="28"/>
        </w:rPr>
        <w:t>.</w:t>
      </w:r>
    </w:p>
    <w:p w14:paraId="225F51C7" w14:textId="77777777" w:rsidR="00165AA0" w:rsidRPr="00165AA0" w:rsidRDefault="00165AA0" w:rsidP="00165AA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 xml:space="preserve">Все интеграционные сценарии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обязательно тестируются</w:t>
      </w:r>
      <w:r w:rsidRPr="00165AA0">
        <w:rPr>
          <w:rFonts w:ascii="Times New Roman" w:hAnsi="Times New Roman" w:cs="Times New Roman"/>
          <w:sz w:val="28"/>
          <w:szCs w:val="28"/>
        </w:rPr>
        <w:t xml:space="preserve"> на демо-стенде до внедрения.</w:t>
      </w:r>
    </w:p>
    <w:p w14:paraId="3DD10EB8" w14:textId="77777777" w:rsidR="00165AA0" w:rsidRPr="00165AA0" w:rsidRDefault="00165AA0" w:rsidP="00165AA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 xml:space="preserve">При сбое VMS события СКУД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буферизируются</w:t>
      </w:r>
      <w:r w:rsidRPr="00165AA0">
        <w:rPr>
          <w:rFonts w:ascii="Times New Roman" w:hAnsi="Times New Roman" w:cs="Times New Roman"/>
          <w:sz w:val="28"/>
          <w:szCs w:val="28"/>
        </w:rPr>
        <w:t xml:space="preserve"> и передаются при восстановлении соединения.</w:t>
      </w:r>
    </w:p>
    <w:p w14:paraId="48B1E3C4" w14:textId="6FA7ED7C" w:rsidR="00165AA0" w:rsidRPr="00165AA0" w:rsidRDefault="00165AA0" w:rsidP="00165AA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 xml:space="preserve">Максимальное время реакции на событие —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≤ 3 секунд</w:t>
      </w:r>
      <w:r w:rsidRPr="00165AA0">
        <w:rPr>
          <w:rFonts w:ascii="Times New Roman" w:hAnsi="Times New Roman" w:cs="Times New Roman"/>
          <w:sz w:val="28"/>
          <w:szCs w:val="28"/>
        </w:rPr>
        <w:t>.</w:t>
      </w:r>
    </w:p>
    <w:p w14:paraId="6B7BBD14" w14:textId="77777777" w:rsidR="00165AA0" w:rsidRPr="00165AA0" w:rsidRDefault="00165AA0" w:rsidP="00165AA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5AA0">
        <w:rPr>
          <w:rFonts w:ascii="Times New Roman" w:hAnsi="Times New Roman" w:cs="Times New Roman"/>
          <w:b/>
          <w:bCs/>
          <w:sz w:val="28"/>
          <w:szCs w:val="28"/>
        </w:rPr>
        <w:t>6. Документирование интеграции</w:t>
      </w:r>
    </w:p>
    <w:p w14:paraId="0511912B" w14:textId="77777777" w:rsidR="00165AA0" w:rsidRPr="00165AA0" w:rsidRDefault="00165AA0" w:rsidP="00165AA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>Все API-</w:t>
      </w:r>
      <w:proofErr w:type="spellStart"/>
      <w:r w:rsidRPr="00165AA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165AA0">
        <w:rPr>
          <w:rFonts w:ascii="Times New Roman" w:hAnsi="Times New Roman" w:cs="Times New Roman"/>
          <w:sz w:val="28"/>
          <w:szCs w:val="28"/>
        </w:rPr>
        <w:t xml:space="preserve">, токены и правила описаны в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интеграционной схеме</w:t>
      </w:r>
      <w:r w:rsidRPr="00165AA0">
        <w:rPr>
          <w:rFonts w:ascii="Times New Roman" w:hAnsi="Times New Roman" w:cs="Times New Roman"/>
          <w:sz w:val="28"/>
          <w:szCs w:val="28"/>
        </w:rPr>
        <w:t xml:space="preserve"> (приложение к проекту).</w:t>
      </w:r>
    </w:p>
    <w:p w14:paraId="0DFADD7D" w14:textId="77777777" w:rsidR="00165AA0" w:rsidRPr="00165AA0" w:rsidRDefault="00165AA0" w:rsidP="00165AA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 xml:space="preserve">Сценарии включены в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>RFC-процесс</w:t>
      </w:r>
      <w:r w:rsidRPr="00165AA0">
        <w:rPr>
          <w:rFonts w:ascii="Times New Roman" w:hAnsi="Times New Roman" w:cs="Times New Roman"/>
          <w:sz w:val="28"/>
          <w:szCs w:val="28"/>
        </w:rPr>
        <w:t>: любое изменение интеграции требует оценки рисков и тестирования.</w:t>
      </w:r>
    </w:p>
    <w:p w14:paraId="6C0FC718" w14:textId="77777777" w:rsidR="00165AA0" w:rsidRPr="00165AA0" w:rsidRDefault="00165AA0" w:rsidP="00165AA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5AA0">
        <w:rPr>
          <w:rFonts w:ascii="Times New Roman" w:hAnsi="Times New Roman" w:cs="Times New Roman"/>
          <w:sz w:val="28"/>
          <w:szCs w:val="28"/>
        </w:rPr>
        <w:t xml:space="preserve">Конфигурация интеграции (URL, учётные данные, правила) </w:t>
      </w:r>
      <w:r w:rsidRPr="00165AA0">
        <w:rPr>
          <w:rFonts w:ascii="Times New Roman" w:hAnsi="Times New Roman" w:cs="Times New Roman"/>
          <w:b/>
          <w:bCs/>
          <w:sz w:val="28"/>
          <w:szCs w:val="28"/>
        </w:rPr>
        <w:t xml:space="preserve">входит в </w:t>
      </w:r>
      <w:proofErr w:type="spellStart"/>
      <w:r w:rsidRPr="00165AA0">
        <w:rPr>
          <w:rFonts w:ascii="Times New Roman" w:hAnsi="Times New Roman" w:cs="Times New Roman"/>
          <w:b/>
          <w:bCs/>
          <w:sz w:val="28"/>
          <w:szCs w:val="28"/>
        </w:rPr>
        <w:t>baseline</w:t>
      </w:r>
      <w:proofErr w:type="spellEnd"/>
      <w:r w:rsidRPr="00165AA0">
        <w:rPr>
          <w:rFonts w:ascii="Times New Roman" w:hAnsi="Times New Roman" w:cs="Times New Roman"/>
          <w:sz w:val="28"/>
          <w:szCs w:val="28"/>
        </w:rPr>
        <w:t xml:space="preserve"> и фиксируется в </w:t>
      </w:r>
      <w:proofErr w:type="spellStart"/>
      <w:r w:rsidRPr="00165A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65AA0">
        <w:rPr>
          <w:rFonts w:ascii="Times New Roman" w:hAnsi="Times New Roman" w:cs="Times New Roman"/>
          <w:sz w:val="28"/>
          <w:szCs w:val="28"/>
        </w:rPr>
        <w:t>-репозитории.</w:t>
      </w:r>
    </w:p>
    <w:p w14:paraId="21C133ED" w14:textId="77777777" w:rsidR="00A96FCF" w:rsidRDefault="00A96FCF" w:rsidP="00165AA0">
      <w:pPr>
        <w:spacing w:line="360" w:lineRule="auto"/>
      </w:pPr>
    </w:p>
    <w:sectPr w:rsidR="00A96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5E6"/>
    <w:multiLevelType w:val="multilevel"/>
    <w:tmpl w:val="F37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7667A"/>
    <w:multiLevelType w:val="multilevel"/>
    <w:tmpl w:val="508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C677C"/>
    <w:multiLevelType w:val="multilevel"/>
    <w:tmpl w:val="9DC6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F46FC"/>
    <w:multiLevelType w:val="multilevel"/>
    <w:tmpl w:val="F2D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6D"/>
    <w:rsid w:val="00165AA0"/>
    <w:rsid w:val="00A96FCF"/>
    <w:rsid w:val="00F1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CDA42"/>
  <w15:chartTrackingRefBased/>
  <w15:docId w15:val="{38927BFC-226D-4CBD-8991-38797A66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5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7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29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195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28130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891996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4243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4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672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96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819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03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067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517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387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053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152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632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416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533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51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415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438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81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775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338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287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765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268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858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395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494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078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970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127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330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705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693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17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793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343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091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41590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73080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824760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768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097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099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58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246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467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326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75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257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867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3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004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806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972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818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194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51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920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522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425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8845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94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587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15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376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8414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574272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5106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5351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22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998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98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49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410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3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89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521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296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487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738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416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484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287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308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138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638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95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20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751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610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403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706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988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87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265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991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034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207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099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231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828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355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30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7371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58619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809192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7987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19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405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146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14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217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04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2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58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9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99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262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862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053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129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909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40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772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465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749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8423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909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367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Зотова</dc:creator>
  <cp:keywords/>
  <dc:description/>
  <cp:lastModifiedBy>Яна Зотова</cp:lastModifiedBy>
  <cp:revision>2</cp:revision>
  <dcterms:created xsi:type="dcterms:W3CDTF">2025-12-14T03:40:00Z</dcterms:created>
  <dcterms:modified xsi:type="dcterms:W3CDTF">2025-12-14T03:43:00Z</dcterms:modified>
</cp:coreProperties>
</file>