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2" name="图片 2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obvious relationship between X1 and 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5" o:spt="75" type="#_x0000_t75" style="height:19pt;width:204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10.19 - 0.1818*X1 + 0.314*X2 + 8.046*e^-6*X4 + 0.01415*X1^2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3" name="图片 3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plot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non-linearity and the variance is the same. So, it is a good fit.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model 2 , the R^2 = 0.583, Ra^2 = 0.5667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model , the R^2 = 0.6131, Ra^2 = 0.5927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model fits better than the model 2.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H0 : 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3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H1 : 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3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40"/>
          <w:lang w:val="en-US" w:eastAsia="zh-CN"/>
        </w:rPr>
        <w:object>
          <v:shape id="_x0000_i1028" o:spt="75" type="#_x0000_t75" style="height:46pt;width:5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null distribution is T distribution.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Reject condition : pValue &lt; 0.05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pValue = 0.0174, under the significant of 0.05, we should reject the null hypothesis.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prediction value is 14.88699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02690"/>
            <wp:effectExtent l="0" t="0" r="4445" b="165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prediction interval is smaller than the model 2.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5" name="图片 5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plot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cylinders variable, year of make and country.code variable are qualitative variables.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cylinders variable, year of make and country.code variable are qualitative variables.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others are quantitative variables.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the Na value.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should also transform those qualitative variables to indicator variables.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24455"/>
            <wp:effectExtent l="0" t="0" r="5715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we need Z-Score transformation. Because we need to exclude the influence of units.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76825" cy="37528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displacement, horsepower and the weight are nonlinear relationship with response variable.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transform response variable 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9" name="图片 9" descr="Rplot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plot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10" name="图片 10" descr="Rplo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plot0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mpg is smaller if cylinders are larger. The mpg is larger if years are larger. The mpg is larger if the country code is larger.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42" o:spt="75" type="#_x0000_t75" style="height:40pt;width:16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2" DrawAspect="Content" ObjectID="_1468075729" r:id="rId20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5" o:spt="75" type="#_x0000_t75" style="height:34pt;width:251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22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no correct model among the models being considered. Because the key X variables are sin(x) and sin(2x). But the polynomial model dose not contain any key X variables.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the error variance of 0.5: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in-sample variance of 1 model is : 0.5147214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in-sample variance of 2 model is : 0.7689784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in-sample variance of 3 model is : 1.001592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in-sample variance of 5 model is : 1.472747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in-sample variance of 7 model is : 1.987825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in-sample variance of 9 model is : 2.51138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variance will be changed if the error variance change.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model with high polynomial will have the lower bias.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bias will not change if the error variance change.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model variance is the dominant component in the </w:t>
      </w:r>
      <w:r>
        <w:rPr>
          <w:rFonts w:hint="default"/>
          <w:lang w:val="en-US" w:eastAsia="zh-CN"/>
        </w:rPr>
        <w:t>(in-sample)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mean-squared-estimation-error</w:t>
      </w:r>
      <w:r>
        <w:rPr>
          <w:rFonts w:hint="eastAsia"/>
          <w:lang w:val="en-US" w:eastAsia="zh-CN"/>
        </w:rPr>
        <w:t xml:space="preserve"> if the polynomial is high.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model bias is the dominant component in the </w:t>
      </w:r>
      <w:r>
        <w:rPr>
          <w:rFonts w:hint="default"/>
          <w:lang w:val="en-US" w:eastAsia="zh-CN"/>
        </w:rPr>
        <w:t>(in-sample)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mean-squared-estimation-error</w:t>
      </w:r>
      <w:r>
        <w:rPr>
          <w:rFonts w:hint="eastAsia"/>
          <w:lang w:val="en-US" w:eastAsia="zh-CN"/>
        </w:rPr>
        <w:t xml:space="preserve"> if the polynomial is low.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there are many nuisance X variables in the model with high polynomial, the variance will be larger and the bias will be smaller.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no nuisance X variables in the model with low polynomial, the variance will be smaller and the bias will be larger.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 under error variance is 5: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002665"/>
            <wp:effectExtent l="0" t="0" r="5715" b="698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under error variance is 0.5: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810895"/>
            <wp:effectExtent l="0" t="0" r="4445" b="825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under error variance is 2: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927100"/>
            <wp:effectExtent l="0" t="0" r="3175" b="635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 on the value of error variance.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error variance is large, we should choose the lower polynomial model 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error variance is small, we should choose the higher polynomial model.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error variance is in the medium value, we should choose the medium polynomial model.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Because the mean-squared-estimation-error is equal with variance plus squared bias. The bias of each model are not change but variance will change hugely.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 under error variance is 0.5: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74015"/>
            <wp:effectExtent l="0" t="0" r="4445" b="698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under error variance is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60680"/>
            <wp:effectExtent l="0" t="0" r="4445" b="127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under error variance is 5: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13385"/>
            <wp:effectExtent l="0" t="0" r="3175" b="571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E(</w:t>
      </w:r>
      <w:r>
        <w:rPr>
          <w:rFonts w:hint="default"/>
          <w:lang w:val="en-US" w:eastAsia="zh-CN"/>
        </w:rPr>
        <w:t>SSE)</w:t>
      </w:r>
      <w:r>
        <w:rPr>
          <w:rFonts w:hint="eastAsia"/>
          <w:lang w:val="en-US" w:eastAsia="zh-CN"/>
        </w:rPr>
        <w:t xml:space="preserve"> will be smaller the high polynomial model if the error variance is same.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E(</w:t>
      </w:r>
      <w:r>
        <w:rPr>
          <w:rFonts w:hint="default"/>
          <w:lang w:val="en-US" w:eastAsia="zh-CN"/>
        </w:rPr>
        <w:t>SSE)</w:t>
      </w:r>
      <w:r>
        <w:rPr>
          <w:rFonts w:hint="eastAsia"/>
          <w:lang w:val="en-US" w:eastAsia="zh-CN"/>
        </w:rPr>
        <w:t xml:space="preserve"> will be larger if the error variance is larger and the model is the same. Because mean-squared-estimation-error is equal with variance plus squared bias. the variance of this model will larger but the bias will not change significantly.So, the E(</w:t>
      </w:r>
      <w:r>
        <w:rPr>
          <w:rFonts w:hint="default"/>
          <w:lang w:val="en-US" w:eastAsia="zh-CN"/>
        </w:rPr>
        <w:t>SSE)</w:t>
      </w:r>
      <w:r>
        <w:rPr>
          <w:rFonts w:hint="eastAsia"/>
          <w:lang w:val="en-US" w:eastAsia="zh-CN"/>
        </w:rPr>
        <w:t xml:space="preserve"> will be larger.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962CF"/>
    <w:rsid w:val="005A2F62"/>
    <w:rsid w:val="04905BB1"/>
    <w:rsid w:val="04B12AE2"/>
    <w:rsid w:val="087A61D7"/>
    <w:rsid w:val="08965E9E"/>
    <w:rsid w:val="0A5420CF"/>
    <w:rsid w:val="0B2E46BB"/>
    <w:rsid w:val="0BA51E70"/>
    <w:rsid w:val="0CAC10DC"/>
    <w:rsid w:val="0D932C39"/>
    <w:rsid w:val="0D9F5019"/>
    <w:rsid w:val="0DC12654"/>
    <w:rsid w:val="0E2E3FD6"/>
    <w:rsid w:val="0EB3166E"/>
    <w:rsid w:val="11215909"/>
    <w:rsid w:val="11550635"/>
    <w:rsid w:val="13E0071D"/>
    <w:rsid w:val="16291179"/>
    <w:rsid w:val="179C1197"/>
    <w:rsid w:val="186C1C71"/>
    <w:rsid w:val="19621D12"/>
    <w:rsid w:val="1AE14957"/>
    <w:rsid w:val="1B602B47"/>
    <w:rsid w:val="1C1507A3"/>
    <w:rsid w:val="1D7A63C9"/>
    <w:rsid w:val="1DAD2FC4"/>
    <w:rsid w:val="1E515A3A"/>
    <w:rsid w:val="1EAE712B"/>
    <w:rsid w:val="1F476838"/>
    <w:rsid w:val="20007D02"/>
    <w:rsid w:val="21517E5A"/>
    <w:rsid w:val="21A55219"/>
    <w:rsid w:val="221F013C"/>
    <w:rsid w:val="23710E86"/>
    <w:rsid w:val="25190C9B"/>
    <w:rsid w:val="25C34FFE"/>
    <w:rsid w:val="266D6694"/>
    <w:rsid w:val="268A543A"/>
    <w:rsid w:val="26A3231E"/>
    <w:rsid w:val="26CC73D8"/>
    <w:rsid w:val="27BB7F59"/>
    <w:rsid w:val="2A776F55"/>
    <w:rsid w:val="2D211BCF"/>
    <w:rsid w:val="2E0560BC"/>
    <w:rsid w:val="2E440EA1"/>
    <w:rsid w:val="2E612FF4"/>
    <w:rsid w:val="2FED6849"/>
    <w:rsid w:val="3242576C"/>
    <w:rsid w:val="336A3115"/>
    <w:rsid w:val="341748AC"/>
    <w:rsid w:val="342915EF"/>
    <w:rsid w:val="3455371F"/>
    <w:rsid w:val="34C10F96"/>
    <w:rsid w:val="34ED7C40"/>
    <w:rsid w:val="353102F9"/>
    <w:rsid w:val="36802C8C"/>
    <w:rsid w:val="36BE07A7"/>
    <w:rsid w:val="38532E74"/>
    <w:rsid w:val="38751984"/>
    <w:rsid w:val="38B3132D"/>
    <w:rsid w:val="38BA4696"/>
    <w:rsid w:val="3969132F"/>
    <w:rsid w:val="39F17BF7"/>
    <w:rsid w:val="3A2972E2"/>
    <w:rsid w:val="3AAA0AA0"/>
    <w:rsid w:val="3C583652"/>
    <w:rsid w:val="3C6336DD"/>
    <w:rsid w:val="3CD9366C"/>
    <w:rsid w:val="3D094BC9"/>
    <w:rsid w:val="406D3FEF"/>
    <w:rsid w:val="41B53D87"/>
    <w:rsid w:val="42322018"/>
    <w:rsid w:val="428E6C8D"/>
    <w:rsid w:val="4372070E"/>
    <w:rsid w:val="438046EF"/>
    <w:rsid w:val="4479051F"/>
    <w:rsid w:val="44CC3548"/>
    <w:rsid w:val="45393D65"/>
    <w:rsid w:val="456265E2"/>
    <w:rsid w:val="45DF16A2"/>
    <w:rsid w:val="46475DB5"/>
    <w:rsid w:val="466941F9"/>
    <w:rsid w:val="46DC4952"/>
    <w:rsid w:val="486562E0"/>
    <w:rsid w:val="4A995B5B"/>
    <w:rsid w:val="4B4C6471"/>
    <w:rsid w:val="50991F81"/>
    <w:rsid w:val="51FD36F7"/>
    <w:rsid w:val="52537A57"/>
    <w:rsid w:val="52665DF1"/>
    <w:rsid w:val="528033D3"/>
    <w:rsid w:val="52DC69C6"/>
    <w:rsid w:val="54C12EEB"/>
    <w:rsid w:val="54D2699D"/>
    <w:rsid w:val="55B55179"/>
    <w:rsid w:val="563E3E63"/>
    <w:rsid w:val="57BE2B20"/>
    <w:rsid w:val="586658E5"/>
    <w:rsid w:val="594962CF"/>
    <w:rsid w:val="59877BF2"/>
    <w:rsid w:val="59EC00F2"/>
    <w:rsid w:val="5A651BF4"/>
    <w:rsid w:val="5B3033B9"/>
    <w:rsid w:val="5BAB0292"/>
    <w:rsid w:val="5DCF745E"/>
    <w:rsid w:val="5E4C78AB"/>
    <w:rsid w:val="5EE81658"/>
    <w:rsid w:val="5F1C1201"/>
    <w:rsid w:val="61D50620"/>
    <w:rsid w:val="628B4CFE"/>
    <w:rsid w:val="62B65E54"/>
    <w:rsid w:val="63863115"/>
    <w:rsid w:val="63B9183E"/>
    <w:rsid w:val="65832B9C"/>
    <w:rsid w:val="6603500E"/>
    <w:rsid w:val="68C85CE4"/>
    <w:rsid w:val="6AAF02DC"/>
    <w:rsid w:val="6D9C0A09"/>
    <w:rsid w:val="6DAD317D"/>
    <w:rsid w:val="6FA27325"/>
    <w:rsid w:val="71274D26"/>
    <w:rsid w:val="71F02138"/>
    <w:rsid w:val="74213F1F"/>
    <w:rsid w:val="74DB3646"/>
    <w:rsid w:val="75123624"/>
    <w:rsid w:val="7514755A"/>
    <w:rsid w:val="75972FC8"/>
    <w:rsid w:val="760A376E"/>
    <w:rsid w:val="76592936"/>
    <w:rsid w:val="768F60B2"/>
    <w:rsid w:val="780342EC"/>
    <w:rsid w:val="79554AE5"/>
    <w:rsid w:val="79E806D6"/>
    <w:rsid w:val="7AB71510"/>
    <w:rsid w:val="7AE0411C"/>
    <w:rsid w:val="7B4F6A84"/>
    <w:rsid w:val="7C7068EA"/>
    <w:rsid w:val="7D234EEC"/>
    <w:rsid w:val="7DC55DCE"/>
    <w:rsid w:val="7E5213C7"/>
    <w:rsid w:val="7E887C62"/>
    <w:rsid w:val="7EC92F0A"/>
    <w:rsid w:val="7EF7032B"/>
    <w:rsid w:val="7F63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wmf"/><Relationship Id="rId22" Type="http://schemas.openxmlformats.org/officeDocument/2006/relationships/oleObject" Target="embeddings/oleObject6.bin"/><Relationship Id="rId21" Type="http://schemas.openxmlformats.org/officeDocument/2006/relationships/image" Target="media/image1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2019-11-19T23:21:00Z</dcterms:created>
  <dc:creator>TwoStepsFromHell</dc:creator>
  <cp:lastModifiedBy>TwoStepsFromHell</cp:lastModifiedBy>
  <dcterms:modified xsi:type="dcterms:W3CDTF">2019-11-20T04:26:14Z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