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6B33" w:rsidP="00EA6B33" w:rsidRDefault="00EA6B33" w14:paraId="7EA64961" w14:textId="6DB8152F">
      <w:pPr>
        <w:spacing w:before="100" w:beforeAutospacing="1" w:after="100" w:afterAutospacing="1" w:line="240" w:lineRule="auto"/>
        <w:outlineLvl w:val="1"/>
        <w:rPr>
          <w:rFonts w:ascii="Times New Roman" w:hAnsi="Times New Roman" w:eastAsia="Times New Roman" w:cs="Times New Roman"/>
          <w:b/>
          <w:bCs/>
          <w:sz w:val="36"/>
          <w:szCs w:val="36"/>
        </w:rPr>
      </w:pPr>
      <w:r w:rsidRPr="00EA6B33">
        <w:rPr>
          <w:rFonts w:ascii="Times New Roman" w:hAnsi="Times New Roman" w:eastAsia="Times New Roman" w:cs="Times New Roman"/>
          <w:b/>
          <w:bCs/>
          <w:sz w:val="36"/>
          <w:szCs w:val="36"/>
        </w:rPr>
        <w:t>White Paper:</w:t>
      </w:r>
      <w:r w:rsidR="00B8511D">
        <w:rPr>
          <w:rFonts w:ascii="Times New Roman" w:hAnsi="Times New Roman" w:eastAsia="Times New Roman" w:cs="Times New Roman"/>
          <w:b/>
          <w:bCs/>
          <w:sz w:val="36"/>
          <w:szCs w:val="36"/>
        </w:rPr>
        <w:t xml:space="preserve"> Comprehensive Blueprint for the Bachelor of Liberal Studies Program- Strategic and Logistical Framework for Adult Learner Success</w:t>
      </w:r>
    </w:p>
    <w:p w:rsidRPr="009141CE" w:rsidR="009141CE" w:rsidP="009141CE" w:rsidRDefault="009141CE" w14:paraId="5B26C4B0" w14:textId="45811149">
      <w:pPr>
        <w:pStyle w:val="NoSpacing"/>
        <w:rPr>
          <w:rFonts w:ascii="Times New Roman" w:hAnsi="Times New Roman" w:cs="Times New Roman"/>
          <w:sz w:val="28"/>
          <w:szCs w:val="28"/>
        </w:rPr>
      </w:pPr>
      <w:r w:rsidRPr="009141CE">
        <w:rPr>
          <w:rFonts w:ascii="Times New Roman" w:hAnsi="Times New Roman" w:cs="Times New Roman"/>
          <w:sz w:val="28"/>
          <w:szCs w:val="28"/>
        </w:rPr>
        <w:t xml:space="preserve">Authors: Kristen Sackley and Jessica Followell </w:t>
      </w:r>
    </w:p>
    <w:p w:rsidRPr="009141CE" w:rsidR="009141CE" w:rsidP="009141CE" w:rsidRDefault="009141CE" w14:paraId="45B513E9" w14:textId="01DCD08A">
      <w:pPr>
        <w:pStyle w:val="NoSpacing"/>
        <w:rPr>
          <w:rFonts w:ascii="Times New Roman" w:hAnsi="Times New Roman" w:cs="Times New Roman"/>
          <w:sz w:val="28"/>
          <w:szCs w:val="28"/>
        </w:rPr>
      </w:pPr>
      <w:r w:rsidRPr="009141CE">
        <w:rPr>
          <w:rFonts w:ascii="Times New Roman" w:hAnsi="Times New Roman" w:cs="Times New Roman"/>
          <w:sz w:val="28"/>
          <w:szCs w:val="28"/>
        </w:rPr>
        <w:t>Date: October 21, 2024</w:t>
      </w:r>
    </w:p>
    <w:p w:rsidRPr="00EA6B33" w:rsidR="00EA6B33" w:rsidP="00EA6B33" w:rsidRDefault="00EA6B33" w14:paraId="4C5A0AC5"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EA6B33">
        <w:rPr>
          <w:rFonts w:ascii="Times New Roman" w:hAnsi="Times New Roman" w:eastAsia="Times New Roman" w:cs="Times New Roman"/>
          <w:b/>
          <w:bCs/>
          <w:sz w:val="27"/>
          <w:szCs w:val="27"/>
        </w:rPr>
        <w:t>Executive Summary</w:t>
      </w:r>
    </w:p>
    <w:p w:rsidRPr="00EA6B33" w:rsidR="00EA6B33" w:rsidP="451DCE46" w:rsidRDefault="00EA6B33" w14:paraId="355BFD36" w14:textId="4D67F7CD">
      <w:pPr>
        <w:spacing w:before="100" w:beforeAutospacing="on" w:after="100" w:afterAutospacing="on" w:line="240" w:lineRule="auto"/>
        <w:rPr>
          <w:rFonts w:ascii="Times New Roman" w:hAnsi="Times New Roman" w:eastAsia="Times New Roman" w:cs="Times New Roman"/>
          <w:sz w:val="24"/>
          <w:szCs w:val="24"/>
        </w:rPr>
      </w:pPr>
      <w:r w:rsidRPr="451DCE46" w:rsidR="451DCE46">
        <w:rPr>
          <w:rFonts w:ascii="Times New Roman" w:hAnsi="Times New Roman" w:eastAsia="Times New Roman" w:cs="Times New Roman"/>
          <w:sz w:val="24"/>
          <w:szCs w:val="24"/>
        </w:rPr>
        <w:t>In response to evolving educational needs, the proposed Bachelor of Liberal Studies (BLS) degree program from the University of Illinois Urbana-Champaign, College of Liberal Arts &amp; Sciences is designed to cater to adult learners who have either stopped out of a 4-year program or hold an associate degree. The BLS degree-completion program aims to provide flexible, fully online, asynchronous, and cross-disciplinary education that aligns with the institution's strategic goals of transformative learning.</w:t>
      </w:r>
    </w:p>
    <w:p w:rsidRPr="00EA6B33" w:rsidR="00EA6B33" w:rsidP="00EA6B33" w:rsidRDefault="00EA6B33" w14:paraId="250DCBB3" w14:textId="6EDDB56A">
      <w:p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sz w:val="24"/>
          <w:szCs w:val="24"/>
        </w:rPr>
        <w:t>This white paper explores the core components, structure, and strategic advantages of the BLS degree, highlighting its target audience, curriculum design, and learning outcomes. Additionally, it details how the curriculum was developed using the National Association of Colleges and Employers (NACE) competencies</w:t>
      </w:r>
      <w:r w:rsidR="00430796">
        <w:rPr>
          <w:rFonts w:ascii="Times New Roman" w:hAnsi="Times New Roman" w:eastAsia="Times New Roman" w:cs="Times New Roman"/>
          <w:sz w:val="24"/>
          <w:szCs w:val="24"/>
        </w:rPr>
        <w:t xml:space="preserve">, outside college faculty partners and with input from faculty across several areas within the </w:t>
      </w:r>
      <w:r w:rsidRPr="00EA6B33">
        <w:rPr>
          <w:rFonts w:ascii="Times New Roman" w:hAnsi="Times New Roman" w:eastAsia="Times New Roman" w:cs="Times New Roman"/>
          <w:sz w:val="24"/>
          <w:szCs w:val="24"/>
        </w:rPr>
        <w:t>College of Liberal Arts and Sciences (LAS).</w:t>
      </w:r>
    </w:p>
    <w:p w:rsidRPr="00EA6B33" w:rsidR="00EA6B33" w:rsidP="00EA6B33" w:rsidRDefault="00EA6B33" w14:paraId="1D4C45A8"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EA6B33">
        <w:rPr>
          <w:rFonts w:ascii="Times New Roman" w:hAnsi="Times New Roman" w:eastAsia="Times New Roman" w:cs="Times New Roman"/>
          <w:b/>
          <w:bCs/>
          <w:sz w:val="27"/>
          <w:szCs w:val="27"/>
        </w:rPr>
        <w:t>Introduction</w:t>
      </w:r>
    </w:p>
    <w:p w:rsidRPr="00EA6B33" w:rsidR="00EA6B33" w:rsidP="451DCE46" w:rsidRDefault="00EA6B33" w14:paraId="1218F748" w14:textId="3CD4837D">
      <w:pPr>
        <w:spacing w:before="100" w:beforeAutospacing="on" w:after="100" w:afterAutospacing="on" w:line="240" w:lineRule="auto"/>
        <w:rPr>
          <w:rFonts w:ascii="Times New Roman" w:hAnsi="Times New Roman" w:eastAsia="Times New Roman" w:cs="Times New Roman"/>
          <w:sz w:val="24"/>
          <w:szCs w:val="24"/>
        </w:rPr>
      </w:pPr>
      <w:r w:rsidRPr="451DCE46" w:rsidR="451DCE46">
        <w:rPr>
          <w:rFonts w:ascii="Times New Roman" w:hAnsi="Times New Roman" w:eastAsia="Times New Roman" w:cs="Times New Roman"/>
          <w:sz w:val="24"/>
          <w:szCs w:val="24"/>
        </w:rPr>
        <w:t>The BLS program offers a unique opportunity for non-traditional students to complete their education through a flexible, fully online format. The program is specifically targeted at adult learners who are unable to attend traditional, on-campus programs due to work, family, or geographic constraints. National education data shows us that these learners typically enroll part-time and will take an average of 15 credit hours per academic year, allowing them to balance education with other commitments. The BLS program is non-residential, enabling students to learn from any location, with course scheduling tailored to accommodate their needs.</w:t>
      </w:r>
    </w:p>
    <w:p w:rsidRPr="00EA6B33" w:rsidR="00EA6B33" w:rsidP="00EA6B33" w:rsidRDefault="00EA6B33" w14:paraId="62D32FF0"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EA6B33">
        <w:rPr>
          <w:rFonts w:ascii="Times New Roman" w:hAnsi="Times New Roman" w:eastAsia="Times New Roman" w:cs="Times New Roman"/>
          <w:b/>
          <w:bCs/>
          <w:sz w:val="27"/>
          <w:szCs w:val="27"/>
        </w:rPr>
        <w:t>Program Alignment with Institutional Strategic Goals</w:t>
      </w:r>
    </w:p>
    <w:p w:rsidRPr="00EA6B33" w:rsidR="00EA6B33" w:rsidP="00EA6B33" w:rsidRDefault="00EA6B33" w14:paraId="5AE2FF86" w14:textId="77777777">
      <w:p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sz w:val="24"/>
          <w:szCs w:val="24"/>
        </w:rPr>
        <w:t>The proposed BLS program is aligned with the university’s strategic plan, particularly in creating transformative learning experiences and providing educational pathways for marginalized populations. Key elements of this alignment include:</w:t>
      </w:r>
    </w:p>
    <w:p w:rsidRPr="00EA6B33" w:rsidR="00EA6B33" w:rsidP="00EA6B33" w:rsidRDefault="00EA6B33" w14:paraId="5171A2C0" w14:textId="40E1AA51">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451DCE46" w:rsidR="451DCE46">
        <w:rPr>
          <w:rFonts w:ascii="Times New Roman" w:hAnsi="Times New Roman" w:eastAsia="Times New Roman" w:cs="Times New Roman"/>
          <w:b w:val="1"/>
          <w:bCs w:val="1"/>
          <w:sz w:val="24"/>
          <w:szCs w:val="24"/>
        </w:rPr>
        <w:t>Flexibility</w:t>
      </w:r>
      <w:r w:rsidRPr="451DCE46" w:rsidR="451DCE46">
        <w:rPr>
          <w:rFonts w:ascii="Times New Roman" w:hAnsi="Times New Roman" w:eastAsia="Times New Roman" w:cs="Times New Roman"/>
          <w:sz w:val="24"/>
          <w:szCs w:val="24"/>
        </w:rPr>
        <w:t>: Courses are fully online and</w:t>
      </w:r>
      <w:r w:rsidRPr="451DCE46" w:rsidR="451DCE46">
        <w:rPr>
          <w:rFonts w:ascii="Times New Roman" w:hAnsi="Times New Roman" w:eastAsia="Times New Roman" w:cs="Times New Roman"/>
          <w:sz w:val="24"/>
          <w:szCs w:val="24"/>
        </w:rPr>
        <w:t xml:space="preserve"> mostly</w:t>
      </w:r>
      <w:r w:rsidRPr="451DCE46" w:rsidR="451DCE46">
        <w:rPr>
          <w:rFonts w:ascii="Times New Roman" w:hAnsi="Times New Roman" w:eastAsia="Times New Roman" w:cs="Times New Roman"/>
          <w:sz w:val="24"/>
          <w:szCs w:val="24"/>
        </w:rPr>
        <w:t xml:space="preserve"> asynchronous, allowing students to </w:t>
      </w:r>
      <w:r w:rsidRPr="451DCE46" w:rsidR="451DCE46">
        <w:rPr>
          <w:rFonts w:ascii="Times New Roman" w:hAnsi="Times New Roman" w:eastAsia="Times New Roman" w:cs="Times New Roman"/>
          <w:sz w:val="24"/>
          <w:szCs w:val="24"/>
        </w:rPr>
        <w:t>manage academic work with their individual schedules.</w:t>
      </w:r>
    </w:p>
    <w:p w:rsidRPr="00EA6B33" w:rsidR="00EA6B33" w:rsidP="00EA6B33" w:rsidRDefault="00EA6B33" w14:paraId="5EED2227" w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451DCE46" w:rsidR="451DCE46">
        <w:rPr>
          <w:rFonts w:ascii="Times New Roman" w:hAnsi="Times New Roman" w:eastAsia="Times New Roman" w:cs="Times New Roman"/>
          <w:b w:val="1"/>
          <w:bCs w:val="1"/>
          <w:sz w:val="24"/>
          <w:szCs w:val="24"/>
        </w:rPr>
        <w:t>Interdisciplinary Focus</w:t>
      </w:r>
      <w:r w:rsidRPr="451DCE46" w:rsidR="451DCE46">
        <w:rPr>
          <w:rFonts w:ascii="Times New Roman" w:hAnsi="Times New Roman" w:eastAsia="Times New Roman" w:cs="Times New Roman"/>
          <w:sz w:val="24"/>
          <w:szCs w:val="24"/>
        </w:rPr>
        <w:t>: The program fosters cross-disciplinary learning, equipping students with a holistic approach to complex, real-world challenges.</w:t>
      </w:r>
    </w:p>
    <w:p w:rsidRPr="00A53D83" w:rsidR="00B3007C" w:rsidP="00B3007C" w:rsidRDefault="00B3007C" w14:paraId="26936957"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A53D83">
        <w:rPr>
          <w:rFonts w:ascii="Times New Roman" w:hAnsi="Times New Roman" w:eastAsia="Times New Roman" w:cs="Times New Roman"/>
          <w:b/>
          <w:bCs/>
          <w:sz w:val="27"/>
          <w:szCs w:val="27"/>
        </w:rPr>
        <w:t>Learning Outcomes</w:t>
      </w:r>
    </w:p>
    <w:p w:rsidRPr="00A53D83" w:rsidR="00B3007C" w:rsidP="00B3007C" w:rsidRDefault="00B3007C" w14:paraId="003CFF3C" w14:textId="77777777">
      <w:p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sz w:val="24"/>
          <w:szCs w:val="24"/>
        </w:rPr>
        <w:t>The BLS program is structured around six key learning outcomes that prepare students for leadership roles, professional success, and personal growth:</w:t>
      </w:r>
    </w:p>
    <w:p w:rsidRPr="00A53D83" w:rsidR="00B3007C" w:rsidP="00B3007C" w:rsidRDefault="00B3007C" w14:paraId="3F183EFE" w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Communication</w:t>
      </w:r>
      <w:r w:rsidRPr="00A53D83">
        <w:rPr>
          <w:rFonts w:ascii="Times New Roman" w:hAnsi="Times New Roman" w:eastAsia="Times New Roman" w:cs="Times New Roman"/>
          <w:sz w:val="24"/>
          <w:szCs w:val="24"/>
        </w:rPr>
        <w:t>: Proficiency in both written and oral communication, tailored to diverse audiences.</w:t>
      </w:r>
    </w:p>
    <w:p w:rsidRPr="00A53D83" w:rsidR="00B3007C" w:rsidP="00B3007C" w:rsidRDefault="00B3007C" w14:paraId="203577D5" w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Leadership and Teamwork</w:t>
      </w:r>
      <w:r w:rsidRPr="00A53D83">
        <w:rPr>
          <w:rFonts w:ascii="Times New Roman" w:hAnsi="Times New Roman" w:eastAsia="Times New Roman" w:cs="Times New Roman"/>
          <w:sz w:val="24"/>
          <w:szCs w:val="24"/>
        </w:rPr>
        <w:t>: The ability to inspire, cooperate, and achieve shared goals.</w:t>
      </w:r>
    </w:p>
    <w:p w:rsidRPr="00A53D83" w:rsidR="00B3007C" w:rsidP="00B3007C" w:rsidRDefault="00B3007C" w14:paraId="3E42FB46" w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Critical Thinking</w:t>
      </w:r>
      <w:r w:rsidRPr="00A53D83">
        <w:rPr>
          <w:rFonts w:ascii="Times New Roman" w:hAnsi="Times New Roman" w:eastAsia="Times New Roman" w:cs="Times New Roman"/>
          <w:sz w:val="24"/>
          <w:szCs w:val="24"/>
        </w:rPr>
        <w:t>: Problem-solving skills, independent learning, and cross-disciplinary integration.</w:t>
      </w:r>
    </w:p>
    <w:p w:rsidRPr="00A53D83" w:rsidR="00B3007C" w:rsidP="00B3007C" w:rsidRDefault="00B3007C" w14:paraId="2AAE7E8D" w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Data and Analytical Decision-Making</w:t>
      </w:r>
      <w:r w:rsidRPr="00A53D83">
        <w:rPr>
          <w:rFonts w:ascii="Times New Roman" w:hAnsi="Times New Roman" w:eastAsia="Times New Roman" w:cs="Times New Roman"/>
          <w:sz w:val="24"/>
          <w:szCs w:val="24"/>
        </w:rPr>
        <w:t>: The capacity to acquire, analyze, and interpret data for informed decision-making.</w:t>
      </w:r>
    </w:p>
    <w:p w:rsidRPr="00A53D83" w:rsidR="00B3007C" w:rsidP="00B3007C" w:rsidRDefault="00B3007C" w14:paraId="0339C410" w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Equity and Inclusion</w:t>
      </w:r>
      <w:r w:rsidRPr="00A53D83">
        <w:rPr>
          <w:rFonts w:ascii="Times New Roman" w:hAnsi="Times New Roman" w:eastAsia="Times New Roman" w:cs="Times New Roman"/>
          <w:sz w:val="24"/>
          <w:szCs w:val="24"/>
        </w:rPr>
        <w:t>: Cultural competency and a global perspective, fostering an inclusive mindset.</w:t>
      </w:r>
    </w:p>
    <w:p w:rsidRPr="00A53D83" w:rsidR="00B3007C" w:rsidP="00B3007C" w:rsidRDefault="00B3007C" w14:paraId="64DDA86E" w14:textId="1B7328FC">
      <w:pPr>
        <w:numPr>
          <w:ilvl w:val="0"/>
          <w:numId w:val="11"/>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Interdisciplinary Focus</w:t>
      </w:r>
      <w:r w:rsidRPr="00A53D83">
        <w:rPr>
          <w:rFonts w:ascii="Times New Roman" w:hAnsi="Times New Roman" w:eastAsia="Times New Roman" w:cs="Times New Roman"/>
          <w:sz w:val="24"/>
          <w:szCs w:val="24"/>
        </w:rPr>
        <w:t>: Integration of knowledge from multiple disciplines, promoting adaptability and continuous learning.</w:t>
      </w:r>
    </w:p>
    <w:p w:rsidRPr="00A53D83" w:rsidR="00B3007C" w:rsidP="00B3007C" w:rsidRDefault="00B3007C" w14:paraId="6677BE66"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A53D83">
        <w:rPr>
          <w:rFonts w:ascii="Times New Roman" w:hAnsi="Times New Roman" w:eastAsia="Times New Roman" w:cs="Times New Roman"/>
          <w:b/>
          <w:bCs/>
          <w:sz w:val="27"/>
          <w:szCs w:val="27"/>
        </w:rPr>
        <w:t>Curriculum Structure</w:t>
      </w:r>
    </w:p>
    <w:p w:rsidRPr="00A53D83" w:rsidR="00B3007C" w:rsidP="00B3007C" w:rsidRDefault="00B3007C" w14:paraId="1AD03689" w14:textId="77777777">
      <w:p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sz w:val="24"/>
          <w:szCs w:val="24"/>
        </w:rPr>
        <w:t>The BLS curriculum is divided into four learning stages:</w:t>
      </w:r>
    </w:p>
    <w:p w:rsidRPr="00A53D83" w:rsidR="00B3007C" w:rsidP="00B3007C" w:rsidRDefault="00B3007C" w14:paraId="40C8D354" w14:textId="77777777">
      <w:pPr>
        <w:numPr>
          <w:ilvl w:val="0"/>
          <w:numId w:val="12"/>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General Education Courses</w:t>
      </w:r>
      <w:r w:rsidRPr="00A53D83">
        <w:rPr>
          <w:rFonts w:ascii="Times New Roman" w:hAnsi="Times New Roman" w:eastAsia="Times New Roman" w:cs="Times New Roman"/>
          <w:sz w:val="24"/>
          <w:szCs w:val="24"/>
        </w:rPr>
        <w:t>: These foundational courses are drawn from various disciplines, providing students with broad knowledge and critical thinking skills.</w:t>
      </w:r>
    </w:p>
    <w:p w:rsidRPr="00A53D83" w:rsidR="00B3007C" w:rsidP="00B3007C" w:rsidRDefault="00B3007C" w14:paraId="736001C6" w14:textId="01667979">
      <w:pPr>
        <w:numPr>
          <w:ilvl w:val="0"/>
          <w:numId w:val="12"/>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 xml:space="preserve">Core </w:t>
      </w:r>
      <w:r w:rsidRPr="00A53D83" w:rsidR="0057302C">
        <w:rPr>
          <w:rFonts w:ascii="Times New Roman" w:hAnsi="Times New Roman" w:eastAsia="Times New Roman" w:cs="Times New Roman"/>
          <w:b/>
          <w:bCs/>
          <w:sz w:val="24"/>
          <w:szCs w:val="24"/>
        </w:rPr>
        <w:t xml:space="preserve">(Required) </w:t>
      </w:r>
      <w:r w:rsidRPr="00A53D83">
        <w:rPr>
          <w:rFonts w:ascii="Times New Roman" w:hAnsi="Times New Roman" w:eastAsia="Times New Roman" w:cs="Times New Roman"/>
          <w:b/>
          <w:bCs/>
          <w:sz w:val="24"/>
          <w:szCs w:val="24"/>
        </w:rPr>
        <w:t>Courses</w:t>
      </w:r>
      <w:r w:rsidRPr="00A53D83">
        <w:rPr>
          <w:rFonts w:ascii="Times New Roman" w:hAnsi="Times New Roman" w:eastAsia="Times New Roman" w:cs="Times New Roman"/>
          <w:sz w:val="24"/>
          <w:szCs w:val="24"/>
        </w:rPr>
        <w:t>: These courses cover essential competencies such as communication, leadership, critical thinking, and data analysis.</w:t>
      </w:r>
    </w:p>
    <w:p w:rsidRPr="00A53D83" w:rsidR="00B3007C" w:rsidP="00B3007C" w:rsidRDefault="00B3007C" w14:paraId="4530F4FA" w14:textId="77777777">
      <w:pPr>
        <w:numPr>
          <w:ilvl w:val="0"/>
          <w:numId w:val="12"/>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Concentrations</w:t>
      </w:r>
      <w:r w:rsidRPr="00A53D83">
        <w:rPr>
          <w:rFonts w:ascii="Times New Roman" w:hAnsi="Times New Roman" w:eastAsia="Times New Roman" w:cs="Times New Roman"/>
          <w:sz w:val="24"/>
          <w:szCs w:val="24"/>
        </w:rPr>
        <w:t>: Students can specialize in areas such as Health and Society, Global Perspectives, and Management Studies, each tailored to market demands and student interests.</w:t>
      </w:r>
    </w:p>
    <w:p w:rsidRPr="00A53D83" w:rsidR="00B3007C" w:rsidP="00B3007C" w:rsidRDefault="0057302C" w14:paraId="2BF80F82" w14:textId="1121C9C6">
      <w:pPr>
        <w:numPr>
          <w:ilvl w:val="0"/>
          <w:numId w:val="12"/>
        </w:numPr>
        <w:spacing w:before="100" w:beforeAutospacing="1" w:after="100" w:afterAutospacing="1" w:line="240" w:lineRule="auto"/>
        <w:rPr>
          <w:rFonts w:ascii="Times New Roman" w:hAnsi="Times New Roman" w:eastAsia="Times New Roman" w:cs="Times New Roman"/>
          <w:sz w:val="24"/>
          <w:szCs w:val="24"/>
        </w:rPr>
      </w:pPr>
      <w:r w:rsidRPr="00A53D83">
        <w:rPr>
          <w:rFonts w:ascii="Times New Roman" w:hAnsi="Times New Roman" w:eastAsia="Times New Roman" w:cs="Times New Roman"/>
          <w:b/>
          <w:bCs/>
          <w:sz w:val="24"/>
          <w:szCs w:val="24"/>
        </w:rPr>
        <w:t>Free</w:t>
      </w:r>
      <w:r w:rsidRPr="00A53D83" w:rsidR="00B3007C">
        <w:rPr>
          <w:rFonts w:ascii="Times New Roman" w:hAnsi="Times New Roman" w:eastAsia="Times New Roman" w:cs="Times New Roman"/>
          <w:b/>
          <w:bCs/>
          <w:sz w:val="24"/>
          <w:szCs w:val="24"/>
        </w:rPr>
        <w:t xml:space="preserve"> Electives</w:t>
      </w:r>
      <w:r w:rsidRPr="00A53D83" w:rsidR="00B3007C">
        <w:rPr>
          <w:rFonts w:ascii="Times New Roman" w:hAnsi="Times New Roman" w:eastAsia="Times New Roman" w:cs="Times New Roman"/>
          <w:sz w:val="24"/>
          <w:szCs w:val="24"/>
        </w:rPr>
        <w:t>: Offering undergraduate certificates and elective courses, the program provides additional credentials that are particularly appealing to adult learners.</w:t>
      </w:r>
    </w:p>
    <w:p w:rsidRPr="00EA6B33" w:rsidR="00EA6B33" w:rsidP="00EA6B33" w:rsidRDefault="00EA6B33" w14:paraId="0EF2F693" w14:textId="0EFB9707">
      <w:pPr>
        <w:spacing w:before="100" w:beforeAutospacing="1" w:after="100" w:afterAutospacing="1" w:line="240" w:lineRule="auto"/>
        <w:outlineLvl w:val="2"/>
        <w:rPr>
          <w:rFonts w:ascii="Times New Roman" w:hAnsi="Times New Roman" w:eastAsia="Times New Roman" w:cs="Times New Roman"/>
          <w:b/>
          <w:bCs/>
          <w:sz w:val="27"/>
          <w:szCs w:val="27"/>
        </w:rPr>
      </w:pPr>
      <w:r w:rsidRPr="00EA6B33">
        <w:rPr>
          <w:rFonts w:ascii="Times New Roman" w:hAnsi="Times New Roman" w:eastAsia="Times New Roman" w:cs="Times New Roman"/>
          <w:b/>
          <w:bCs/>
          <w:sz w:val="27"/>
          <w:szCs w:val="27"/>
        </w:rPr>
        <w:t>Curriculum Development: NACE Competencies</w:t>
      </w:r>
    </w:p>
    <w:p w:rsidRPr="00EA6B33" w:rsidR="00EA6B33" w:rsidP="00EA6B33" w:rsidRDefault="00EA6B33" w14:paraId="19EA0FF7" w14:textId="77777777">
      <w:p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sz w:val="24"/>
          <w:szCs w:val="24"/>
        </w:rPr>
        <w:t>The curriculum for the BLS program was carefully developed in alignment with the competencies outlined by the National Association of Colleges and Employers (NACE). These competencies, recognized as crucial for career readiness, provided a framework to ensure that the BLS program prepares graduates for professional success in a variety of fields. Key NACE competencies integrated into the curriculum include:</w:t>
      </w:r>
    </w:p>
    <w:p w:rsidRPr="00EA6B33" w:rsidR="00EA6B33" w:rsidP="00EA6B33" w:rsidRDefault="00EA6B33" w14:paraId="437330CD" w14:textId="1F079C69">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Critical Thinking and Problem Solving</w:t>
      </w:r>
      <w:r w:rsidRPr="00EA6B33">
        <w:rPr>
          <w:rFonts w:ascii="Times New Roman" w:hAnsi="Times New Roman" w:eastAsia="Times New Roman" w:cs="Times New Roman"/>
          <w:sz w:val="24"/>
          <w:szCs w:val="24"/>
        </w:rPr>
        <w:t>: Courses were selected to foster independent thinking and the ability to analyze complex issues from various perspectives. For example,</w:t>
      </w:r>
      <w:r w:rsidR="003C5709">
        <w:rPr>
          <w:rFonts w:ascii="Times New Roman" w:hAnsi="Times New Roman" w:eastAsia="Times New Roman" w:cs="Times New Roman"/>
          <w:sz w:val="24"/>
          <w:szCs w:val="24"/>
        </w:rPr>
        <w:t xml:space="preserve"> </w:t>
      </w:r>
      <w:r w:rsidRPr="003C5709" w:rsidR="003C5709">
        <w:rPr>
          <w:rFonts w:ascii="Times New Roman" w:hAnsi="Times New Roman" w:eastAsia="Times New Roman" w:cs="Times New Roman"/>
          <w:b/>
          <w:bCs/>
          <w:sz w:val="24"/>
          <w:szCs w:val="24"/>
        </w:rPr>
        <w:t>CMN 326</w:t>
      </w:r>
      <w:r w:rsidRPr="00EA6B33">
        <w:rPr>
          <w:rFonts w:ascii="Times New Roman" w:hAnsi="Times New Roman" w:eastAsia="Times New Roman" w:cs="Times New Roman"/>
          <w:b/>
          <w:bCs/>
          <w:sz w:val="24"/>
          <w:szCs w:val="24"/>
        </w:rPr>
        <w:t xml:space="preserve">: </w:t>
      </w:r>
      <w:r w:rsidR="003C5709">
        <w:rPr>
          <w:rFonts w:ascii="Times New Roman" w:hAnsi="Times New Roman" w:eastAsia="Times New Roman" w:cs="Times New Roman"/>
          <w:b/>
          <w:bCs/>
          <w:sz w:val="24"/>
          <w:szCs w:val="24"/>
        </w:rPr>
        <w:t>Mass Media &amp; the Audience</w:t>
      </w:r>
      <w:r w:rsidRPr="00EA6B33">
        <w:rPr>
          <w:rFonts w:ascii="Times New Roman" w:hAnsi="Times New Roman" w:eastAsia="Times New Roman" w:cs="Times New Roman"/>
          <w:sz w:val="24"/>
          <w:szCs w:val="24"/>
        </w:rPr>
        <w:t xml:space="preserve"> </w:t>
      </w:r>
      <w:r w:rsidR="003C5709">
        <w:rPr>
          <w:rFonts w:ascii="Times New Roman" w:hAnsi="Times New Roman" w:eastAsia="Times New Roman" w:cs="Times New Roman"/>
          <w:sz w:val="24"/>
          <w:szCs w:val="24"/>
        </w:rPr>
        <w:t>p</w:t>
      </w:r>
      <w:r w:rsidRPr="003C5709" w:rsidR="003C5709">
        <w:rPr>
          <w:rFonts w:ascii="Times New Roman" w:hAnsi="Times New Roman" w:eastAsia="Times New Roman" w:cs="Times New Roman"/>
          <w:sz w:val="24"/>
          <w:szCs w:val="24"/>
        </w:rPr>
        <w:t>resents information on how to conceptualize audiences, mass media use, and</w:t>
      </w:r>
      <w:r w:rsidR="003C5709">
        <w:rPr>
          <w:rFonts w:ascii="Times New Roman" w:hAnsi="Times New Roman" w:eastAsia="Times New Roman" w:cs="Times New Roman"/>
          <w:sz w:val="24"/>
          <w:szCs w:val="24"/>
        </w:rPr>
        <w:t xml:space="preserve"> encourages students to think critically about how we interpret the information we receive from mass media</w:t>
      </w:r>
      <w:r w:rsidRPr="00EA6B33">
        <w:rPr>
          <w:rFonts w:ascii="Times New Roman" w:hAnsi="Times New Roman" w:eastAsia="Times New Roman" w:cs="Times New Roman"/>
          <w:sz w:val="24"/>
          <w:szCs w:val="24"/>
        </w:rPr>
        <w:t xml:space="preserve">, while </w:t>
      </w:r>
      <w:r w:rsidRPr="00EA6B33">
        <w:rPr>
          <w:rFonts w:ascii="Times New Roman" w:hAnsi="Times New Roman" w:eastAsia="Times New Roman" w:cs="Times New Roman"/>
          <w:b/>
          <w:bCs/>
          <w:sz w:val="24"/>
          <w:szCs w:val="24"/>
        </w:rPr>
        <w:t>ACE 240: Personal Financial Planning</w:t>
      </w:r>
      <w:r w:rsidRPr="00EA6B33">
        <w:rPr>
          <w:rFonts w:ascii="Times New Roman" w:hAnsi="Times New Roman" w:eastAsia="Times New Roman" w:cs="Times New Roman"/>
          <w:sz w:val="24"/>
          <w:szCs w:val="24"/>
        </w:rPr>
        <w:t xml:space="preserve"> provides practical applications for critical thinking in everyday financial decision-making.</w:t>
      </w:r>
    </w:p>
    <w:p w:rsidRPr="00EA6B33" w:rsidR="00EA6B33" w:rsidP="00EA6B33" w:rsidRDefault="00EA6B33" w14:paraId="3523F98C" w14:textId="132E5147">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Oral and Written Communication</w:t>
      </w:r>
      <w:r w:rsidRPr="00EA6B33">
        <w:rPr>
          <w:rFonts w:ascii="Times New Roman" w:hAnsi="Times New Roman" w:eastAsia="Times New Roman" w:cs="Times New Roman"/>
          <w:sz w:val="24"/>
          <w:szCs w:val="24"/>
        </w:rPr>
        <w:t xml:space="preserve">: Courses like </w:t>
      </w:r>
      <w:r w:rsidRPr="00EA6B33">
        <w:rPr>
          <w:rFonts w:ascii="Times New Roman" w:hAnsi="Times New Roman" w:eastAsia="Times New Roman" w:cs="Times New Roman"/>
          <w:b/>
          <w:bCs/>
          <w:sz w:val="24"/>
          <w:szCs w:val="24"/>
        </w:rPr>
        <w:t>BTW 380: Global Business Communication</w:t>
      </w:r>
      <w:r w:rsidRPr="00EA6B33">
        <w:rPr>
          <w:rFonts w:ascii="Times New Roman" w:hAnsi="Times New Roman" w:eastAsia="Times New Roman" w:cs="Times New Roman"/>
          <w:sz w:val="24"/>
          <w:szCs w:val="24"/>
        </w:rPr>
        <w:t xml:space="preserve"> and </w:t>
      </w:r>
      <w:r w:rsidRPr="00EA6B33">
        <w:rPr>
          <w:rFonts w:ascii="Times New Roman" w:hAnsi="Times New Roman" w:eastAsia="Times New Roman" w:cs="Times New Roman"/>
          <w:b/>
          <w:bCs/>
          <w:sz w:val="24"/>
          <w:szCs w:val="24"/>
        </w:rPr>
        <w:t>CMN 211: Business and Professional Communications</w:t>
      </w:r>
      <w:r w:rsidRPr="00EA6B33">
        <w:rPr>
          <w:rFonts w:ascii="Times New Roman" w:hAnsi="Times New Roman" w:eastAsia="Times New Roman" w:cs="Times New Roman"/>
          <w:sz w:val="24"/>
          <w:szCs w:val="24"/>
        </w:rPr>
        <w:t xml:space="preserve"> were chosen to </w:t>
      </w:r>
      <w:r w:rsidRPr="00EA6B33" w:rsidR="00523DB2">
        <w:rPr>
          <w:rFonts w:ascii="Times New Roman" w:hAnsi="Times New Roman" w:eastAsia="Times New Roman" w:cs="Times New Roman"/>
          <w:sz w:val="24"/>
          <w:szCs w:val="24"/>
        </w:rPr>
        <w:t>make sure</w:t>
      </w:r>
      <w:r w:rsidRPr="00EA6B33">
        <w:rPr>
          <w:rFonts w:ascii="Times New Roman" w:hAnsi="Times New Roman" w:eastAsia="Times New Roman" w:cs="Times New Roman"/>
          <w:sz w:val="24"/>
          <w:szCs w:val="24"/>
        </w:rPr>
        <w:t xml:space="preserve"> that students develop effective communication skills across diverse professional settings.</w:t>
      </w:r>
    </w:p>
    <w:p w:rsidRPr="00EA6B33" w:rsidR="00EA6B33" w:rsidP="00EA6B33" w:rsidRDefault="00EA6B33" w14:paraId="402937DE" w14:textId="77777777">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Leadership and Teamwork</w:t>
      </w:r>
      <w:r w:rsidRPr="00EA6B33">
        <w:rPr>
          <w:rFonts w:ascii="Times New Roman" w:hAnsi="Times New Roman" w:eastAsia="Times New Roman" w:cs="Times New Roman"/>
          <w:sz w:val="24"/>
          <w:szCs w:val="24"/>
        </w:rPr>
        <w:t xml:space="preserve">: Leadership-focused courses such as </w:t>
      </w:r>
      <w:r w:rsidRPr="00EA6B33">
        <w:rPr>
          <w:rFonts w:ascii="Times New Roman" w:hAnsi="Times New Roman" w:eastAsia="Times New Roman" w:cs="Times New Roman"/>
          <w:b/>
          <w:bCs/>
          <w:sz w:val="24"/>
          <w:szCs w:val="24"/>
        </w:rPr>
        <w:t>BADM 310: Management and Organizational Behavior</w:t>
      </w:r>
      <w:r w:rsidRPr="00EA6B33">
        <w:rPr>
          <w:rFonts w:ascii="Times New Roman" w:hAnsi="Times New Roman" w:eastAsia="Times New Roman" w:cs="Times New Roman"/>
          <w:sz w:val="24"/>
          <w:szCs w:val="24"/>
        </w:rPr>
        <w:t xml:space="preserve"> and </w:t>
      </w:r>
      <w:r w:rsidRPr="00EA6B33">
        <w:rPr>
          <w:rFonts w:ascii="Times New Roman" w:hAnsi="Times New Roman" w:eastAsia="Times New Roman" w:cs="Times New Roman"/>
          <w:b/>
          <w:bCs/>
          <w:sz w:val="24"/>
          <w:szCs w:val="24"/>
        </w:rPr>
        <w:t>LEAD 470: Leading Professional Organizations and Communities</w:t>
      </w:r>
      <w:r w:rsidRPr="00EA6B33">
        <w:rPr>
          <w:rFonts w:ascii="Times New Roman" w:hAnsi="Times New Roman" w:eastAsia="Times New Roman" w:cs="Times New Roman"/>
          <w:sz w:val="24"/>
          <w:szCs w:val="24"/>
        </w:rPr>
        <w:t xml:space="preserve"> were designed to help students inspire, cooperate, and achieve shared goals.</w:t>
      </w:r>
    </w:p>
    <w:p w:rsidRPr="00EA6B33" w:rsidR="00EA6B33" w:rsidP="00EA6B33" w:rsidRDefault="00EA6B33" w14:paraId="0851087C" w14:textId="77777777">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Equity and Inclusion</w:t>
      </w:r>
      <w:r w:rsidRPr="00EA6B33">
        <w:rPr>
          <w:rFonts w:ascii="Times New Roman" w:hAnsi="Times New Roman" w:eastAsia="Times New Roman" w:cs="Times New Roman"/>
          <w:sz w:val="24"/>
          <w:szCs w:val="24"/>
        </w:rPr>
        <w:t xml:space="preserve">: Given the growing importance of cultural competency in the workplace, courses like </w:t>
      </w:r>
      <w:r w:rsidRPr="00EA6B33">
        <w:rPr>
          <w:rFonts w:ascii="Times New Roman" w:hAnsi="Times New Roman" w:eastAsia="Times New Roman" w:cs="Times New Roman"/>
          <w:b/>
          <w:bCs/>
          <w:sz w:val="24"/>
          <w:szCs w:val="24"/>
        </w:rPr>
        <w:t>EPOL 310: Race and Cultural Diversity</w:t>
      </w:r>
      <w:r w:rsidRPr="00EA6B33">
        <w:rPr>
          <w:rFonts w:ascii="Times New Roman" w:hAnsi="Times New Roman" w:eastAsia="Times New Roman" w:cs="Times New Roman"/>
          <w:sz w:val="24"/>
          <w:szCs w:val="24"/>
        </w:rPr>
        <w:t xml:space="preserve"> and </w:t>
      </w:r>
      <w:r w:rsidRPr="00EA6B33">
        <w:rPr>
          <w:rFonts w:ascii="Times New Roman" w:hAnsi="Times New Roman" w:eastAsia="Times New Roman" w:cs="Times New Roman"/>
          <w:b/>
          <w:bCs/>
          <w:sz w:val="24"/>
          <w:szCs w:val="24"/>
        </w:rPr>
        <w:t>PS 201: U.S. Racial and Ethnic Politics</w:t>
      </w:r>
      <w:r w:rsidRPr="00EA6B33">
        <w:rPr>
          <w:rFonts w:ascii="Times New Roman" w:hAnsi="Times New Roman" w:eastAsia="Times New Roman" w:cs="Times New Roman"/>
          <w:sz w:val="24"/>
          <w:szCs w:val="24"/>
        </w:rPr>
        <w:t xml:space="preserve"> were included to broaden students' understanding of diversity, equity, and inclusion.</w:t>
      </w:r>
    </w:p>
    <w:p w:rsidRPr="00EA6B33" w:rsidR="00EA6B33" w:rsidP="00EA6B33" w:rsidRDefault="00EA6B33" w14:paraId="27BF1F71" w14:textId="3F9EE041">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Professionalism and Work Ethic</w:t>
      </w:r>
      <w:r w:rsidRPr="00EA6B33">
        <w:rPr>
          <w:rFonts w:ascii="Times New Roman" w:hAnsi="Times New Roman" w:eastAsia="Times New Roman" w:cs="Times New Roman"/>
          <w:sz w:val="24"/>
          <w:szCs w:val="24"/>
        </w:rPr>
        <w:t>:</w:t>
      </w:r>
      <w:r w:rsidR="0057302C">
        <w:rPr>
          <w:rFonts w:ascii="Times New Roman" w:hAnsi="Times New Roman" w:eastAsia="Times New Roman" w:cs="Times New Roman"/>
          <w:sz w:val="24"/>
          <w:szCs w:val="24"/>
        </w:rPr>
        <w:t xml:space="preserve"> C</w:t>
      </w:r>
      <w:r w:rsidR="003C5709">
        <w:rPr>
          <w:rFonts w:ascii="Times New Roman" w:hAnsi="Times New Roman" w:eastAsia="Times New Roman" w:cs="Times New Roman"/>
          <w:sz w:val="24"/>
          <w:szCs w:val="24"/>
        </w:rPr>
        <w:t xml:space="preserve">ourses like </w:t>
      </w:r>
      <w:r w:rsidRPr="003C5709" w:rsidR="003C5709">
        <w:rPr>
          <w:rFonts w:ascii="Times New Roman" w:hAnsi="Times New Roman" w:eastAsia="Times New Roman" w:cs="Times New Roman"/>
          <w:b/>
          <w:bCs/>
          <w:sz w:val="24"/>
          <w:szCs w:val="24"/>
        </w:rPr>
        <w:t>PHIL 442: The AI Revolution</w:t>
      </w:r>
      <w:r w:rsidR="003C5709">
        <w:rPr>
          <w:rFonts w:ascii="Times New Roman" w:hAnsi="Times New Roman" w:eastAsia="Times New Roman" w:cs="Times New Roman"/>
          <w:sz w:val="24"/>
          <w:szCs w:val="24"/>
        </w:rPr>
        <w:t xml:space="preserve"> prompts students to think about the ethical concerns and usage of AI, and encourage</w:t>
      </w:r>
      <w:r w:rsidRPr="00EA6B33">
        <w:rPr>
          <w:rFonts w:ascii="Times New Roman" w:hAnsi="Times New Roman" w:eastAsia="Times New Roman" w:cs="Times New Roman"/>
          <w:sz w:val="24"/>
          <w:szCs w:val="24"/>
        </w:rPr>
        <w:t xml:space="preserve"> ethical behavior and accountability, preparing students to navigate professional environments with integrity and responsibility.</w:t>
      </w:r>
    </w:p>
    <w:p w:rsidRPr="00EA6B33" w:rsidR="00EA6B33" w:rsidP="00EA6B33" w:rsidRDefault="00EA6B33" w14:paraId="6A25F3D6" w14:textId="73DD00CC">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b/>
          <w:bCs/>
          <w:sz w:val="24"/>
          <w:szCs w:val="24"/>
        </w:rPr>
        <w:t>Career Management</w:t>
      </w:r>
      <w:r w:rsidRPr="00EA6B33">
        <w:rPr>
          <w:rFonts w:ascii="Times New Roman" w:hAnsi="Times New Roman" w:eastAsia="Times New Roman" w:cs="Times New Roman"/>
          <w:sz w:val="24"/>
          <w:szCs w:val="24"/>
        </w:rPr>
        <w:t>: The program includes</w:t>
      </w:r>
      <w:r w:rsidR="003C5709">
        <w:rPr>
          <w:rFonts w:ascii="Times New Roman" w:hAnsi="Times New Roman" w:eastAsia="Times New Roman" w:cs="Times New Roman"/>
          <w:sz w:val="24"/>
          <w:szCs w:val="24"/>
        </w:rPr>
        <w:t xml:space="preserve"> optional</w:t>
      </w:r>
      <w:r w:rsidRPr="00EA6B33">
        <w:rPr>
          <w:rFonts w:ascii="Times New Roman" w:hAnsi="Times New Roman" w:eastAsia="Times New Roman" w:cs="Times New Roman"/>
          <w:sz w:val="24"/>
          <w:szCs w:val="24"/>
        </w:rPr>
        <w:t xml:space="preserve"> career-focused courses and offers career support services</w:t>
      </w:r>
      <w:r w:rsidR="003C5709">
        <w:rPr>
          <w:rFonts w:ascii="Times New Roman" w:hAnsi="Times New Roman" w:eastAsia="Times New Roman" w:cs="Times New Roman"/>
          <w:sz w:val="24"/>
          <w:szCs w:val="24"/>
        </w:rPr>
        <w:t xml:space="preserve"> through LAS Career Services</w:t>
      </w:r>
      <w:r w:rsidRPr="00EA6B33">
        <w:rPr>
          <w:rFonts w:ascii="Times New Roman" w:hAnsi="Times New Roman" w:eastAsia="Times New Roman" w:cs="Times New Roman"/>
          <w:sz w:val="24"/>
          <w:szCs w:val="24"/>
        </w:rPr>
        <w:t>, enabling students to pursue professional development and prepare for future job opportunities.</w:t>
      </w:r>
    </w:p>
    <w:p w:rsidR="00EA6B33" w:rsidP="00EA6B33" w:rsidRDefault="00EA6B33" w14:paraId="4D084503" w14:textId="26D49F80">
      <w:pPr>
        <w:spacing w:before="100" w:beforeAutospacing="1" w:after="100" w:afterAutospacing="1" w:line="240" w:lineRule="auto"/>
        <w:rPr>
          <w:rFonts w:ascii="Times New Roman" w:hAnsi="Times New Roman" w:eastAsia="Times New Roman" w:cs="Times New Roman"/>
          <w:sz w:val="24"/>
          <w:szCs w:val="24"/>
        </w:rPr>
      </w:pPr>
      <w:r w:rsidRPr="00EA6B33">
        <w:rPr>
          <w:rFonts w:ascii="Times New Roman" w:hAnsi="Times New Roman" w:eastAsia="Times New Roman" w:cs="Times New Roman"/>
          <w:sz w:val="24"/>
          <w:szCs w:val="24"/>
        </w:rPr>
        <w:t xml:space="preserve">These competencies </w:t>
      </w:r>
      <w:r w:rsidR="00523DB2">
        <w:rPr>
          <w:rFonts w:ascii="Times New Roman" w:hAnsi="Times New Roman" w:eastAsia="Times New Roman" w:cs="Times New Roman"/>
          <w:sz w:val="24"/>
          <w:szCs w:val="24"/>
        </w:rPr>
        <w:t xml:space="preserve">allow the </w:t>
      </w:r>
      <w:r w:rsidRPr="00EA6B33">
        <w:rPr>
          <w:rFonts w:ascii="Times New Roman" w:hAnsi="Times New Roman" w:eastAsia="Times New Roman" w:cs="Times New Roman"/>
          <w:sz w:val="24"/>
          <w:szCs w:val="24"/>
        </w:rPr>
        <w:t xml:space="preserve">BLS curriculum </w:t>
      </w:r>
      <w:r w:rsidR="00523DB2">
        <w:rPr>
          <w:rFonts w:ascii="Times New Roman" w:hAnsi="Times New Roman" w:eastAsia="Times New Roman" w:cs="Times New Roman"/>
          <w:sz w:val="24"/>
          <w:szCs w:val="24"/>
        </w:rPr>
        <w:t xml:space="preserve">to </w:t>
      </w:r>
      <w:r w:rsidRPr="00EA6B33">
        <w:rPr>
          <w:rFonts w:ascii="Times New Roman" w:hAnsi="Times New Roman" w:eastAsia="Times New Roman" w:cs="Times New Roman"/>
          <w:sz w:val="24"/>
          <w:szCs w:val="24"/>
        </w:rPr>
        <w:t xml:space="preserve">not only address academic learning but also </w:t>
      </w:r>
      <w:r w:rsidR="00523DB2">
        <w:rPr>
          <w:rFonts w:ascii="Times New Roman" w:hAnsi="Times New Roman" w:eastAsia="Times New Roman" w:cs="Times New Roman"/>
          <w:sz w:val="24"/>
          <w:szCs w:val="24"/>
        </w:rPr>
        <w:t xml:space="preserve">to </w:t>
      </w:r>
      <w:r w:rsidRPr="00EA6B33">
        <w:rPr>
          <w:rFonts w:ascii="Times New Roman" w:hAnsi="Times New Roman" w:eastAsia="Times New Roman" w:cs="Times New Roman"/>
          <w:sz w:val="24"/>
          <w:szCs w:val="24"/>
        </w:rPr>
        <w:t>equip students with the skills employers are seeking in the modern workforce.</w:t>
      </w:r>
    </w:p>
    <w:p w:rsidR="00A53D83" w:rsidP="00EA6B33" w:rsidRDefault="00A53D83" w14:paraId="745D595D" w14:textId="77777777">
      <w:pPr>
        <w:spacing w:before="100" w:beforeAutospacing="1" w:after="100" w:afterAutospacing="1" w:line="240" w:lineRule="auto"/>
        <w:rPr>
          <w:rFonts w:ascii="Times New Roman" w:hAnsi="Times New Roman" w:eastAsia="Times New Roman" w:cs="Times New Roman"/>
          <w:sz w:val="24"/>
          <w:szCs w:val="24"/>
        </w:rPr>
      </w:pPr>
    </w:p>
    <w:p w:rsidR="00B8511D" w:rsidP="00B8511D" w:rsidRDefault="00B8511D" w14:paraId="25045829" w14:textId="77777777">
      <w:pPr>
        <w:pStyle w:val="Heading3"/>
      </w:pPr>
      <w:r>
        <w:t>Curriculum Development: Key Considerations</w:t>
      </w:r>
    </w:p>
    <w:p w:rsidR="00B8511D" w:rsidP="00B8511D" w:rsidRDefault="00B8511D" w14:paraId="32B6EAAC" w14:textId="2DD54F09">
      <w:pPr>
        <w:pStyle w:val="NormalWeb"/>
      </w:pPr>
      <w:r>
        <w:t xml:space="preserve">The development of the Bachelor of Liberal Studies (BLS) curriculum was grounded in a strategic alignment with degree Learning Outcomes and the National Association of Colleges and Employers (NACE) competencies. However, several other critical considerations influenced the design process to </w:t>
      </w:r>
      <w:r w:rsidR="00523DB2">
        <w:t xml:space="preserve">ensure </w:t>
      </w:r>
      <w:r>
        <w:t>the program met the needs of its adult learners while maintaining academic rigor and institutional standards. These key considerations include:</w:t>
      </w:r>
    </w:p>
    <w:p w:rsidR="00B8511D" w:rsidP="00B8511D" w:rsidRDefault="00B8511D" w14:paraId="024DDADC" w14:textId="6764698A">
      <w:pPr>
        <w:pStyle w:val="NormalWeb"/>
        <w:numPr>
          <w:ilvl w:val="0"/>
          <w:numId w:val="17"/>
        </w:numPr>
        <w:rPr/>
      </w:pPr>
      <w:r w:rsidRPr="451DCE46" w:rsidR="451DCE46">
        <w:rPr>
          <w:rStyle w:val="Strong"/>
        </w:rPr>
        <w:t>Length to Degree Time:</w:t>
      </w:r>
      <w:r>
        <w:br/>
      </w:r>
      <w:r w:rsidR="451DCE46">
        <w:rPr/>
        <w:t xml:space="preserve">Reducing the overall time required to complete the degree was a high priority. </w:t>
      </w:r>
      <w:r w:rsidR="451DCE46">
        <w:rPr/>
        <w:t>Many adult learners enroll on a part-time basis, averaging around 15 credit hours per academic year.</w:t>
      </w:r>
      <w:r w:rsidR="451DCE46">
        <w:rPr/>
        <w:t xml:space="preserve"> Given this, it was essential to keep the length to degree time as minimal as possible. Adult learners often bring a variety of external commitments, such as work or family, which can prolong their educational journey. The program was designed to account for the </w:t>
      </w:r>
      <w:r w:rsidR="451DCE46">
        <w:rPr/>
        <w:t>significant number</w:t>
      </w:r>
      <w:r w:rsidR="451DCE46">
        <w:rPr/>
        <w:t xml:space="preserve"> of credit hours that transfer students may articulate in, providing flexibility while </w:t>
      </w:r>
      <w:r w:rsidR="451DCE46">
        <w:rPr/>
        <w:t>maintaining</w:t>
      </w:r>
      <w:r w:rsidR="451DCE46">
        <w:rPr/>
        <w:t xml:space="preserve"> a clear pathway to graduation</w:t>
      </w:r>
    </w:p>
    <w:p w:rsidR="00FC41EA" w:rsidP="00FC41EA" w:rsidRDefault="00B8511D" w14:paraId="17E799CC" w14:textId="245E4C99">
      <w:pPr>
        <w:pStyle w:val="NormalWeb"/>
        <w:numPr>
          <w:ilvl w:val="0"/>
          <w:numId w:val="17"/>
        </w:numPr>
      </w:pPr>
      <w:r>
        <w:rPr>
          <w:rStyle w:val="Strong"/>
        </w:rPr>
        <w:t>Structured Academic Plan with Flexibility:</w:t>
      </w:r>
      <w:r>
        <w:br/>
      </w:r>
      <w:r w:rsidR="00FC1CDF">
        <w:t xml:space="preserve">Many adult learners in online bachelor’s programs prefer a structured curriculum because it provides a clear path to graduation, which is especially helpful for those balancing work and family responsibilities. A structured approach reduces decision fatigue, as students don’t have to navigate numerous class options, and it ensures that essential skills are covered. This structure is often appealing to learners who want to stay focused on completing their degree efficiently. However, preferences can vary based on individual goals and circumstances. Those pursuing a degree to shift careers might prefer a structured program that ensures they gain foundational knowledge in a new field, while students looking to enhance their existing careers may favor more electives to focus on specific skills. Additionally, learners who need to complete their degree quickly or on a budget might appreciate a more structured program that avoids unnecessary electives and streamlines their path to graduation. Based on this information, the BLS curriculum was created to offer a flexible mix of both structure and choice by requiring a set of </w:t>
      </w:r>
      <w:proofErr w:type="gramStart"/>
      <w:r w:rsidR="00FC1CDF">
        <w:t>core</w:t>
      </w:r>
      <w:proofErr w:type="gramEnd"/>
      <w:r w:rsidR="00FC1CDF">
        <w:t xml:space="preserve"> </w:t>
      </w:r>
      <w:r w:rsidR="0057302C">
        <w:t xml:space="preserve">(required) </w:t>
      </w:r>
      <w:r w:rsidR="00FC1CDF">
        <w:t>courses and allowing the learner to choose a more focused concentration and fill out any remaining electives with their individualized choices.</w:t>
      </w:r>
    </w:p>
    <w:p w:rsidRPr="00FC41EA" w:rsidR="00FC41EA" w:rsidP="00FC41EA" w:rsidRDefault="00FC41EA" w14:paraId="19383615" w14:textId="7D05BD90">
      <w:pPr>
        <w:pStyle w:val="NormalWeb"/>
        <w:numPr>
          <w:ilvl w:val="0"/>
          <w:numId w:val="17"/>
        </w:numPr>
        <w:spacing w:before="0" w:beforeAutospacing="0" w:after="0" w:afterAutospacing="0"/>
        <w:rPr>
          <w:rStyle w:val="Strong"/>
        </w:rPr>
      </w:pPr>
      <w:r w:rsidRPr="00FC41EA">
        <w:rPr>
          <w:rStyle w:val="Strong"/>
        </w:rPr>
        <w:t>Co-enrollment with Traditional Students</w:t>
      </w:r>
      <w:r>
        <w:rPr>
          <w:rStyle w:val="Strong"/>
        </w:rPr>
        <w:t xml:space="preserve"> and General Campus Population</w:t>
      </w:r>
      <w:r w:rsidRPr="00FC41EA">
        <w:rPr>
          <w:rStyle w:val="Strong"/>
        </w:rPr>
        <w:t>:</w:t>
      </w:r>
    </w:p>
    <w:p w:rsidRPr="00FC41EA" w:rsidR="00FC41EA" w:rsidP="00FC41EA" w:rsidRDefault="00FC41EA" w14:paraId="362C1420" w14:textId="07D718AE">
      <w:pPr>
        <w:pStyle w:val="NormalWeb"/>
        <w:spacing w:before="0" w:beforeAutospacing="0" w:after="0" w:afterAutospacing="0"/>
        <w:ind w:left="720"/>
      </w:pPr>
      <w:r w:rsidRPr="451DCE46" w:rsidR="451DCE46">
        <w:rPr>
          <w:rStyle w:val="Strong"/>
          <w:b w:val="0"/>
          <w:bCs w:val="0"/>
        </w:rPr>
        <w:t>Another key consideration in the development of the Bachelor of Liberal Studies (BLS) curriculum is the co-enrollment of BLS students with traditional undergraduate</w:t>
      </w:r>
      <w:r w:rsidR="451DCE46">
        <w:rPr/>
        <w:t xml:space="preserve"> students and non-degree seeking students in shared course sections. This approach offers several important benefits, both educationally and operationally. From a learning perspective, co-enrollment provides BLS students, many of whom are working professionals or non-traditional learners, with the opportunity to collaborate with peers from different </w:t>
      </w:r>
      <w:r w:rsidR="451DCE46">
        <w:rPr/>
        <w:t>generations and backgrounds. Working in diverse teams on projects mirrors the dynamics of modern, multigenerational workplaces, equipping students with essential collaboration and communication skills that are critical for success in any professional environment. These experiences foster a richer understanding of varied perspectives, encouraging students to develop adaptable and inclusive approaches to teamwork.</w:t>
      </w:r>
    </w:p>
    <w:p w:rsidR="00FC41EA" w:rsidP="451DCE46" w:rsidRDefault="00B8511D" w14:paraId="5112881D" w14:textId="68866CE9">
      <w:pPr>
        <w:pStyle w:val="NormalWeb"/>
        <w:numPr>
          <w:ilvl w:val="0"/>
          <w:numId w:val="17"/>
        </w:numPr>
        <w:spacing w:before="0" w:beforeAutospacing="off" w:after="0" w:afterAutospacing="off"/>
        <w:rPr/>
      </w:pPr>
      <w:r w:rsidRPr="451DCE46" w:rsidR="451DCE46">
        <w:rPr>
          <w:rStyle w:val="Strong"/>
        </w:rPr>
        <w:t>Availability of Online Asynchronous Courses to Meet Demand:</w:t>
      </w:r>
      <w:r>
        <w:br/>
      </w:r>
      <w:r w:rsidR="451DCE46">
        <w:rPr/>
        <w:t xml:space="preserve">The supply of asynchronous online courses was another important consideration. The program is primarily aimed at </w:t>
      </w:r>
      <w:r w:rsidR="451DCE46">
        <w:rPr/>
        <w:t>working</w:t>
      </w:r>
      <w:r w:rsidR="451DCE46">
        <w:rPr/>
        <w:t xml:space="preserve"> professionals and adult learners who require the flexibility to study on their own schedule, so we wanted to limit the amount of synchronous instruction </w:t>
      </w:r>
      <w:r w:rsidR="451DCE46">
        <w:rPr/>
        <w:t>required</w:t>
      </w:r>
      <w:r w:rsidR="451DCE46">
        <w:rPr/>
        <w:t xml:space="preserve"> at a certain time and day. Asynchronous courses allow students to balance their academic commitments with personal and professional obligations, a critical feature for non-traditional students who cannot attend traditional campus-based programs. </w:t>
      </w:r>
    </w:p>
    <w:p w:rsidR="00B8511D" w:rsidP="00BA0101" w:rsidRDefault="00B8511D" w14:paraId="7EDC2CAF" w14:textId="6CAE63BC">
      <w:pPr>
        <w:pStyle w:val="NormalWeb"/>
        <w:numPr>
          <w:ilvl w:val="0"/>
          <w:numId w:val="17"/>
        </w:numPr>
        <w:spacing w:before="0" w:beforeAutospacing="0" w:after="0" w:afterAutospacing="0"/>
      </w:pPr>
      <w:r>
        <w:rPr>
          <w:rStyle w:val="Strong"/>
        </w:rPr>
        <w:t>Minimal Pre-requisites for Courses:</w:t>
      </w:r>
      <w:r>
        <w:br/>
      </w:r>
      <w:r>
        <w:t>To ensure accessibility and streamline the path to degree completion, the program emphasizes minimizing course prerequisites wherever possible. This approach allows students to progress through the curriculum more efficiently, reducing potential delays caused by the need to complete prerequisite courses. It also supports the needs of transfer students, who may enter the program with varying levels of prior coursework, by allowing them to integrate more seamlessly into the degree plan.</w:t>
      </w:r>
    </w:p>
    <w:p w:rsidRPr="00B8511D" w:rsidR="00B8511D" w:rsidP="00BA0101" w:rsidRDefault="00B8511D" w14:paraId="50D0381E" w14:textId="5CC682AF">
      <w:pPr>
        <w:pStyle w:val="NormalWeb"/>
        <w:numPr>
          <w:ilvl w:val="0"/>
          <w:numId w:val="17"/>
        </w:numPr>
        <w:spacing w:before="0" w:beforeAutospacing="0" w:after="0" w:afterAutospacing="0"/>
        <w:rPr/>
      </w:pPr>
      <w:r w:rsidRPr="451DCE46" w:rsidR="451DCE46">
        <w:rPr>
          <w:rStyle w:val="Strong"/>
        </w:rPr>
        <w:t>Avoiding Duplication of Existing Majors at UIUC:</w:t>
      </w:r>
      <w:r>
        <w:br/>
      </w:r>
      <w:r w:rsidR="451DCE46">
        <w:rPr/>
        <w:t>In the process of developing the BLS program, care was taken to ensure that the curriculum did not duplicate existing majors offered at the University of Illinois Urbana-</w:t>
      </w:r>
      <w:r w:rsidR="451DCE46">
        <w:rPr/>
        <w:t>Champaign (UIUC). The goal was to provide a unique interdisciplinary program that complements rather than competes with the institution's other offerings. This was achieved by focusing the curriculum on cross-disciplinary learning and aligning it with competencies that span multiple fields, ensuring that the BLS program fills a distinct niche in the university’s academic portfolio.</w:t>
      </w:r>
    </w:p>
    <w:p w:rsidRPr="00EA6B33" w:rsidR="00EA6B33" w:rsidP="00EA6B33" w:rsidRDefault="00EA6B33" w14:paraId="2B7A10BE" w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EA6B33">
        <w:rPr>
          <w:rFonts w:ascii="Times New Roman" w:hAnsi="Times New Roman" w:eastAsia="Times New Roman" w:cs="Times New Roman"/>
          <w:b/>
          <w:bCs/>
          <w:sz w:val="27"/>
          <w:szCs w:val="27"/>
        </w:rPr>
        <w:t>Conclusion</w:t>
      </w:r>
    </w:p>
    <w:p w:rsidRPr="00EA6B33" w:rsidR="0006628B" w:rsidP="00783F93" w:rsidRDefault="00EA6B33" w14:paraId="5AA38EAB" w14:textId="53E40E76">
      <w:pPr>
        <w:spacing w:before="100" w:beforeAutospacing="1" w:after="100" w:afterAutospacing="1" w:line="240" w:lineRule="auto"/>
      </w:pPr>
      <w:r w:rsidRPr="00EA6B33">
        <w:rPr>
          <w:rFonts w:ascii="Times New Roman" w:hAnsi="Times New Roman" w:eastAsia="Times New Roman" w:cs="Times New Roman"/>
          <w:sz w:val="24"/>
          <w:szCs w:val="24"/>
        </w:rPr>
        <w:t xml:space="preserve">The </w:t>
      </w:r>
      <w:r w:rsidR="00A53D83">
        <w:rPr>
          <w:rFonts w:ascii="Times New Roman" w:hAnsi="Times New Roman" w:eastAsia="Times New Roman" w:cs="Times New Roman"/>
          <w:sz w:val="24"/>
          <w:szCs w:val="24"/>
        </w:rPr>
        <w:t xml:space="preserve">proposed </w:t>
      </w:r>
      <w:r w:rsidRPr="00EA6B33">
        <w:rPr>
          <w:rFonts w:ascii="Times New Roman" w:hAnsi="Times New Roman" w:eastAsia="Times New Roman" w:cs="Times New Roman"/>
          <w:sz w:val="24"/>
          <w:szCs w:val="24"/>
        </w:rPr>
        <w:t xml:space="preserve">Bachelor of Liberal Studies program represents a significant step forward in providing flexible, equitable, and interdisciplinary education to adult learners. By aligning the curriculum with NACE competencies and leveraging a robust governance structure within the College of Liberal Arts and Sciences, the BLS program is positioned to meet the needs of today’s non-traditional students. The collaborative efforts across faculty and administrative levels have </w:t>
      </w:r>
      <w:r w:rsidR="00523DB2">
        <w:rPr>
          <w:rFonts w:ascii="Times New Roman" w:hAnsi="Times New Roman" w:eastAsia="Times New Roman" w:cs="Times New Roman"/>
          <w:sz w:val="24"/>
          <w:szCs w:val="24"/>
        </w:rPr>
        <w:t>allowed the</w:t>
      </w:r>
      <w:r w:rsidRPr="00EA6B33">
        <w:rPr>
          <w:rFonts w:ascii="Times New Roman" w:hAnsi="Times New Roman" w:eastAsia="Times New Roman" w:cs="Times New Roman"/>
          <w:sz w:val="24"/>
          <w:szCs w:val="24"/>
        </w:rPr>
        <w:t xml:space="preserve"> program </w:t>
      </w:r>
      <w:r w:rsidR="00523DB2">
        <w:rPr>
          <w:rFonts w:ascii="Times New Roman" w:hAnsi="Times New Roman" w:eastAsia="Times New Roman" w:cs="Times New Roman"/>
          <w:sz w:val="24"/>
          <w:szCs w:val="24"/>
        </w:rPr>
        <w:t xml:space="preserve">to </w:t>
      </w:r>
      <w:r w:rsidRPr="00EA6B33">
        <w:rPr>
          <w:rFonts w:ascii="Times New Roman" w:hAnsi="Times New Roman" w:eastAsia="Times New Roman" w:cs="Times New Roman"/>
          <w:sz w:val="24"/>
          <w:szCs w:val="24"/>
        </w:rPr>
        <w:t>not only provide academic rigor but also address the professional and personal development of its students.</w:t>
      </w:r>
    </w:p>
    <w:sectPr w:rsidRPr="00EA6B33" w:rsidR="0006628B">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0499" w:rsidP="009141CE" w:rsidRDefault="00E50499" w14:paraId="3306A30F" w14:textId="77777777">
      <w:pPr>
        <w:spacing w:after="0" w:line="240" w:lineRule="auto"/>
      </w:pPr>
      <w:r>
        <w:separator/>
      </w:r>
    </w:p>
  </w:endnote>
  <w:endnote w:type="continuationSeparator" w:id="0">
    <w:p w:rsidR="00E50499" w:rsidP="009141CE" w:rsidRDefault="00E50499" w14:paraId="3E7B53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315280"/>
      <w:docPartObj>
        <w:docPartGallery w:val="Page Numbers (Bottom of Page)"/>
        <w:docPartUnique/>
      </w:docPartObj>
    </w:sdtPr>
    <w:sdtEndPr>
      <w:rPr>
        <w:noProof/>
      </w:rPr>
    </w:sdtEndPr>
    <w:sdtContent>
      <w:p w:rsidR="009141CE" w:rsidRDefault="009141CE" w14:paraId="069F1922" w14:textId="7AC34C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141CE" w:rsidRDefault="009141CE" w14:paraId="5791BF6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0499" w:rsidP="009141CE" w:rsidRDefault="00E50499" w14:paraId="0F8C1711" w14:textId="77777777">
      <w:pPr>
        <w:spacing w:after="0" w:line="240" w:lineRule="auto"/>
      </w:pPr>
      <w:r>
        <w:separator/>
      </w:r>
    </w:p>
  </w:footnote>
  <w:footnote w:type="continuationSeparator" w:id="0">
    <w:p w:rsidR="00E50499" w:rsidP="009141CE" w:rsidRDefault="00E50499" w14:paraId="013BC53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525E"/>
    <w:multiLevelType w:val="hybridMultilevel"/>
    <w:tmpl w:val="58949E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A75BBF"/>
    <w:multiLevelType w:val="multilevel"/>
    <w:tmpl w:val="F44A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808EE"/>
    <w:multiLevelType w:val="multilevel"/>
    <w:tmpl w:val="92E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E04A1"/>
    <w:multiLevelType w:val="multilevel"/>
    <w:tmpl w:val="9D76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B7603"/>
    <w:multiLevelType w:val="multilevel"/>
    <w:tmpl w:val="4BE4E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C1A1FAF"/>
    <w:multiLevelType w:val="multilevel"/>
    <w:tmpl w:val="6B948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C352FA5"/>
    <w:multiLevelType w:val="multilevel"/>
    <w:tmpl w:val="149A9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32B67D"/>
    <w:multiLevelType w:val="hybridMultilevel"/>
    <w:tmpl w:val="897E0BA8"/>
    <w:lvl w:ilvl="0" w:tplc="8BAA8882">
      <w:start w:val="1"/>
      <w:numFmt w:val="bullet"/>
      <w:lvlText w:val=""/>
      <w:lvlJc w:val="left"/>
      <w:pPr>
        <w:ind w:left="1440" w:hanging="360"/>
      </w:pPr>
      <w:rPr>
        <w:rFonts w:hint="default" w:ascii="Symbol" w:hAnsi="Symbol"/>
      </w:rPr>
    </w:lvl>
    <w:lvl w:ilvl="1" w:tplc="45D42452">
      <w:start w:val="1"/>
      <w:numFmt w:val="bullet"/>
      <w:lvlText w:val="o"/>
      <w:lvlJc w:val="left"/>
      <w:pPr>
        <w:ind w:left="2160" w:hanging="360"/>
      </w:pPr>
      <w:rPr>
        <w:rFonts w:hint="default" w:ascii="Courier New" w:hAnsi="Courier New"/>
      </w:rPr>
    </w:lvl>
    <w:lvl w:ilvl="2" w:tplc="DAC66B16">
      <w:start w:val="1"/>
      <w:numFmt w:val="bullet"/>
      <w:lvlText w:val=""/>
      <w:lvlJc w:val="left"/>
      <w:pPr>
        <w:ind w:left="2880" w:hanging="360"/>
      </w:pPr>
      <w:rPr>
        <w:rFonts w:hint="default" w:ascii="Wingdings" w:hAnsi="Wingdings"/>
      </w:rPr>
    </w:lvl>
    <w:lvl w:ilvl="3" w:tplc="8D207C74">
      <w:start w:val="1"/>
      <w:numFmt w:val="bullet"/>
      <w:lvlText w:val=""/>
      <w:lvlJc w:val="left"/>
      <w:pPr>
        <w:ind w:left="3600" w:hanging="360"/>
      </w:pPr>
      <w:rPr>
        <w:rFonts w:hint="default" w:ascii="Symbol" w:hAnsi="Symbol"/>
      </w:rPr>
    </w:lvl>
    <w:lvl w:ilvl="4" w:tplc="EB2C9428">
      <w:start w:val="1"/>
      <w:numFmt w:val="bullet"/>
      <w:lvlText w:val="o"/>
      <w:lvlJc w:val="left"/>
      <w:pPr>
        <w:ind w:left="4320" w:hanging="360"/>
      </w:pPr>
      <w:rPr>
        <w:rFonts w:hint="default" w:ascii="Courier New" w:hAnsi="Courier New"/>
      </w:rPr>
    </w:lvl>
    <w:lvl w:ilvl="5" w:tplc="5732B354">
      <w:start w:val="1"/>
      <w:numFmt w:val="bullet"/>
      <w:lvlText w:val=""/>
      <w:lvlJc w:val="left"/>
      <w:pPr>
        <w:ind w:left="5040" w:hanging="360"/>
      </w:pPr>
      <w:rPr>
        <w:rFonts w:hint="default" w:ascii="Wingdings" w:hAnsi="Wingdings"/>
      </w:rPr>
    </w:lvl>
    <w:lvl w:ilvl="6" w:tplc="19C84C4E">
      <w:start w:val="1"/>
      <w:numFmt w:val="bullet"/>
      <w:lvlText w:val=""/>
      <w:lvlJc w:val="left"/>
      <w:pPr>
        <w:ind w:left="5760" w:hanging="360"/>
      </w:pPr>
      <w:rPr>
        <w:rFonts w:hint="default" w:ascii="Symbol" w:hAnsi="Symbol"/>
      </w:rPr>
    </w:lvl>
    <w:lvl w:ilvl="7" w:tplc="CFA8E3C0">
      <w:start w:val="1"/>
      <w:numFmt w:val="bullet"/>
      <w:lvlText w:val="o"/>
      <w:lvlJc w:val="left"/>
      <w:pPr>
        <w:ind w:left="6480" w:hanging="360"/>
      </w:pPr>
      <w:rPr>
        <w:rFonts w:hint="default" w:ascii="Courier New" w:hAnsi="Courier New"/>
      </w:rPr>
    </w:lvl>
    <w:lvl w:ilvl="8" w:tplc="EFD2DA9C">
      <w:start w:val="1"/>
      <w:numFmt w:val="bullet"/>
      <w:lvlText w:val=""/>
      <w:lvlJc w:val="left"/>
      <w:pPr>
        <w:ind w:left="7200" w:hanging="360"/>
      </w:pPr>
      <w:rPr>
        <w:rFonts w:hint="default" w:ascii="Wingdings" w:hAnsi="Wingdings"/>
      </w:rPr>
    </w:lvl>
  </w:abstractNum>
  <w:abstractNum w:abstractNumId="8" w15:restartNumberingAfterBreak="0">
    <w:nsid w:val="39704B8B"/>
    <w:multiLevelType w:val="multilevel"/>
    <w:tmpl w:val="D572F81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 w15:restartNumberingAfterBreak="0">
    <w:nsid w:val="3C165D20"/>
    <w:multiLevelType w:val="multilevel"/>
    <w:tmpl w:val="CFA6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A706FF"/>
    <w:multiLevelType w:val="multilevel"/>
    <w:tmpl w:val="29ECA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525D1F"/>
    <w:multiLevelType w:val="hybridMultilevel"/>
    <w:tmpl w:val="C4F46670"/>
    <w:lvl w:ilvl="0" w:tplc="34BC73C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A32C3A"/>
    <w:multiLevelType w:val="multilevel"/>
    <w:tmpl w:val="D3A4C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576675D"/>
    <w:multiLevelType w:val="multilevel"/>
    <w:tmpl w:val="4566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077EA"/>
    <w:multiLevelType w:val="hybridMultilevel"/>
    <w:tmpl w:val="3680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044359"/>
    <w:multiLevelType w:val="multilevel"/>
    <w:tmpl w:val="FC5E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E2738"/>
    <w:multiLevelType w:val="multilevel"/>
    <w:tmpl w:val="AEFCA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35526340">
    <w:abstractNumId w:val="10"/>
  </w:num>
  <w:num w:numId="2" w16cid:durableId="1834107876">
    <w:abstractNumId w:val="4"/>
  </w:num>
  <w:num w:numId="3" w16cid:durableId="1042174845">
    <w:abstractNumId w:val="15"/>
  </w:num>
  <w:num w:numId="4" w16cid:durableId="472143199">
    <w:abstractNumId w:val="3"/>
  </w:num>
  <w:num w:numId="5" w16cid:durableId="1940019629">
    <w:abstractNumId w:val="16"/>
  </w:num>
  <w:num w:numId="6" w16cid:durableId="323166245">
    <w:abstractNumId w:val="6"/>
  </w:num>
  <w:num w:numId="7" w16cid:durableId="1958873320">
    <w:abstractNumId w:val="5"/>
  </w:num>
  <w:num w:numId="8" w16cid:durableId="1330207028">
    <w:abstractNumId w:val="12"/>
  </w:num>
  <w:num w:numId="9" w16cid:durableId="1817795226">
    <w:abstractNumId w:val="2"/>
  </w:num>
  <w:num w:numId="10" w16cid:durableId="84571407">
    <w:abstractNumId w:val="13"/>
  </w:num>
  <w:num w:numId="11" w16cid:durableId="2134982252">
    <w:abstractNumId w:val="9"/>
  </w:num>
  <w:num w:numId="12" w16cid:durableId="1877504714">
    <w:abstractNumId w:val="1"/>
  </w:num>
  <w:num w:numId="13" w16cid:durableId="1021400520">
    <w:abstractNumId w:val="7"/>
  </w:num>
  <w:num w:numId="14" w16cid:durableId="2110344935">
    <w:abstractNumId w:val="8"/>
  </w:num>
  <w:num w:numId="15" w16cid:durableId="1580556254">
    <w:abstractNumId w:val="0"/>
  </w:num>
  <w:num w:numId="16" w16cid:durableId="326519271">
    <w:abstractNumId w:val="14"/>
  </w:num>
  <w:num w:numId="17" w16cid:durableId="199251958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33"/>
    <w:rsid w:val="0006628B"/>
    <w:rsid w:val="000A119F"/>
    <w:rsid w:val="000D4629"/>
    <w:rsid w:val="001C7368"/>
    <w:rsid w:val="00234229"/>
    <w:rsid w:val="00291315"/>
    <w:rsid w:val="00294707"/>
    <w:rsid w:val="00294E67"/>
    <w:rsid w:val="003C5709"/>
    <w:rsid w:val="00430796"/>
    <w:rsid w:val="00451022"/>
    <w:rsid w:val="0049042A"/>
    <w:rsid w:val="00521461"/>
    <w:rsid w:val="00523DB2"/>
    <w:rsid w:val="0057302C"/>
    <w:rsid w:val="006A203B"/>
    <w:rsid w:val="00783F93"/>
    <w:rsid w:val="0079239D"/>
    <w:rsid w:val="0088388E"/>
    <w:rsid w:val="009141CE"/>
    <w:rsid w:val="00920C1E"/>
    <w:rsid w:val="009549CB"/>
    <w:rsid w:val="009B5403"/>
    <w:rsid w:val="00A53D83"/>
    <w:rsid w:val="00A65D11"/>
    <w:rsid w:val="00A84CCF"/>
    <w:rsid w:val="00B3007C"/>
    <w:rsid w:val="00B8511D"/>
    <w:rsid w:val="00BA0101"/>
    <w:rsid w:val="00BF6C32"/>
    <w:rsid w:val="00CF07D8"/>
    <w:rsid w:val="00E50499"/>
    <w:rsid w:val="00E51524"/>
    <w:rsid w:val="00E53BEE"/>
    <w:rsid w:val="00E630A5"/>
    <w:rsid w:val="00EA6B33"/>
    <w:rsid w:val="00EC2AE7"/>
    <w:rsid w:val="00EC34CE"/>
    <w:rsid w:val="00F7356D"/>
    <w:rsid w:val="00FC1CDF"/>
    <w:rsid w:val="00FC41EA"/>
    <w:rsid w:val="00FE73AA"/>
    <w:rsid w:val="451DC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F8A8"/>
  <w15:chartTrackingRefBased/>
  <w15:docId w15:val="{65ECFF77-81EC-4EA1-B428-13E3C97617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EA6B3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EA6B33"/>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A6B33"/>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EA6B33"/>
    <w:rPr>
      <w:rFonts w:ascii="Times New Roman" w:hAnsi="Times New Roman" w:eastAsia="Times New Roman" w:cs="Times New Roman"/>
      <w:b/>
      <w:bCs/>
      <w:sz w:val="27"/>
      <w:szCs w:val="27"/>
    </w:rPr>
  </w:style>
  <w:style w:type="paragraph" w:styleId="NormalWeb">
    <w:name w:val="Normal (Web)"/>
    <w:basedOn w:val="Normal"/>
    <w:uiPriority w:val="99"/>
    <w:unhideWhenUsed/>
    <w:rsid w:val="00EA6B33"/>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EA6B33"/>
    <w:rPr>
      <w:b/>
      <w:bCs/>
    </w:rPr>
  </w:style>
  <w:style w:type="paragraph" w:styleId="ListParagraph">
    <w:name w:val="List Paragraph"/>
    <w:basedOn w:val="Normal"/>
    <w:uiPriority w:val="34"/>
    <w:qFormat/>
    <w:rsid w:val="00A84CCF"/>
    <w:pPr>
      <w:spacing w:after="0" w:line="240" w:lineRule="auto"/>
      <w:ind w:left="720"/>
      <w:contextualSpacing/>
    </w:pPr>
    <w:rPr>
      <w:sz w:val="24"/>
      <w:szCs w:val="24"/>
    </w:rPr>
  </w:style>
  <w:style w:type="paragraph" w:styleId="Revision">
    <w:name w:val="Revision"/>
    <w:hidden/>
    <w:uiPriority w:val="99"/>
    <w:semiHidden/>
    <w:rsid w:val="00EC2AE7"/>
    <w:pPr>
      <w:spacing w:after="0" w:line="240" w:lineRule="auto"/>
    </w:pPr>
  </w:style>
  <w:style w:type="character" w:styleId="CommentReference">
    <w:name w:val="Comment Reference"/>
    <w:basedOn w:val="DefaultParagraphFont"/>
    <w:uiPriority w:val="99"/>
    <w:semiHidden/>
    <w:unhideWhenUsed/>
    <w:rsid w:val="00F7356D"/>
    <w:rPr>
      <w:sz w:val="16"/>
      <w:szCs w:val="16"/>
    </w:rPr>
  </w:style>
  <w:style w:type="paragraph" w:styleId="CommentText">
    <w:name w:val="Comment Text"/>
    <w:basedOn w:val="Normal"/>
    <w:link w:val="CommentTextChar"/>
    <w:uiPriority w:val="99"/>
    <w:unhideWhenUsed/>
    <w:rsid w:val="00F7356D"/>
    <w:pPr>
      <w:spacing w:line="240" w:lineRule="auto"/>
    </w:pPr>
    <w:rPr>
      <w:sz w:val="20"/>
      <w:szCs w:val="20"/>
    </w:rPr>
  </w:style>
  <w:style w:type="character" w:styleId="CommentTextChar" w:customStyle="1">
    <w:name w:val="Comment Text Char"/>
    <w:basedOn w:val="DefaultParagraphFont"/>
    <w:link w:val="CommentText"/>
    <w:uiPriority w:val="99"/>
    <w:rsid w:val="00F7356D"/>
    <w:rPr>
      <w:sz w:val="20"/>
      <w:szCs w:val="20"/>
    </w:rPr>
  </w:style>
  <w:style w:type="paragraph" w:styleId="CommentSubject">
    <w:name w:val="Comment Subject"/>
    <w:basedOn w:val="CommentText"/>
    <w:next w:val="CommentText"/>
    <w:link w:val="CommentSubjectChar"/>
    <w:uiPriority w:val="99"/>
    <w:semiHidden/>
    <w:unhideWhenUsed/>
    <w:rsid w:val="00F7356D"/>
    <w:rPr>
      <w:b/>
      <w:bCs/>
    </w:rPr>
  </w:style>
  <w:style w:type="character" w:styleId="CommentSubjectChar" w:customStyle="1">
    <w:name w:val="Comment Subject Char"/>
    <w:basedOn w:val="CommentTextChar"/>
    <w:link w:val="CommentSubject"/>
    <w:uiPriority w:val="99"/>
    <w:semiHidden/>
    <w:rsid w:val="00F7356D"/>
    <w:rPr>
      <w:b/>
      <w:bCs/>
      <w:sz w:val="20"/>
      <w:szCs w:val="20"/>
    </w:rPr>
  </w:style>
  <w:style w:type="paragraph" w:styleId="Header">
    <w:name w:val="header"/>
    <w:basedOn w:val="Normal"/>
    <w:link w:val="HeaderChar"/>
    <w:uiPriority w:val="99"/>
    <w:unhideWhenUsed/>
    <w:rsid w:val="009141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9141CE"/>
  </w:style>
  <w:style w:type="paragraph" w:styleId="Footer">
    <w:name w:val="footer"/>
    <w:basedOn w:val="Normal"/>
    <w:link w:val="FooterChar"/>
    <w:uiPriority w:val="99"/>
    <w:unhideWhenUsed/>
    <w:rsid w:val="009141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9141CE"/>
  </w:style>
  <w:style w:type="paragraph" w:styleId="NoSpacing">
    <w:name w:val="No Spacing"/>
    <w:uiPriority w:val="1"/>
    <w:qFormat/>
    <w:rsid w:val="009141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330665">
      <w:bodyDiv w:val="1"/>
      <w:marLeft w:val="0"/>
      <w:marRight w:val="0"/>
      <w:marTop w:val="0"/>
      <w:marBottom w:val="0"/>
      <w:divBdr>
        <w:top w:val="none" w:sz="0" w:space="0" w:color="auto"/>
        <w:left w:val="none" w:sz="0" w:space="0" w:color="auto"/>
        <w:bottom w:val="none" w:sz="0" w:space="0" w:color="auto"/>
        <w:right w:val="none" w:sz="0" w:space="0" w:color="auto"/>
      </w:divBdr>
    </w:div>
    <w:div w:id="589395052">
      <w:bodyDiv w:val="1"/>
      <w:marLeft w:val="0"/>
      <w:marRight w:val="0"/>
      <w:marTop w:val="0"/>
      <w:marBottom w:val="0"/>
      <w:divBdr>
        <w:top w:val="none" w:sz="0" w:space="0" w:color="auto"/>
        <w:left w:val="none" w:sz="0" w:space="0" w:color="auto"/>
        <w:bottom w:val="none" w:sz="0" w:space="0" w:color="auto"/>
        <w:right w:val="none" w:sz="0" w:space="0" w:color="auto"/>
      </w:divBdr>
    </w:div>
    <w:div w:id="981807025">
      <w:bodyDiv w:val="1"/>
      <w:marLeft w:val="0"/>
      <w:marRight w:val="0"/>
      <w:marTop w:val="0"/>
      <w:marBottom w:val="0"/>
      <w:divBdr>
        <w:top w:val="none" w:sz="0" w:space="0" w:color="auto"/>
        <w:left w:val="none" w:sz="0" w:space="0" w:color="auto"/>
        <w:bottom w:val="none" w:sz="0" w:space="0" w:color="auto"/>
        <w:right w:val="none" w:sz="0" w:space="0" w:color="auto"/>
      </w:divBdr>
    </w:div>
    <w:div w:id="1711414470">
      <w:bodyDiv w:val="1"/>
      <w:marLeft w:val="0"/>
      <w:marRight w:val="0"/>
      <w:marTop w:val="0"/>
      <w:marBottom w:val="0"/>
      <w:divBdr>
        <w:top w:val="none" w:sz="0" w:space="0" w:color="auto"/>
        <w:left w:val="none" w:sz="0" w:space="0" w:color="auto"/>
        <w:bottom w:val="none" w:sz="0" w:space="0" w:color="auto"/>
        <w:right w:val="none" w:sz="0" w:space="0" w:color="auto"/>
      </w:divBdr>
      <w:divsChild>
        <w:div w:id="846675408">
          <w:marLeft w:val="0"/>
          <w:marRight w:val="0"/>
          <w:marTop w:val="0"/>
          <w:marBottom w:val="0"/>
          <w:divBdr>
            <w:top w:val="none" w:sz="0" w:space="0" w:color="auto"/>
            <w:left w:val="none" w:sz="0" w:space="0" w:color="auto"/>
            <w:bottom w:val="none" w:sz="0" w:space="0" w:color="auto"/>
            <w:right w:val="none" w:sz="0" w:space="0" w:color="auto"/>
          </w:divBdr>
          <w:divsChild>
            <w:div w:id="263541914">
              <w:marLeft w:val="0"/>
              <w:marRight w:val="0"/>
              <w:marTop w:val="0"/>
              <w:marBottom w:val="0"/>
              <w:divBdr>
                <w:top w:val="none" w:sz="0" w:space="0" w:color="auto"/>
                <w:left w:val="none" w:sz="0" w:space="0" w:color="auto"/>
                <w:bottom w:val="none" w:sz="0" w:space="0" w:color="auto"/>
                <w:right w:val="none" w:sz="0" w:space="0" w:color="auto"/>
              </w:divBdr>
              <w:divsChild>
                <w:div w:id="702366919">
                  <w:marLeft w:val="0"/>
                  <w:marRight w:val="0"/>
                  <w:marTop w:val="0"/>
                  <w:marBottom w:val="0"/>
                  <w:divBdr>
                    <w:top w:val="none" w:sz="0" w:space="0" w:color="auto"/>
                    <w:left w:val="none" w:sz="0" w:space="0" w:color="auto"/>
                    <w:bottom w:val="none" w:sz="0" w:space="0" w:color="auto"/>
                    <w:right w:val="none" w:sz="0" w:space="0" w:color="auto"/>
                  </w:divBdr>
                  <w:divsChild>
                    <w:div w:id="2032028718">
                      <w:marLeft w:val="0"/>
                      <w:marRight w:val="0"/>
                      <w:marTop w:val="0"/>
                      <w:marBottom w:val="0"/>
                      <w:divBdr>
                        <w:top w:val="none" w:sz="0" w:space="0" w:color="auto"/>
                        <w:left w:val="none" w:sz="0" w:space="0" w:color="auto"/>
                        <w:bottom w:val="none" w:sz="0" w:space="0" w:color="auto"/>
                        <w:right w:val="none" w:sz="0" w:space="0" w:color="auto"/>
                      </w:divBdr>
                      <w:divsChild>
                        <w:div w:id="216161553">
                          <w:marLeft w:val="0"/>
                          <w:marRight w:val="0"/>
                          <w:marTop w:val="0"/>
                          <w:marBottom w:val="0"/>
                          <w:divBdr>
                            <w:top w:val="none" w:sz="0" w:space="0" w:color="auto"/>
                            <w:left w:val="none" w:sz="0" w:space="0" w:color="auto"/>
                            <w:bottom w:val="none" w:sz="0" w:space="0" w:color="auto"/>
                            <w:right w:val="none" w:sz="0" w:space="0" w:color="auto"/>
                          </w:divBdr>
                          <w:divsChild>
                            <w:div w:id="5363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07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Illinois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Sackley, Kristen</dc:creator>
  <keywords/>
  <dc:description/>
  <lastModifiedBy>Jessica Followell</lastModifiedBy>
  <revision>3</revision>
  <dcterms:created xsi:type="dcterms:W3CDTF">2024-10-21T15:59:00.0000000Z</dcterms:created>
  <dcterms:modified xsi:type="dcterms:W3CDTF">2026-08-26T17:42:36.8896306Z</dcterms:modified>
</coreProperties>
</file>