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eastAsia="zh-CN"/>
        </w:rPr>
        <w:t>吉米有品</w:t>
      </w:r>
      <w:r>
        <w:rPr>
          <w:rFonts w:hint="eastAsia"/>
        </w:rPr>
        <w:t>接入方式及流程</w:t>
      </w:r>
    </w:p>
    <w:p>
      <w:pPr>
        <w:pStyle w:val="4"/>
      </w:pPr>
      <w:bookmarkStart w:id="0" w:name="_GoBack"/>
      <w:r>
        <w:rPr>
          <w:rFonts w:hint="eastAsia"/>
        </w:rPr>
        <w:t>1、概述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采用通用的OAuth2.0开放授权协议，可以让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在不获取合作方用户名和密码的前提下，访问用户授权的资源，协议规范可以访问OAuth2.0官方网站：https://oauth.net/2/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2、鉴权流程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设置相应的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Client id 和Client secret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应用向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OAuth2.0服务发起一个授权请求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（3）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OAuth2.0服务向用户展示一个授权页面，用户可进行登陆授权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（4）用户授权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客户端应用后，进行回跳到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的回调地址上并带上code相关参数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（5）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回调地址上根据code会去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Oauth 的服务上换取 access_token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（6）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通过该access_token进行访问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3、运行流程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OAuth 2.0的运行流程如下图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89550" cy="2838450"/>
            <wp:effectExtent l="0" t="0" r="635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（A）用户打开客户端以后，客户端要求用户给予授权。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（B）用户同意给予客户端授权。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（C）客户端使用上一步获得的授权，向认证服务器申请令牌。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（D）认证服务器对客户端进行认证以后，确认无误，同意发放令牌。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（E）客户端使用令牌，向资源服务器申请获取资源。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（F）资源服务器确认令牌无误，同意向客户端开放资源。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1"/>
          <w:rFonts w:hint="eastAsia"/>
          <w:lang w:val="en-US" w:eastAsia="zh-CN"/>
        </w:rPr>
        <w:t>4</w:t>
      </w:r>
      <w:r>
        <w:rPr>
          <w:rStyle w:val="11"/>
          <w:rFonts w:hint="eastAsia"/>
        </w:rPr>
        <w:t>、请求API</w:t>
      </w:r>
      <w:r>
        <w:rPr>
          <w:rStyle w:val="11"/>
          <w:rFonts w:hint="eastAsia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(A) 用户打开授权链接进行授权</w:t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http://data-share.jimiyoupin.com/auth/index/authorize?redirect_uri=https%3A%2F%2Fopen.bot.jimiyoupin.com%2Foauth%2Fcallback%3FskillId%3D11111111%26token%3DXXXXXXXXXX&amp;client_id=XXXXXXXXX&amp;response_type=code&amp;state=111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参数说明：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redirect_uri: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平台的回调地址，该地址会加上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的参数进行urlEncode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client_id: 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吉米平台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上注册的应用Id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response_type: 响应方式为code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state:表示客户端的当前状态，可以指定任意值，认证服务器会原封不动地返回这个值。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注：示例中的链接API(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http://data-share.jimiyoupin.com/auth/index/authorize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) 为开放平台中的账户授权链接字段。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(B) 通过code换取合作方访问令牌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http://data-share.jimiyoupin.com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/auth/index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access_token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?grant_type=authorization_code&amp;client_id=XXXXX&amp;client_secret=XXXXXX&amp;code=XXXXXXXX&amp;redirect_uri=https%3A%2F%2Fopen.bot.tmall.com%2Foauth%2Fcallback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请求方法： POST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参数说明：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client_id: 在合厂商平台上注册的应用Id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grant_type: 授权类型 authorization_code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client_secret:在厂商平台上注册应用的secret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code: 授权登陆后回调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的地址返回的code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redirect_uri: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第三方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回调地址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注：示例中的链接API ( 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http://data-share.jimiyoupin.com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/auth/index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access_token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) 为开放平台中的Access Token Url 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通过code换取access_token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响应结构如下(响应格式 application/json)：</w:t>
      </w:r>
    </w:p>
    <w:tbl>
      <w:tblPr>
        <w:tblStyle w:val="10"/>
        <w:tblW w:w="10634" w:type="dxa"/>
        <w:tblInd w:w="0" w:type="dxa"/>
        <w:tblBorders>
          <w:top w:val="single" w:color="9FDDE4" w:sz="6" w:space="0"/>
          <w:left w:val="single" w:color="9FDDE4" w:sz="6" w:space="0"/>
          <w:bottom w:val="single" w:color="9FDDE4" w:sz="6" w:space="0"/>
          <w:right w:val="single" w:color="9FDDE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1113"/>
        <w:gridCol w:w="7105"/>
      </w:tblGrid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解释说明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access_token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访问token（响应正确时必传递）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refresh_token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进行刷新access_token的刷新token 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expires_in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过期时间时长（响应正确时必传递）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error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错误响应码 （响应错误时必传递）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error_description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错误详情 （响应错误时必传递）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正常响应：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"access_token": "XXXXXX",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"refresh_token": "XXXXXX"，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"expires_in":17600000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错误响应: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"error":"errorCode",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"error_description":"description"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注： access_token 有效期请设置成1天以上(2-3天最佳)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(C) 通过refresh_token刷新access_token（该功能已上线，请确保厂商自己的刷新功能是完善的）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http://data-share.jimiyoupin.com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/auth/index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access_token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</w:rPr>
        <w:t>?grant_type=refresh_token&amp;client_id=XXXXX&amp;client_secret=XXXXXX&amp;refresh_token=XXXXXX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请求方法： POST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参数说明：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grant_type：更新access_token的授权方式为refresh_token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client_id: 在厂商平台上注册的应用Id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client_secret:在厂商平台上注册应用的secret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refresh_token: 上一次授权获取的refresh_token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Style w:val="9"/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shd w:val="clear" w:fill="EBEEEF"/>
          <w:vertAlign w:val="baseline"/>
          <w:lang w:val="en-US" w:eastAsia="zh-CN" w:bidi="ar"/>
        </w:rPr>
      </w:pPr>
      <w:r>
        <w:rPr>
          <w:rStyle w:val="9"/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注：示例中的链接API(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http://data-share.jimiyoupin.com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/auth/index/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89CD"/>
          <w:spacing w:val="0"/>
          <w:sz w:val="21"/>
          <w:szCs w:val="21"/>
          <w:u w:val="none"/>
          <w:shd w:val="clear" w:fill="FFFFFF"/>
          <w:lang w:val="en-US" w:eastAsia="zh-CN"/>
        </w:rPr>
        <w:t>access_token)</w:t>
      </w:r>
      <w:r>
        <w:rPr>
          <w:rStyle w:val="9"/>
          <w:rFonts w:hint="eastAsia" w:ascii="微软雅黑" w:hAnsi="微软雅黑" w:eastAsia="微软雅黑" w:cs="微软雅黑"/>
          <w:i w:val="0"/>
          <w:color w:val="00820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 xml:space="preserve"> </w:t>
      </w:r>
      <w:r>
        <w:rPr>
          <w:rStyle w:val="9"/>
          <w:rFonts w:hint="eastAsia" w:ascii="微软雅黑" w:hAnsi="微软雅黑" w:eastAsia="微软雅黑" w:cs="微软雅黑"/>
          <w:i w:val="0"/>
          <w:color w:val="000000"/>
          <w:kern w:val="0"/>
          <w:sz w:val="21"/>
          <w:szCs w:val="21"/>
          <w:shd w:val="clear" w:fill="EBEEEF"/>
          <w:vertAlign w:val="baseline"/>
          <w:lang w:val="en-US" w:eastAsia="zh-CN" w:bidi="ar"/>
        </w:rPr>
        <w:t>为开放平台中的Access Token Url 字段。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更新access_token 响应结构如下(响应格式 application/json)：</w:t>
      </w:r>
    </w:p>
    <w:tbl>
      <w:tblPr>
        <w:tblStyle w:val="10"/>
        <w:tblW w:w="10634" w:type="dxa"/>
        <w:tblInd w:w="0" w:type="dxa"/>
        <w:tblBorders>
          <w:top w:val="single" w:color="9FDDE4" w:sz="6" w:space="0"/>
          <w:left w:val="single" w:color="9FDDE4" w:sz="6" w:space="0"/>
          <w:bottom w:val="single" w:color="9FDDE4" w:sz="6" w:space="0"/>
          <w:right w:val="single" w:color="9FDDE4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1113"/>
        <w:gridCol w:w="7105"/>
      </w:tblGrid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 w:val="0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FFFFFF"/>
                <w:kern w:val="0"/>
                <w:sz w:val="18"/>
                <w:szCs w:val="18"/>
                <w:lang w:val="en-US" w:eastAsia="zh-CN" w:bidi="ar"/>
              </w:rPr>
              <w:t>解释说明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access_token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访问token（响应正确时必传递）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refresh_token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进行刷新access_token的刷新token 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expires_in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long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过期时间时长（响应正确时必传递）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error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错误响应码 （响应错误时必传递）</w:t>
            </w:r>
          </w:p>
        </w:tc>
      </w:tr>
      <w:tr>
        <w:tblPrEx>
          <w:tblBorders>
            <w:top w:val="single" w:color="9FDDE4" w:sz="6" w:space="0"/>
            <w:left w:val="single" w:color="9FDDE4" w:sz="6" w:space="0"/>
            <w:bottom w:val="single" w:color="9FDDE4" w:sz="6" w:space="0"/>
            <w:right w:val="single" w:color="9FDDE4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error_description</w:t>
            </w:r>
          </w:p>
        </w:tc>
        <w:tc>
          <w:tcPr>
            <w:tcW w:w="1113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dotted" w:color="auto" w:sz="6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String</w:t>
            </w:r>
          </w:p>
        </w:tc>
        <w:tc>
          <w:tcPr>
            <w:tcW w:w="7105" w:type="dxa"/>
            <w:tcBorders>
              <w:top w:val="single" w:color="4F81BD" w:sz="8" w:space="0"/>
              <w:left w:val="dotted" w:color="auto" w:sz="6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75" w:lineRule="atLeast"/>
              <w:ind w:left="0" w:right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lang w:val="en-US" w:eastAsia="zh-CN" w:bidi="ar"/>
              </w:rPr>
              <w:t>错误详情 （响应错误时必传递）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正常响应：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"access_token": "XXXXXX",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"refresh_token": "XXXXXX"，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"expires_in":17600000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错误响应: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"error":"errorCode",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 "error_description":"description"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25" w:beforeAutospacing="0" w:after="225" w:afterAutospacing="0" w:line="30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注意事项：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1.获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取access_token或者刷新access_token出现错误情况时http response status code 请返回200 ，接入方的内部异常请接入方自行包装异常信息</w:t>
      </w:r>
    </w:p>
    <w:p>
      <w:pPr>
        <w:rPr>
          <w:rFonts w:hint="eastAsia"/>
          <w:lang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41CD2"/>
    <w:rsid w:val="03136532"/>
    <w:rsid w:val="058969A3"/>
    <w:rsid w:val="08FA3563"/>
    <w:rsid w:val="098D1A9A"/>
    <w:rsid w:val="10FA4FD6"/>
    <w:rsid w:val="139D46D3"/>
    <w:rsid w:val="16EB28F7"/>
    <w:rsid w:val="19251B5D"/>
    <w:rsid w:val="1EE770A1"/>
    <w:rsid w:val="1F3666B5"/>
    <w:rsid w:val="1F5E1A9D"/>
    <w:rsid w:val="202B78C8"/>
    <w:rsid w:val="25480FC5"/>
    <w:rsid w:val="265C0CA6"/>
    <w:rsid w:val="27C157B3"/>
    <w:rsid w:val="289A517F"/>
    <w:rsid w:val="2B5D08C2"/>
    <w:rsid w:val="2BE22DC1"/>
    <w:rsid w:val="317C6DB7"/>
    <w:rsid w:val="317E2C94"/>
    <w:rsid w:val="31A67B80"/>
    <w:rsid w:val="32445099"/>
    <w:rsid w:val="341768CD"/>
    <w:rsid w:val="380353BC"/>
    <w:rsid w:val="38F16FE8"/>
    <w:rsid w:val="3B984AA6"/>
    <w:rsid w:val="3BAE5638"/>
    <w:rsid w:val="3C000EB2"/>
    <w:rsid w:val="3D606B2C"/>
    <w:rsid w:val="3DAD6BD0"/>
    <w:rsid w:val="409920B8"/>
    <w:rsid w:val="41A80A74"/>
    <w:rsid w:val="42726CA4"/>
    <w:rsid w:val="43723154"/>
    <w:rsid w:val="456E6E92"/>
    <w:rsid w:val="45770BC2"/>
    <w:rsid w:val="468C63FA"/>
    <w:rsid w:val="469C3961"/>
    <w:rsid w:val="4B46407C"/>
    <w:rsid w:val="50D75048"/>
    <w:rsid w:val="53D14632"/>
    <w:rsid w:val="54F9314D"/>
    <w:rsid w:val="584A6630"/>
    <w:rsid w:val="58675D58"/>
    <w:rsid w:val="5AD30C9D"/>
    <w:rsid w:val="5F1B1400"/>
    <w:rsid w:val="61A021DB"/>
    <w:rsid w:val="61F30855"/>
    <w:rsid w:val="63A4653E"/>
    <w:rsid w:val="67856B18"/>
    <w:rsid w:val="6BD45909"/>
    <w:rsid w:val="6CFF0C95"/>
    <w:rsid w:val="6DCC5726"/>
    <w:rsid w:val="74B2274C"/>
    <w:rsid w:val="75D060E1"/>
    <w:rsid w:val="79150125"/>
    <w:rsid w:val="7BF941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2018-11-01T05:51:00Z</dcterms:created>
  <dc:creator>霜雪寒霄</dc:creator>
  <cp:lastModifiedBy>霜雪寒霄</cp:lastModifiedBy>
  <dcterms:modified xsi:type="dcterms:W3CDTF">2018-11-05T07:26:18Z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