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0E0DD62E">
      <w:pPr>
        <w:pStyle w:val="32"/>
        <w:shd w:val="clear" w:fill="EAF2F8"/>
        <w:bidi w:val="0"/>
        <w:spacing w:before="180" w:after="90" w:line="260" w:lineRule="auto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Microsoft YaHei" w:hAnsi="Microsoft YaHei" w:eastAsia="微软雅黑" w:cs="Microsoft YaHei"/>
          <w:lang w:val="en-US" w:eastAsia="zh-CN"/>
          <w:b/>
          <w:bCs/>
          <w:color w:val="1F4E79"/>
          <w:sz w:val="23"/>
          <w:szCs w:val="23"/>
        </w:rPr>
        <w:t>个人信息</w:t>
      </w:r>
    </w:p>
    <w:p ns2:paraId="09C05C4D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t>姓名：邹军                                         手机号13683366156</w:t>
      </w:r>
    </w:p>
    <w:p ns2:paraId="78715AD3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t>邮箱：</w:t>
      </w: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fldChar w:fldCharType="begin"/>
      </w: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instrText xml:space="preserve"> HYPERLINK "mailto:13683366156@163.com" </w:instrText>
      </w: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fldChar w:fldCharType="separate"/>
      </w:r>
      <w:r>
        <w:rPr>
          <w:rStyle w:val="136"/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t>13683366156@163.com</w:t>
      </w: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fldChar w:fldCharType="end"/>
      </w: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t xml:space="preserve">           现居地：北京昌平区沙河</w:t>
      </w:r>
    </w:p>
    <w:p ns2:paraId="0EDE427D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求职意向：高级Java后端工程师 / 企业平台方向（</w:t>
      </w: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t>25</w:t>
      </w: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K-</w:t>
      </w: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t>35</w:t>
      </w: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K）</w:t>
      </w:r>
      <w:bookmarkStart w:id="0" w:name="_GoBack"/>
      <w:bookmarkEnd w:id="0"/>
    </w:p>
    <w:p ns2:paraId="35DA38E9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工作经验：10+年</w:t>
      </w:r>
    </w:p>
    <w:p ns2:paraId="5E96EB4E">
      <w:pPr>
        <w:pStyle w:val="3"/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Microsoft YaHei" w:hAnsi="Microsoft YaHei" w:eastAsia="微软雅黑" w:cs="Microsoft YaHei"/>
          <w:b/>
          <w:bCs/>
          <w:color w:val="1F4E79"/>
          <w:sz w:val="23"/>
          <w:szCs w:val="23"/>
        </w:rPr>
        <w:t>个人简介</w:t>
      </w:r>
    </w:p>
    <w:p ns2:paraId="2D6A46B1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10年以上 Java 企业级开发经验，长期参与企业数字化平台和核心业务系统建设。近阶段重点负责统一身份认证、统一网关、统一搜索、DevOps 自动化交付、审批流程等平台公共能力建设，具备平台能力抽象、系统集成、微服务架构设计和工程化落地经验。</w:t>
      </w:r>
    </w:p>
    <w:p ns2:paraId="6896D5F6">
      <w:pPr>
        <w:pStyle w:val="3"/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Microsoft YaHei" w:hAnsi="Microsoft YaHei" w:eastAsia="微软雅黑" w:cs="Microsoft YaHei"/>
          <w:lang w:val="en-US" w:eastAsia="zh-CN"/>
          <w:b/>
          <w:bCs/>
          <w:color w:val="1F4E79"/>
          <w:sz w:val="23"/>
          <w:szCs w:val="23"/>
        </w:rPr>
        <w:t>专业技能</w:t>
      </w:r>
    </w:p>
    <w:p ns2:paraId="7F7BE1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Microsoft YaHei" w:hAnsi="Microsoft YaHei" w:eastAsia="微软雅黑" w:cs="Microsoft YaHei"/>
          <w:color w:val="333333"/>
          <w:sz w:val="20"/>
          <w:szCs w:val="20"/>
        </w:rPr>
        <w:t>Java基础：</w:t>
      </w: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 10年以上Java开发经验，熟悉JVM、多线程、集合框架、设计模式，具备良好的代码设计能力。 </w:t>
      </w:r>
    </w:p>
    <w:p ns2:paraId="7D9C5A37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Microsoft YaHei" w:hAnsi="Microsoft YaHei" w:eastAsia="微软雅黑" w:cs="Microsoft YaHei"/>
          <w:color w:val="333333"/>
          <w:sz w:val="20"/>
          <w:szCs w:val="20"/>
        </w:rPr>
        <w:t>企业平台：</w:t>
      </w: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 参与企业数字化平台从0到1建设，负责统一身份认证、API Gateway、统一搜索、审批流程等平台公共能力建设。 </w:t>
      </w:r>
    </w:p>
    <w:p ns2:paraId="4C7E25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Microsoft YaHei" w:hAnsi="Microsoft YaHei" w:eastAsia="微软雅黑" w:cs="Microsoft YaHei"/>
          <w:color w:val="333333"/>
          <w:sz w:val="20"/>
          <w:szCs w:val="20"/>
        </w:rPr>
        <w:t>微服务：</w:t>
      </w: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 熟悉Spring Boot、Spring Cloud、Gateway、MyBatis-Plus等技术栈。 </w:t>
      </w:r>
    </w:p>
    <w:p ns2:paraId="0709A9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Microsoft YaHei" w:hAnsi="Microsoft YaHei" w:eastAsia="微软雅黑" w:cs="Microsoft YaHei"/>
          <w:color w:val="333333"/>
          <w:sz w:val="20"/>
          <w:szCs w:val="20"/>
        </w:rPr>
        <w:t>数据存储：</w:t>
      </w: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 熟悉MySQL、Redis，具备数据库设计及SQL优化经验。 </w:t>
      </w:r>
    </w:p>
    <w:p ns2:paraId="07B44D5F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Microsoft YaHei" w:hAnsi="Microsoft YaHei" w:eastAsia="微软雅黑" w:cs="Microsoft YaHei"/>
          <w:color w:val="333333"/>
          <w:sz w:val="20"/>
          <w:szCs w:val="20"/>
        </w:rPr>
        <w:t>搜索平台：</w:t>
      </w: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 熟悉Elasticsearch、Canal，参与Canal + Kafka + Elasticsearch企业统一搜索平台建设。 </w:t>
      </w:r>
    </w:p>
    <w:p ns2:paraId="02D628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Microsoft YaHei" w:hAnsi="Microsoft YaHei" w:eastAsia="微软雅黑" w:cs="Microsoft YaHei"/>
          <w:color w:val="333333"/>
          <w:sz w:val="20"/>
          <w:szCs w:val="20"/>
        </w:rPr>
        <w:t>消息中间件：</w:t>
      </w: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 熟悉Kafka、RabbitMQ，理解消息可靠性、最终一致性及异步解耦方案。 </w:t>
      </w:r>
    </w:p>
    <w:p ns2:paraId="1F0488DE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Microsoft YaHei" w:hAnsi="Microsoft YaHei" w:eastAsia="微软雅黑" w:cs="Microsoft YaHei"/>
          <w:color w:val="333333"/>
          <w:sz w:val="20"/>
          <w:szCs w:val="20"/>
        </w:rPr>
        <w:t>DevOps：</w:t>
      </w: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 熟悉Git、Docker、Jenkins、Harbor、Nexus、Nginx、MinIO，</w:t>
      </w: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t>独立主导</w:t>
      </w: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企业CI/CD自动化部署平台建设。 </w:t>
      </w:r>
    </w:p>
    <w:p ns2:paraId="26E3FB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1" w:after="75" w:afterAutospacing="1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134"/>
          <w:rFonts w:hint="eastAsia" w:ascii="Microsoft YaHei" w:hAnsi="Microsoft YaHei" w:eastAsia="微软雅黑" w:cs="Microsoft YaHei"/>
          <w:color w:val="333333"/>
          <w:sz w:val="20"/>
          <w:szCs w:val="20"/>
        </w:rPr>
        <w:t>身份认证：</w:t>
      </w: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 熟悉OpenLDAP、JWT、RBAC权限模型，</w:t>
      </w: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t>独立主导</w:t>
      </w: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飞书→用户中心→LDAP统一身份认证体系建设。</w:t>
      </w:r>
    </w:p>
    <w:p ns2:paraId="7117D886">
      <w:pPr>
        <w:keepNext w:val="0"/>
        <w:keepLines w:val="0"/>
        <w:widowControl/>
        <w:suppressLineNumbers w:val="0"/>
        <w:spacing w:before="20" w:after="75" w:line="260" w:lineRule="auto"/>
        <w:jc w:val="left"/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</w:pP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t>前端开发：了解 Vue3、Element Plus，能够借助 AI 工具完成中后台页面开发，具备前后端联调、接口设计和问题排查能力。</w:t>
      </w: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t/>
      </w:r>
      <w:r>
        <w:rPr>
          <w:rFonts w:hint="eastAsia" w:ascii="Microsoft YaHei" w:hAnsi="Microsoft YaHei" w:eastAsia="微软雅黑" w:cs="Microsoft YaHei"/>
          <w:kern w:val="0"/>
          <w:lang w:val="en-US" w:eastAsia="zh-CN" w:bidi="ar"/>
          <w:color w:val="333333"/>
          <w:sz w:val="20"/>
          <w:szCs w:val="20"/>
        </w:rPr>
        <w:t/>
      </w:r>
    </w:p>
    <w:p ns2:paraId="4253DF85">
      <w:pPr>
        <w:keepNext w:val="0"/>
        <w:keepLines w:val="0"/>
        <w:widowControl/>
        <w:suppressLineNumbers w:val="0"/>
        <w:spacing w:before="20" w:after="75" w:line="260" w:lineRule="auto"/>
        <w:jc w:val="left"/>
        <w:rPr>
          <w:rFonts w:hint="eastAsia" w:ascii="微软雅黑" w:hAnsi="微软雅黑" w:eastAsia="微软雅黑" w:cs="微软雅黑"/>
          <w:kern w:val="0"/>
          <w:sz w:val="21"/>
          <w:szCs w:val="21"/>
          <w:lang w:val="en-US" w:eastAsia="zh-CN" w:bidi="ar"/>
        </w:rPr>
      </w:pPr>
      <w:r>
        <w:rPr>
          <w:rFonts w:hint="eastAsia" w:ascii="Microsoft YaHei" w:hAnsi="Microsoft YaHei" w:eastAsia="微软雅黑" w:cs="Microsoft YaHei"/>
          <w:kern w:val="0"/>
          <w:lang w:val="en-US" w:eastAsia="zh-CN" w:bidi="ar"/>
          <w:color w:val="333333"/>
          <w:sz w:val="20"/>
          <w:szCs w:val="20"/>
        </w:rPr>
        <w:t>AI工程化：熟练使用 ChatGPT、Codex、通义千问等 AI 工具辅助需求分析、架构设计、代码开发、SQL 生成和问题排查，具备 AI 辅助企业应用开发实践，正在探索大模型接入企业平台（自然语言查询、知识库等）。</w:t>
      </w:r>
      <w:r>
        <w:rPr>
          <w:rFonts w:ascii="Microsoft YaHei" w:hAnsi="Microsoft YaHei" w:eastAsia="微软雅黑" w:cs="Microsoft YaHei"/>
          <w:kern w:val="0"/>
          <w:lang w:val="en-US" w:eastAsia="zh-CN" w:bidi="ar"/>
          <w:color w:val="333333"/>
          <w:sz w:val="20"/>
          <w:szCs w:val="20"/>
        </w:rPr>
        <w:t/>
      </w:r>
      <w:r>
        <w:rPr>
          <w:rFonts w:hint="eastAsia" w:ascii="Microsoft YaHei" w:hAnsi="Microsoft YaHei" w:eastAsia="微软雅黑" w:cs="Microsoft YaHei"/>
          <w:kern w:val="0"/>
          <w:lang w:val="en-US" w:eastAsia="zh-CN" w:bidi="ar"/>
          <w:color w:val="333333"/>
          <w:sz w:val="20"/>
          <w:szCs w:val="20"/>
        </w:rPr>
        <w:t/>
      </w:r>
    </w:p>
    <w:p ns2:paraId="0B9C1271">
      <w:pPr>
        <w:pStyle w:val="3"/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Microsoft YaHei" w:hAnsi="Microsoft YaHei" w:eastAsia="微软雅黑" w:cs="Microsoft YaHei"/>
          <w:b/>
          <w:bCs/>
          <w:color w:val="1F4E79"/>
          <w:sz w:val="23"/>
          <w:szCs w:val="23"/>
        </w:rPr>
        <w:t>重点项目：企业数字化平台（2023-至今）</w:t>
      </w:r>
    </w:p>
    <w:p ns2:paraId="62A16C3C">
      <w:pPr>
        <w:pStyle w:val="4"/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Microsoft YaHei" w:hAnsi="Microsoft YaHei" w:eastAsia="微软雅黑" w:cs="Microsoft YaHei"/>
          <w:b/>
          <w:bCs/>
          <w:color w:val="1F4E79"/>
          <w:sz w:val="23"/>
          <w:szCs w:val="23"/>
        </w:rPr>
        <w:t>项目背景</w:t>
      </w:r>
    </w:p>
    <w:p ns2:paraId="38704820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建设企业统一数字化平台，整合项目管理、种子库、大田管理、分子检测、耗材管理、文档管理等系统，解决用户、权限、搜索、部署等公共能力重复建设问题，提升多业务系统协同效率。</w:t>
      </w:r>
    </w:p>
    <w:p ns2:paraId="44318EA8">
      <w:pPr>
        <w:pStyle w:val="4"/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Microsoft YaHei" w:hAnsi="Microsoft YaHei" w:eastAsia="微软雅黑" w:cs="Microsoft YaHei"/>
          <w:b/>
          <w:bCs/>
          <w:color w:val="1F4E79"/>
          <w:sz w:val="23"/>
          <w:szCs w:val="23"/>
        </w:rPr>
        <w:t>主要职责</w:t>
      </w:r>
    </w:p>
    <w:p ns2:paraId="5D729891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参与企业平台从 0 到 1 建设，负责平台公共能力的设计、开发与落地。</w:t>
      </w:r>
    </w:p>
    <w:p ns2:paraId="2E12A307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设计飞书 -&gt; 用户中心 -&gt; LDAP 统一身份体系，实现统一认证、组织同步和权限管理。</w:t>
      </w:r>
    </w:p>
    <w:p ns2:paraId="05ADCD5E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建设 Spring Cloud Gateway 统一网关，实现统一鉴权、路由转发和接口治理。</w:t>
      </w:r>
    </w:p>
    <w:p ns2:paraId="33AF5B3D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设计 Canal + Kafka + Elasticsearch 统一搜索链路，支撑百万级业务数据检索。</w:t>
      </w:r>
    </w:p>
    <w:p ns2:paraId="586AA522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自研轻量级审批流程，支持按业务角色动态流转和审批。</w:t>
      </w:r>
    </w:p>
    <w:p ns2:paraId="68C0D448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搭建 Git、Jenkins、Docker、Harbor、Nexus、YApi、MinIO 研发平台，实现 CI/CD 自动化交付。</w:t>
      </w:r>
    </w:p>
    <w:p ns2:paraId="7CDBFBB4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负责标签打印、小程序扫码等现场业务，支撑日均 1000+ 标签打印。</w:t>
      </w:r>
    </w:p>
    <w:p ns2:paraId="1DB9E28B">
      <w:pPr>
        <w:pStyle w:val="4"/>
        <w:shd w:val="clear" w:fill="EAF2F8"/>
        <w:spacing w:before="180" w:after="90" w:line="260" w:lineRule="auto"/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t>项目成果</w:t>
      </w:r>
    </w:p>
    <w:p ns2:paraId="3969F803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✔ 完成企业数字化平台从0到1建设，实现多个业务系统统一登录、统一权限、统一搜索及统一部署。</w:t>
      </w:r>
    </w:p>
    <w:p ns2:paraId="23F68064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</w:p>
    <w:p ns2:paraId="4DDA4D8C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✔ 沉淀平台公共能力，统一身份认证、API Gateway、统一搜索、审批流程等能力可复用于新业务系统，提升平台扩展效率。</w:t>
      </w:r>
    </w:p>
    <w:p ns2:paraId="3C8216CB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</w:p>
    <w:p ns2:paraId="58A7051F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✔ 建设企业统一搜索平台，通过 Canal + Kafka + Elasticsearch 实现业务与搜索解耦，支持百万级数据统一检索。</w:t>
      </w:r>
    </w:p>
    <w:p ns2:paraId="0BB3EEF2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</w:p>
    <w:p ns2:paraId="1BC9939D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✔ 完成研发基础设施建设，搭建 Git、Jenkins、Docker、Harbor 等 DevOps 平台，规范研发流程，提高交付效率。</w:t>
      </w:r>
    </w:p>
    <w:p ns2:paraId="5C6610C8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</w:p>
    <w:p ns2:paraId="22057BBE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✔ 构建统一身份体系，实现飞书组织架构自动同步、LDAP 统一认证，支撑 GitLab、Harbor、YApi 等多个系统单点登录。</w:t>
      </w:r>
    </w:p>
    <w:p ns2:paraId="5ACCD21A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</w:p>
    <w:p ns2:paraId="2AAA1121">
      <w:pPr>
        <w:pStyle w:val="16"/>
        <w:numPr>
          <w:numId w:val="0"/>
        </w:numPr>
        <w:spacing w:before="20" w:after="75" w:line="260" w:lineRule="auto"/>
        <w:contextualSpacing/>
        <w:rPr>
          <w:rFonts w:hint="eastAsia" w:ascii="微软雅黑" w:hAnsi="微软雅黑" w:eastAsia="微软雅黑" w:cs="微软雅黑"/>
          <w:sz w:val="21"/>
          <w:szCs w:val="22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✔ 支撑企业核心业务运行，覆盖项目管理、种子库、大田管理、分子检测等业务系统，支持企业研发全流程数字化管理。</w:t>
      </w:r>
    </w:p>
    <w:p ns2:paraId="0D973CB2">
      <w:pPr>
        <w:pStyle w:val="3"/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Microsoft YaHei" w:hAnsi="Microsoft YaHei" w:eastAsia="微软雅黑" w:cs="Microsoft YaHei"/>
          <w:b/>
          <w:bCs/>
          <w:color w:val="1F4E79"/>
          <w:sz w:val="23"/>
          <w:szCs w:val="23"/>
        </w:rPr>
        <w:t>个人项目：AI企业文档管理系统</w:t>
      </w:r>
    </w:p>
    <w:p ns2:paraId="5C6892D3">
      <w:pPr>
        <w:pStyle w:val="4"/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Microsoft YaHei" w:hAnsi="Microsoft YaHei" w:eastAsia="微软雅黑" w:cs="Microsoft YaHei"/>
          <w:b/>
          <w:bCs/>
          <w:color w:val="1F4E79"/>
          <w:sz w:val="23"/>
          <w:szCs w:val="23"/>
        </w:rPr>
        <w:t>项目背景</w:t>
      </w:r>
    </w:p>
    <w:p ns2:paraId="2BDA906B">
      <w:pPr>
        <w:spacing w:before="20" w:after="75" w:line="26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独立设计并开发企业文档管理系统，面向企业知识管理场景，实现文档统一存储、权限控制、版本管理、在线预览、全文检索等能力，并探索 AI 知识库与自然语言问答在文档管理中的应用。</w:t>
      </w:r>
    </w:p>
    <w:p ns2:paraId="69AC44C4">
      <w:pPr>
        <w:pStyle w:val="4"/>
        <w:shd w:val="clear" w:fill="EAF2F8"/>
        <w:spacing w:before="180" w:after="90" w:line="260" w:lineRule="auto"/>
        <w:rPr>
          <w:rFonts w:hint="eastAsia"/>
        </w:rPr>
      </w:pPr>
      <w:r>
        <w:rPr>
          <w:rFonts w:hint="eastAsia" w:ascii="Microsoft YaHei" w:hAnsi="Microsoft YaHei" w:eastAsia="微软雅黑" w:cs="Microsoft YaHei"/>
          <w:b/>
          <w:bCs/>
          <w:color w:val="1F4E79"/>
          <w:sz w:val="23"/>
          <w:szCs w:val="23"/>
        </w:rPr>
        <w:t>主要职责</w:t>
      </w:r>
    </w:p>
    <w:p ns2:paraId="589F4DAC">
      <w:pPr>
        <w:keepNext w:val="0"/>
        <w:keepLines w:val="0"/>
        <w:widowControl/>
        <w:numPr>
          <w:ilvl w:val="0"/>
          <w:numId w:val="7"/>
        </w:numPr>
        <w:suppressLineNumbers w:val="0"/>
        <w:spacing w:before="20" w:after="75" w:line="260" w:lineRule="auto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完成系统整体架构设计及数据库设计。 </w:t>
      </w:r>
    </w:p>
    <w:p ns2:paraId="16C32699">
      <w:pPr>
        <w:keepNext w:val="0"/>
        <w:keepLines w:val="0"/>
        <w:widowControl/>
        <w:numPr>
          <w:ilvl w:val="0"/>
          <w:numId w:val="7"/>
        </w:numPr>
        <w:suppressLineNumbers w:val="0"/>
        <w:spacing w:before="20" w:after="75" w:line="260" w:lineRule="auto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基于 Spring Boot + Vue3 实现文档管理、目录管理、权限管理等核心功能。 </w:t>
      </w:r>
    </w:p>
    <w:p ns2:paraId="14DDE4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20" w:after="75" w:line="260" w:lineRule="auto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集成 OnlyOffice，实现 Office 文档在线预览与编辑。 </w:t>
      </w:r>
    </w:p>
    <w:p ns2:paraId="676F88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20" w:after="75" w:line="260" w:lineRule="auto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 设计文档版本管理、历史版本回滚、操作日志等功能。 </w:t>
      </w:r>
    </w:p>
    <w:p ns2:paraId="245B789F">
      <w:pPr>
        <w:keepNext w:val="0"/>
        <w:keepLines w:val="0"/>
        <w:widowControl/>
        <w:numPr>
          <w:ilvl w:val="0"/>
          <w:numId w:val="7"/>
        </w:numPr>
        <w:suppressLineNumbers w:val="0"/>
        <w:spacing w:before="20" w:after="75" w:line="260" w:lineRule="auto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 xml:space="preserve"> 研究企业知识库建设，探索大模型结合企业文档的智能问答能力。 </w:t>
      </w:r>
    </w:p>
    <w:p ns2:paraId="6A2210D0">
      <w:pPr>
        <w:keepNext w:val="0"/>
        <w:keepLines w:val="0"/>
        <w:widowControl/>
        <w:numPr>
          <w:ilvl w:val="0"/>
          <w:numId w:val="7"/>
        </w:numPr>
        <w:suppressLineNumbers w:val="0"/>
        <w:spacing w:before="20" w:after="75" w:line="260" w:lineRule="auto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使用 AI 编程工具（ChatGPT、Codex）辅助完成 Vue 页面开发、接口联调和业务模块实现。</w:t>
      </w:r>
    </w:p>
    <w:p ns2:paraId="354DABDC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after="75" w:line="260" w:lineRule="auto"/>
        <w:ind w:leftChars="0"/>
        <w:rPr>
          <w:rFonts w:hint="eastAsia" w:ascii="微软雅黑" w:hAnsi="微软雅黑" w:eastAsia="微软雅黑" w:cs="微软雅黑"/>
          <w:sz w:val="28"/>
          <w:szCs w:val="32"/>
        </w:rPr>
      </w:pPr>
    </w:p>
    <w:p ns2:paraId="2B6D26D9">
      <w:pPr>
        <w:pStyle w:val="5"/>
        <w:keepNext w:val="0"/>
        <w:keepLines w:val="0"/>
        <w:widowControl/>
        <w:suppressLineNumbers w:val="0"/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2"/>
          <w:szCs w:val="36"/>
        </w:rPr>
      </w:pPr>
      <w:r>
        <w:rPr>
          <w:rFonts w:hint="eastAsia" w:ascii="Microsoft YaHei" w:hAnsi="Microsoft YaHei" w:eastAsia="微软雅黑" w:cs="Microsoft YaHei"/>
          <w:b/>
          <w:bCs/>
          <w:color w:val="1F4E79"/>
          <w:sz w:val="23"/>
          <w:szCs w:val="23"/>
        </w:rPr>
        <w:t>技术栈</w:t>
      </w:r>
    </w:p>
    <w:p ns2:paraId="752992F7">
      <w:pPr>
        <w:pStyle w:val="30"/>
        <w:keepNext w:val="0"/>
        <w:keepLines w:val="0"/>
        <w:widowControl/>
        <w:suppressLineNumbers w:val="0"/>
        <w:spacing w:before="20" w:after="75" w:line="260" w:lineRule="auto"/>
        <w:ind w:right="720"/>
        <w:rPr>
          <w:rFonts w:hint="eastAsia" w:ascii="微软雅黑" w:hAnsi="微软雅黑" w:eastAsia="微软雅黑" w:cs="微软雅黑"/>
          <w:sz w:val="28"/>
          <w:szCs w:val="24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Spring Boot、MyBatis-Plus、Vue3、Element Plus、MySQL、Redis、OnlyOffice、MinIO、Nginx</w:t>
      </w:r>
    </w:p>
    <w:p ns2:paraId="0EFED8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after="75" w:line="260" w:lineRule="auto"/>
        <w:ind w:leftChars="0"/>
        <w:rPr>
          <w:rFonts w:hint="eastAsia" w:ascii="微软雅黑" w:hAnsi="微软雅黑" w:eastAsia="微软雅黑" w:cs="微软雅黑"/>
          <w:sz w:val="28"/>
          <w:szCs w:val="32"/>
        </w:rPr>
      </w:pPr>
    </w:p>
    <w:p ns2:paraId="6EFC9874">
      <w:pPr>
        <w:pStyle w:val="3"/>
        <w:shd w:val="clear" w:fill="EAF2F8"/>
        <w:spacing w:before="180" w:after="90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Microsoft YaHei" w:hAnsi="Microsoft YaHei" w:eastAsia="微软雅黑" w:cs="Microsoft YaHei"/>
          <w:b/>
          <w:bCs/>
          <w:color w:val="1F4E79"/>
          <w:sz w:val="23"/>
          <w:szCs w:val="23"/>
        </w:rPr>
        <w:t>历史项目经历</w:t>
      </w:r>
    </w:p>
    <w:p ns2:paraId="57B27E22">
      <w:pPr>
        <w:pStyle w:val="4"/>
        <w:spacing w:before="20" w:after="75" w:line="260" w:lineRule="auto"/>
        <w:rPr>
          <w:rFonts w:hint="eastAsia" w:ascii="微软雅黑" w:hAnsi="微软雅黑" w:eastAsia="微软雅黑" w:cs="微软雅黑"/>
          <w:sz w:val="30"/>
          <w:szCs w:val="30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中电药明（2020-2023）</w:t>
      </w:r>
    </w:p>
    <w:p ns2:paraId="26B74CC4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项目：</w:t>
      </w:r>
      <w:r>
        <w:rPr>
          <w:rFonts w:hint="eastAsia" w:ascii="Microsoft YaHei" w:hAnsi="Microsoft YaHei" w:eastAsia="微软雅黑" w:cs="Microsoft YaHei"/>
          <w:lang w:val="en-US" w:eastAsia="zh-CN"/>
          <w:color w:val="333333"/>
          <w:sz w:val="20"/>
          <w:szCs w:val="20"/>
        </w:rPr>
        <w:t>数字疗法</w:t>
      </w: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平台</w:t>
      </w:r>
    </w:p>
    <w:p ns2:paraId="7C9C4E09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负责 Kafka 消息接入和消费模块开发，实现设备数据异步处理。</w:t>
      </w:r>
    </w:p>
    <w:p ns2:paraId="5EFD0037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负责 HBase 数据存储设计和历史数据查询优化。</w:t>
      </w:r>
    </w:p>
    <w:p ns2:paraId="628EDA4D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参与规则引擎开发，实现设备数据计算与告警。</w:t>
      </w:r>
    </w:p>
    <w:p ns2:paraId="165E64E1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参与 Docker 部署、环境配置和系统上线。</w:t>
      </w:r>
    </w:p>
    <w:p ns2:paraId="1D63130E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技术栈：Java、Spring Boot、Kafka、HBase、Redis、Docker</w:t>
      </w:r>
    </w:p>
    <w:p ns2:paraId="11D1B5C4">
      <w:pPr>
        <w:pStyle w:val="4"/>
        <w:spacing w:before="20" w:after="75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玖富科技（2018-2020）</w:t>
      </w:r>
    </w:p>
    <w:p ns2:paraId="76A3958D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项目：支付订单平台</w:t>
      </w:r>
    </w:p>
    <w:p ns2:paraId="1F71C109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负责订单生命周期和状态流转设计开发。</w:t>
      </w:r>
    </w:p>
    <w:p ns2:paraId="79B6EBB1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参与支付、退款、拆单等核心交易业务开发。</w:t>
      </w:r>
    </w:p>
    <w:p ns2:paraId="19773E1D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基于 RabbitMQ 实现异步通知和最终一致性处理。</w:t>
      </w:r>
    </w:p>
    <w:p ns2:paraId="57ADFE06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参与订单对账、异常补偿和性能优化。</w:t>
      </w:r>
    </w:p>
    <w:p ns2:paraId="413D458B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技术栈：Java、Spring Boot、MySQL、Redis、RabbitMQ</w:t>
      </w:r>
    </w:p>
    <w:p ns2:paraId="563F000D">
      <w:pPr>
        <w:pStyle w:val="4"/>
        <w:spacing w:before="20" w:after="75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北京一卡通（2016-2018）</w:t>
      </w:r>
    </w:p>
    <w:p ns2:paraId="6F573576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项目：一卡通支付平台</w:t>
      </w:r>
    </w:p>
    <w:p ns2:paraId="22688093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支撑 1 亿级用户规模，日均交易约 300 万笔。</w:t>
      </w:r>
    </w:p>
    <w:p ns2:paraId="502DA60F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负责 8583 金融报文解析和交易处理。</w:t>
      </w:r>
    </w:p>
    <w:p ns2:paraId="73B02A4B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基于 Netty 实现 TCP 长连接通信。</w:t>
      </w:r>
    </w:p>
    <w:p ns2:paraId="46A0B8F0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参与清结算、对账和高并发交易处理。</w:t>
      </w:r>
    </w:p>
    <w:p ns2:paraId="0BB993B4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技术栈：Java、Spring、Netty、Oracle、Redis</w:t>
      </w:r>
    </w:p>
    <w:p ns2:paraId="7C2939EE">
      <w:pPr>
        <w:pStyle w:val="4"/>
        <w:spacing w:before="20" w:after="75" w:line="260" w:lineRule="auto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易智付（2015-2016）</w:t>
      </w:r>
    </w:p>
    <w:p ns2:paraId="0501072B">
      <w:pPr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项目：第三方支付平台</w:t>
      </w:r>
    </w:p>
    <w:p ns2:paraId="188A464E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参与第三方支付接口开发。</w:t>
      </w:r>
    </w:p>
    <w:p ns2:paraId="6AA0A572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负责商户后台管理模块开发。</w:t>
      </w:r>
    </w:p>
    <w:p ns2:paraId="563D49B7">
      <w:pPr>
        <w:pStyle w:val="16"/>
        <w:spacing w:before="20" w:after="75" w:line="26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参与接口联调、问题排查和系统维护。</w:t>
      </w:r>
    </w:p>
    <w:p ns2:paraId="344435CC">
      <w:pPr>
        <w:spacing w:before="20" w:after="75" w:line="260" w:lineRule="auto"/>
        <w:rPr>
          <w:rFonts w:hint="eastAsia" w:ascii="微软雅黑" w:hAnsi="微软雅黑" w:eastAsia="微软雅黑" w:cs="微软雅黑"/>
        </w:rPr>
      </w:pPr>
      <w:r>
        <w:rPr>
          <w:rFonts w:hint="eastAsia" w:ascii="Microsoft YaHei" w:hAnsi="Microsoft YaHei" w:eastAsia="微软雅黑" w:cs="Microsoft YaHei"/>
          <w:color w:val="333333"/>
          <w:sz w:val="20"/>
          <w:szCs w:val="20"/>
        </w:rPr>
        <w:t>技术栈：Java、Spring、MySQL</w:t>
      </w:r>
    </w:p>
    <w:sectPr>
      <w:pgSz w:w="11906" w:h="16838"/>
      <w:pgMar w:top="720" w:right="720" w:bottom="720" w:left="720" w:header="360" w:footer="36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F2970"/>
    <w:multiLevelType w:val="singleLevel"/>
    <w:tmpl w:val="EFBF297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DA3D44"/>
    <w:rsid w:val="6FCFDD81"/>
    <w:rsid w:val="77BBCC7D"/>
    <w:rsid w:val="7BD75B90"/>
    <w:rsid w:val="7D7DDB6B"/>
    <w:rsid w:val="ACBFB26F"/>
    <w:rsid w:val="BFC3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ns1="http://schemas.openxmlformats.org/markup-compatibility/2006" xmlns:ns2="http://schemas.microsoft.com/office/word/2010/wordml" xmlns:w="http://schemas.openxmlformats.org/wordprocessingml/2006/main" ns1:Ignorable="w14">
  <w:docDefaults>
    <w:rPrDefault>
      <w:rPr>
        <w:rFonts w:ascii="Times New Roman" w:hAnsi="Times New Roman" w:eastAsia="宋体" w:cs="Times New Roman"/>
        <w:sz w:val="20"/>
        <w:szCs w:val="20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lang w:val="en-US" w:eastAsia="en-US" w:bidi="ar-SA"/>
      <w:sz w:val="20"/>
      <w:szCs w:val="20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0"/>
      <w:szCs w:val="20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ns2:textFill>
        <ns2:solidFill>
          <ns2:schemeClr ns2:val="accent1"/>
        </ns2:solidFill>
      </ns2:textFill>
      <w:sz w:val="20"/>
      <w:szCs w:val="20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ns2:textFill>
        <ns2:solidFill>
          <ns2:schemeClr ns2:val="accent1"/>
        </ns2:solidFill>
      </ns2:textFill>
      <w:sz w:val="20"/>
      <w:szCs w:val="20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ns2:textFill>
        <ns2:solidFill>
          <ns2:schemeClr ns2:val="accent1"/>
        </ns2:solidFill>
      </ns2:textFill>
      <w:sz w:val="20"/>
      <w:szCs w:val="20"/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  <w:sz w:val="20"/>
      <w:szCs w:val="2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0"/>
      <w:szCs w:val="2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ns2:textFill>
        <ns2:solidFill>
          <ns2:schemeClr ns2:val="tx1">
            <ns2:lumMod ns2:val="75000"/>
            <ns2:lumOff ns2:val="25000"/>
          </ns2:schemeClr>
        </ns2:solidFill>
      </ns2:textFill>
      <w:sz w:val="20"/>
      <w:szCs w:val="20"/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ns2:textFill>
        <ns2:solidFill>
          <ns2:schemeClr ns2:val="accent1"/>
        </ns2:solidFill>
      </ns2:textFill>
      <w:sz w:val="20"/>
      <w:szCs w:val="20"/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ns2:textFill>
        <ns2:solidFill>
          <ns2:schemeClr ns2:val="tx1">
            <ns2:lumMod ns2:val="75000"/>
            <ns2:lumOff ns2:val="25000"/>
          </ns2:schemeClr>
        </ns2:solidFill>
      </ns2:textFill>
      <w:sz w:val="20"/>
      <w:szCs w:val="20"/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  <w:sz w:val="20"/>
      <w:szCs w:val="20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ns2:textFill>
        <ns2:solidFill>
          <ns2:schemeClr ns2:val="accent1"/>
        </ns2:solidFill>
      </ns2:textFill>
      <w:sz w:val="20"/>
      <w:szCs w:val="20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20"/>
      <w:szCs w:val="20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ns2:textFill>
        <ns2:solidFill>
          <ns2:schemeClr ns2:val="accent1"/>
        </ns2:solidFill>
      </ns2:textFill>
      <w:sz w:val="20"/>
      <w:szCs w:val="20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lang w:val="en-US" w:eastAsia="zh-CN" w:bidi="ar"/>
      <w:sz w:val="20"/>
      <w:szCs w:val="20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20"/>
      <w:szCs w:val="20"/>
    </w:rPr>
  </w:style>
  <w:style w:type="table" w:styleId="34">
    <w:name w:val="Table Grid"/>
    <w:basedOn w:val="33"/>
    <w:uiPriority w:val="59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/>
    </w:tblStylePr>
    <w:tblStylePr w:type="band1Horz">
      <w:tblPr/>
      <w:tcPr/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/>
    </w:tblStylePr>
    <w:tblStylePr w:type="band1Horz">
      <w:tblPr/>
      <w:tcPr/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/>
    </w:tblStylePr>
    <w:tblStylePr w:type="band1Horz">
      <w:tblPr/>
      <w:tcPr/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/>
    </w:tblStylePr>
    <w:tblStylePr w:type="band1Horz">
      <w:tblPr/>
      <w:tcPr/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/>
    </w:tblStylePr>
    <w:tblStylePr w:type="band1Horz">
      <w:tblPr/>
      <w:tcPr/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/>
    </w:tblStylePr>
    <w:tblStylePr w:type="band1Horz">
      <w:tblPr/>
      <w:tcPr/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/>
    </w:tblStylePr>
    <w:tblStylePr w:type="band1Horz">
      <w:tblPr/>
      <w:tcPr/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/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/>
    </w:tblStylePr>
    <w:tblStylePr w:type="firstCol">
      <w:rPr>
        <w:rFonts w:asciiTheme="majorHAnsi" w:hAnsiTheme="majorHAnsi" w:eastAsiaTheme="majorEastAsia" w:cstheme="majorBidi"/>
        <w:b/>
        <w:bCs/>
        <w:sz w:val="20"/>
        <w:szCs w:val="20"/>
      </w:rPr>
    </w:tblStylePr>
    <w:tblStylePr w:type="lastCol">
      <w:rPr>
        <w:rFonts w:asciiTheme="majorHAnsi" w:hAnsiTheme="majorHAnsi" w:eastAsiaTheme="majorEastAsia" w:cstheme="majorBidi"/>
        <w:b/>
        <w:bCs/>
        <w:sz w:val="20"/>
        <w:szCs w:val="20"/>
      </w:rPr>
      <w:tblPr/>
      <w:tcPr/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  <w:tblStylePr w:type="band2Horz">
      <w:tblPr/>
      <w:tcPr/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/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/>
    </w:tblStylePr>
    <w:tblStylePr w:type="firstCol">
      <w:rPr>
        <w:rFonts w:asciiTheme="majorHAnsi" w:hAnsiTheme="majorHAnsi" w:eastAsiaTheme="majorEastAsia" w:cstheme="majorBidi"/>
        <w:b/>
        <w:bCs/>
        <w:sz w:val="20"/>
        <w:szCs w:val="20"/>
      </w:rPr>
    </w:tblStylePr>
    <w:tblStylePr w:type="lastCol">
      <w:rPr>
        <w:rFonts w:asciiTheme="majorHAnsi" w:hAnsiTheme="majorHAnsi" w:eastAsiaTheme="majorEastAsia" w:cstheme="majorBidi"/>
        <w:b/>
        <w:bCs/>
        <w:sz w:val="20"/>
        <w:szCs w:val="20"/>
      </w:rPr>
      <w:tblPr/>
      <w:tc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band2Horz">
      <w:tblPr/>
      <w:tcPr/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/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/>
    </w:tblStylePr>
    <w:tblStylePr w:type="firstCol">
      <w:rPr>
        <w:rFonts w:asciiTheme="majorHAnsi" w:hAnsiTheme="majorHAnsi" w:eastAsiaTheme="majorEastAsia" w:cstheme="majorBidi"/>
        <w:b/>
        <w:bCs/>
        <w:sz w:val="20"/>
        <w:szCs w:val="20"/>
      </w:rPr>
    </w:tblStylePr>
    <w:tblStylePr w:type="lastCol">
      <w:rPr>
        <w:rFonts w:asciiTheme="majorHAnsi" w:hAnsiTheme="majorHAnsi" w:eastAsiaTheme="majorEastAsia" w:cstheme="majorBidi"/>
        <w:b/>
        <w:bCs/>
        <w:sz w:val="20"/>
        <w:szCs w:val="20"/>
      </w:rPr>
      <w:tblPr/>
      <w:tcPr/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  <w:tblStylePr w:type="band2Horz">
      <w:tblPr/>
      <w:tcPr/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/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/>
    </w:tblStylePr>
    <w:tblStylePr w:type="firstCol">
      <w:rPr>
        <w:rFonts w:asciiTheme="majorHAnsi" w:hAnsiTheme="majorHAnsi" w:eastAsiaTheme="majorEastAsia" w:cstheme="majorBidi"/>
        <w:b/>
        <w:bCs/>
        <w:sz w:val="20"/>
        <w:szCs w:val="20"/>
      </w:rPr>
    </w:tblStylePr>
    <w:tblStylePr w:type="lastCol">
      <w:rPr>
        <w:rFonts w:asciiTheme="majorHAnsi" w:hAnsiTheme="majorHAnsi" w:eastAsiaTheme="majorEastAsia" w:cstheme="majorBidi"/>
        <w:b/>
        <w:bCs/>
        <w:sz w:val="20"/>
        <w:szCs w:val="20"/>
      </w:rPr>
      <w:tblPr/>
      <w:tc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band2Horz">
      <w:tblPr/>
      <w:tcPr/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/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/>
    </w:tblStylePr>
    <w:tblStylePr w:type="firstCol">
      <w:rPr>
        <w:rFonts w:asciiTheme="majorHAnsi" w:hAnsiTheme="majorHAnsi" w:eastAsiaTheme="majorEastAsia" w:cstheme="majorBidi"/>
        <w:b/>
        <w:bCs/>
        <w:sz w:val="20"/>
        <w:szCs w:val="20"/>
      </w:rPr>
    </w:tblStylePr>
    <w:tblStylePr w:type="lastCol">
      <w:rPr>
        <w:rFonts w:asciiTheme="majorHAnsi" w:hAnsiTheme="majorHAnsi" w:eastAsiaTheme="majorEastAsia" w:cstheme="majorBidi"/>
        <w:b/>
        <w:bCs/>
        <w:sz w:val="20"/>
        <w:szCs w:val="20"/>
      </w:rPr>
      <w:tblPr/>
      <w:tc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band2Horz">
      <w:tblPr/>
      <w:tcPr/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/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/>
    </w:tblStylePr>
    <w:tblStylePr w:type="firstCol">
      <w:rPr>
        <w:rFonts w:asciiTheme="majorHAnsi" w:hAnsiTheme="majorHAnsi" w:eastAsiaTheme="majorEastAsia" w:cstheme="majorBidi"/>
        <w:b/>
        <w:bCs/>
        <w:sz w:val="20"/>
        <w:szCs w:val="20"/>
      </w:rPr>
    </w:tblStylePr>
    <w:tblStylePr w:type="lastCol">
      <w:rPr>
        <w:rFonts w:asciiTheme="majorHAnsi" w:hAnsiTheme="majorHAnsi" w:eastAsiaTheme="majorEastAsia" w:cstheme="majorBidi"/>
        <w:b/>
        <w:bCs/>
        <w:sz w:val="20"/>
        <w:szCs w:val="20"/>
      </w:rPr>
      <w:tblPr/>
      <w:tcPr/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  <w:tblStylePr w:type="band2Horz">
      <w:tblPr/>
      <w:tcPr/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/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  <w:sz w:val="20"/>
        <w:szCs w:val="20"/>
      </w:rPr>
      <w:tblPr/>
      <w:tcPr/>
    </w:tblStylePr>
    <w:tblStylePr w:type="firstCol">
      <w:rPr>
        <w:rFonts w:asciiTheme="majorHAnsi" w:hAnsiTheme="majorHAnsi" w:eastAsiaTheme="majorEastAsia" w:cstheme="majorBidi"/>
        <w:b/>
        <w:bCs/>
        <w:sz w:val="20"/>
        <w:szCs w:val="20"/>
      </w:rPr>
    </w:tblStylePr>
    <w:tblStylePr w:type="lastCol">
      <w:rPr>
        <w:rFonts w:asciiTheme="majorHAnsi" w:hAnsiTheme="majorHAnsi" w:eastAsiaTheme="majorEastAsia" w:cstheme="majorBidi"/>
        <w:b/>
        <w:bCs/>
        <w:sz w:val="20"/>
        <w:szCs w:val="20"/>
      </w:rPr>
      <w:tblPr/>
      <w:tcPr/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  <w:tblStylePr w:type="band2Horz">
      <w:tblPr/>
      <w:tcPr/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  <w:tblStylePr w:type="band2Horz">
      <w:tblPr/>
      <w:tcPr/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band2Horz">
      <w:tblPr/>
      <w:tcPr/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  <w:tblStylePr w:type="band2Horz">
      <w:tblPr/>
      <w:tcPr/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band2Horz">
      <w:tblPr/>
      <w:tcPr/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band2Horz">
      <w:tblPr/>
      <w:tcPr/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  <w:tblStylePr w:type="band2Horz">
      <w:tblPr/>
      <w:tcPr/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  <w:tblStylePr w:type="band2Horz">
      <w:tblPr/>
      <w:tcPr/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000000" w:themeFill="text1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/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/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4F81BD" w:themeFill="accent1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/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/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C0504D" w:themeFill="accent2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/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/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9BBB59" w:themeFill="accent3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/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/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8064A2" w:themeFill="accent4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/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/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4BACC6" w:themeFill="accent5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/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/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F79646" w:themeFill="accent6"/>
      </w:tcPr>
    </w:tblStylePr>
    <w:tblStylePr w:type="lastCol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/>
    </w:tblStylePr>
    <w:tblStylePr w:type="nwCel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/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sz w:val="20"/>
        <w:szCs w:val="20"/>
      </w:rPr>
      <w:tblPr/>
      <w:tcPr/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  <w:tblPr/>
      <w:tcPr/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sz w:val="20"/>
        <w:szCs w:val="20"/>
      </w:rPr>
      <w:tblPr/>
      <w:tcPr/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  <w:tblPr/>
      <w:tc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sz w:val="20"/>
        <w:szCs w:val="20"/>
      </w:rPr>
      <w:tblPr/>
      <w:tcPr/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  <w:tblPr/>
      <w:tcPr/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sz w:val="20"/>
        <w:szCs w:val="20"/>
      </w:rPr>
      <w:tblPr/>
      <w:tcPr/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  <w:tblPr/>
      <w:tc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sz w:val="20"/>
        <w:szCs w:val="20"/>
      </w:rPr>
      <w:tblPr/>
      <w:tcPr/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  <w:tblPr/>
      <w:tc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sz w:val="20"/>
        <w:szCs w:val="20"/>
      </w:rPr>
      <w:tblPr/>
      <w:tcPr/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  <w:tblPr/>
      <w:tcPr/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sz w:val="20"/>
        <w:szCs w:val="20"/>
      </w:rPr>
      <w:tblPr/>
      <w:tcPr/>
    </w:tblStylePr>
    <w:tblStylePr w:type="lastRow">
      <w:rPr>
        <w:b/>
        <w:bCs/>
        <w:color w:val="1F497D" w:themeColor="text2"/>
        <ns2:textFill>
          <ns2:solidFill>
            <ns2:schemeClr ns2:val="tx2"/>
          </ns2:solidFill>
        </ns2:textFill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  <w:tblPr/>
      <w:tcPr/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0"/>
        <w:szCs w:val="20"/>
      </w:rPr>
      <w:tblPr/>
      <w:tcPr>
        <w:shd w:val="clear" w:color="auto" w:fill="FFFFFF" w:themeFill="background1"/>
      </w:tcPr>
    </w:tblStylePr>
    <w:tblStylePr w:type="lastRow">
      <w:tblPr/>
      <w:tcPr>
        <w:shd w:val="clear" w:color="auto" w:fill="FFFFFF" w:themeFill="background1"/>
      </w:tcPr>
    </w:tblStylePr>
    <w:tblStylePr w:type="firstCol">
      <w:tblPr/>
      <w:tcPr>
        <w:shd w:val="clear" w:color="auto" w:fill="FFFFFF" w:themeFill="background1"/>
      </w:tcPr>
    </w:tblStylePr>
    <w:tblStylePr w:type="lastCo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/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0"/>
        <w:szCs w:val="20"/>
      </w:rPr>
      <w:tblPr/>
      <w:tcPr>
        <w:shd w:val="clear" w:color="auto" w:fill="FFFFFF" w:themeFill="background1"/>
      </w:tcPr>
    </w:tblStylePr>
    <w:tblStylePr w:type="lastRow">
      <w:tblPr/>
      <w:tcPr>
        <w:shd w:val="clear" w:color="auto" w:fill="FFFFFF" w:themeFill="background1"/>
      </w:tcPr>
    </w:tblStylePr>
    <w:tblStylePr w:type="firstCol">
      <w:tblPr/>
      <w:tcPr>
        <w:shd w:val="clear" w:color="auto" w:fill="FFFFFF" w:themeFill="background1"/>
      </w:tcPr>
    </w:tblStylePr>
    <w:tblStylePr w:type="lastCo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/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0"/>
        <w:szCs w:val="20"/>
      </w:rPr>
      <w:tblPr/>
      <w:tcPr>
        <w:shd w:val="clear" w:color="auto" w:fill="FFFFFF" w:themeFill="background1"/>
      </w:tcPr>
    </w:tblStylePr>
    <w:tblStylePr w:type="lastRow">
      <w:tblPr/>
      <w:tcPr>
        <w:shd w:val="clear" w:color="auto" w:fill="FFFFFF" w:themeFill="background1"/>
      </w:tcPr>
    </w:tblStylePr>
    <w:tblStylePr w:type="firstCol">
      <w:tblPr/>
      <w:tcPr>
        <w:shd w:val="clear" w:color="auto" w:fill="FFFFFF" w:themeFill="background1"/>
      </w:tcPr>
    </w:tblStylePr>
    <w:tblStylePr w:type="lastCo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/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0"/>
        <w:szCs w:val="20"/>
      </w:rPr>
      <w:tblPr/>
      <w:tcPr>
        <w:shd w:val="clear" w:color="auto" w:fill="FFFFFF" w:themeFill="background1"/>
      </w:tcPr>
    </w:tblStylePr>
    <w:tblStylePr w:type="lastRow">
      <w:tblPr/>
      <w:tcPr>
        <w:shd w:val="clear" w:color="auto" w:fill="FFFFFF" w:themeFill="background1"/>
      </w:tcPr>
    </w:tblStylePr>
    <w:tblStylePr w:type="firstCol">
      <w:tblPr/>
      <w:tcPr>
        <w:shd w:val="clear" w:color="auto" w:fill="FFFFFF" w:themeFill="background1"/>
      </w:tcPr>
    </w:tblStylePr>
    <w:tblStylePr w:type="lastCo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/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0"/>
        <w:szCs w:val="20"/>
      </w:rPr>
      <w:tblPr/>
      <w:tcPr>
        <w:shd w:val="clear" w:color="auto" w:fill="FFFFFF" w:themeFill="background1"/>
      </w:tcPr>
    </w:tblStylePr>
    <w:tblStylePr w:type="lastRow">
      <w:tblPr/>
      <w:tcPr>
        <w:shd w:val="clear" w:color="auto" w:fill="FFFFFF" w:themeFill="background1"/>
      </w:tcPr>
    </w:tblStylePr>
    <w:tblStylePr w:type="firstCol">
      <w:tblPr/>
      <w:tcPr>
        <w:shd w:val="clear" w:color="auto" w:fill="FFFFFF" w:themeFill="background1"/>
      </w:tcPr>
    </w:tblStylePr>
    <w:tblStylePr w:type="lastCo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/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0"/>
        <w:szCs w:val="20"/>
      </w:rPr>
      <w:tblPr/>
      <w:tcPr>
        <w:shd w:val="clear" w:color="auto" w:fill="FFFFFF" w:themeFill="background1"/>
      </w:tcPr>
    </w:tblStylePr>
    <w:tblStylePr w:type="lastRow">
      <w:tblPr/>
      <w:tcPr>
        <w:shd w:val="clear" w:color="auto" w:fill="FFFFFF" w:themeFill="background1"/>
      </w:tcPr>
    </w:tblStylePr>
    <w:tblStylePr w:type="firstCol">
      <w:tblPr/>
      <w:tcPr>
        <w:shd w:val="clear" w:color="auto" w:fill="FFFFFF" w:themeFill="background1"/>
      </w:tcPr>
    </w:tblStylePr>
    <w:tblStylePr w:type="lastCo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/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0"/>
        <w:szCs w:val="20"/>
      </w:rPr>
      <w:tblPr/>
      <w:tcPr>
        <w:shd w:val="clear" w:color="auto" w:fill="FFFFFF" w:themeFill="background1"/>
      </w:tcPr>
    </w:tblStylePr>
    <w:tblStylePr w:type="lastRow">
      <w:tblPr/>
      <w:tcPr>
        <w:shd w:val="clear" w:color="auto" w:fill="FFFFFF" w:themeFill="background1"/>
      </w:tcPr>
    </w:tblStylePr>
    <w:tblStylePr w:type="firstCol">
      <w:tblPr/>
      <w:tcPr>
        <w:shd w:val="clear" w:color="auto" w:fill="FFFFFF" w:themeFill="background1"/>
      </w:tcPr>
    </w:tblStylePr>
    <w:tblStylePr w:type="lastCo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/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sz w:val="20"/>
        <w:szCs w:val="20"/>
      </w:rPr>
    </w:tblStylePr>
    <w:tblStylePr w:type="lastRow"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sz w:val="20"/>
        <w:szCs w:val="20"/>
      </w:rPr>
    </w:tblStylePr>
    <w:tblStylePr w:type="lastRow"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sz w:val="20"/>
        <w:szCs w:val="20"/>
      </w:rPr>
    </w:tblStylePr>
    <w:tblStylePr w:type="lastRow"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sz w:val="20"/>
        <w:szCs w:val="20"/>
      </w:rPr>
    </w:tblStylePr>
    <w:tblStylePr w:type="lastRow"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sz w:val="20"/>
        <w:szCs w:val="20"/>
      </w:rPr>
    </w:tblStylePr>
    <w:tblStylePr w:type="lastRow"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sz w:val="20"/>
        <w:szCs w:val="20"/>
      </w:rPr>
    </w:tblStylePr>
    <w:tblStylePr w:type="lastRow"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sz w:val="20"/>
        <w:szCs w:val="20"/>
      </w:rPr>
    </w:tblStylePr>
    <w:tblStylePr w:type="lastRow">
      <w:rPr>
        <w:b/>
        <w:bCs/>
        <w:sz w:val="20"/>
        <w:szCs w:val="20"/>
      </w:rPr>
      <w:tblPr/>
      <w:tcPr/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sz w:val="20"/>
        <w:szCs w:val="20"/>
      </w:rPr>
      <w:tblPr/>
      <w:tcPr>
        <w:shd w:val="clear" w:color="auto" w:fill="000000" w:themeFill="text1"/>
      </w:tcPr>
    </w:tblStylePr>
    <w:tblStylePr w:type="lastRow">
      <w:tblPr/>
      <w:tcPr>
        <w:shd w:val="clear" w:color="auto" w:fill="000000" w:themeFill="text1" w:themeFillShade="7F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sz w:val="20"/>
        <w:szCs w:val="20"/>
      </w:rPr>
      <w:tblPr/>
      <w:tcPr>
        <w:shd w:val="clear" w:color="auto" w:fill="000000" w:themeFill="text1"/>
      </w:tcPr>
    </w:tblStylePr>
    <w:tblStylePr w:type="lastRow">
      <w:tblPr/>
      <w:tcPr>
        <w:shd w:val="clear" w:color="auto" w:fill="243F61" w:themeFill="accent1" w:themeFillShade="7F"/>
      </w:tcPr>
    </w:tblStylePr>
    <w:tblStylePr w:type="firstCol">
      <w:tblPr/>
      <w:tcPr>
        <w:shd w:val="clear" w:color="auto" w:fill="366091" w:themeFill="accent1" w:themeFillShade="BF"/>
      </w:tcPr>
    </w:tblStylePr>
    <w:tblStylePr w:type="lastCol"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366091" w:themeFill="accent1" w:themeFillShade="BF"/>
      </w:tcPr>
    </w:tblStylePr>
    <w:tblStylePr w:type="band1Horz">
      <w:tblPr/>
      <w:tcPr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sz w:val="20"/>
        <w:szCs w:val="20"/>
      </w:rPr>
      <w:tblPr/>
      <w:tcPr>
        <w:shd w:val="clear" w:color="auto" w:fill="000000" w:themeFill="text1"/>
      </w:tcPr>
    </w:tblStylePr>
    <w:tblStylePr w:type="lastRow">
      <w:tblPr/>
      <w:tcPr>
        <w:shd w:val="clear" w:color="auto" w:fill="622423" w:themeFill="accent2" w:themeFillShade="7F"/>
      </w:tcPr>
    </w:tblStylePr>
    <w:tblStylePr w:type="firstCol">
      <w:tblPr/>
      <w:tcPr>
        <w:shd w:val="clear" w:color="auto" w:fill="943734" w:themeFill="accent2" w:themeFillShade="BF"/>
      </w:tcPr>
    </w:tblStylePr>
    <w:tblStylePr w:type="lastCol"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943734" w:themeFill="accent2" w:themeFillShade="BF"/>
      </w:tcPr>
    </w:tblStylePr>
    <w:tblStylePr w:type="band1Horz">
      <w:tblPr/>
      <w:tcPr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sz w:val="20"/>
        <w:szCs w:val="20"/>
      </w:rPr>
      <w:tblPr/>
      <w:tcPr>
        <w:shd w:val="clear" w:color="auto" w:fill="000000" w:themeFill="text1"/>
      </w:tcPr>
    </w:tblStylePr>
    <w:tblStylePr w:type="lastRow">
      <w:tblPr/>
      <w:tcPr>
        <w:shd w:val="clear" w:color="auto" w:fill="4E6127" w:themeFill="accent3" w:themeFillShade="7F"/>
      </w:tcPr>
    </w:tblStylePr>
    <w:tblStylePr w:type="firstCol">
      <w:tblPr/>
      <w:tcPr>
        <w:shd w:val="clear" w:color="auto" w:fill="76923C" w:themeFill="accent3" w:themeFillShade="BF"/>
      </w:tcPr>
    </w:tblStylePr>
    <w:tblStylePr w:type="lastCol"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sz w:val="20"/>
        <w:szCs w:val="20"/>
      </w:rPr>
      <w:tblPr/>
      <w:tcPr>
        <w:shd w:val="clear" w:color="auto" w:fill="000000" w:themeFill="text1"/>
      </w:tcPr>
    </w:tblStylePr>
    <w:tblStylePr w:type="lastRow">
      <w:tblPr/>
      <w:tcPr>
        <w:shd w:val="clear" w:color="auto" w:fill="3F3051" w:themeFill="accent4" w:themeFillShade="7F"/>
      </w:tcPr>
    </w:tblStylePr>
    <w:tblStylePr w:type="firstCol">
      <w:tblPr/>
      <w:tcPr>
        <w:shd w:val="clear" w:color="auto" w:fill="5F497A" w:themeFill="accent4" w:themeFillShade="BF"/>
      </w:tcPr>
    </w:tblStylePr>
    <w:tblStylePr w:type="lastCol"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sz w:val="20"/>
        <w:szCs w:val="20"/>
      </w:rPr>
      <w:tblPr/>
      <w:tcPr>
        <w:shd w:val="clear" w:color="auto" w:fill="000000" w:themeFill="text1"/>
      </w:tcPr>
    </w:tblStylePr>
    <w:tblStylePr w:type="lastRow">
      <w:tblPr/>
      <w:tcPr>
        <w:shd w:val="clear" w:color="auto" w:fill="205867" w:themeFill="accent5" w:themeFillShade="7F"/>
      </w:tcPr>
    </w:tblStylePr>
    <w:tblStylePr w:type="firstCol">
      <w:tblPr/>
      <w:tcPr>
        <w:shd w:val="clear" w:color="auto" w:fill="31849B" w:themeFill="accent5" w:themeFillShade="BF"/>
      </w:tcPr>
    </w:tblStylePr>
    <w:tblStylePr w:type="lastCol"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ns2:textFill>
        <ns2:solidFill>
          <ns2:schemeClr ns2:val="bg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sz w:val="20"/>
        <w:szCs w:val="20"/>
      </w:rPr>
      <w:tblPr/>
      <w:tcPr>
        <w:shd w:val="clear" w:color="auto" w:fill="000000" w:themeFill="text1"/>
      </w:tcPr>
    </w:tblStylePr>
    <w:tblStylePr w:type="lastRow">
      <w:tblPr/>
      <w:tcPr>
        <w:shd w:val="clear" w:color="auto" w:fill="974706" w:themeFill="accent6" w:themeFillShade="7F"/>
      </w:tcPr>
    </w:tblStylePr>
    <w:tblStylePr w:type="firstCol">
      <w:tblPr/>
      <w:tcPr>
        <w:shd w:val="clear" w:color="auto" w:fill="E36C09" w:themeFill="accent6" w:themeFillShade="BF"/>
      </w:tcPr>
    </w:tblStylePr>
    <w:tblStylePr w:type="lastCol"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E36C09" w:themeFill="accent6" w:themeFillShade="BF"/>
      </w:tcPr>
    </w:tblStylePr>
    <w:tblStylePr w:type="band1Horz">
      <w:tblPr/>
      <w:tcPr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sz w:val="20"/>
        <w:szCs w:val="20"/>
      </w:rPr>
      <w:tblPr/>
      <w:tcPr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000000" w:themeFill="text1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000000" w:themeFill="text1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ns2:textFill>
          <ns2:solidFill>
            <ns2:schemeClr ns2:val="tx1"/>
          </ns2:solidFill>
        </ns2:textFill>
        <w:sz w:val="20"/>
        <w:szCs w:val="20"/>
      </w:rPr>
    </w:tblStylePr>
    <w:tblStylePr w:type="nwCell">
      <w:rPr>
        <w:color w:val="000000" w:themeColor="text1"/>
        <ns2:textFill>
          <ns2:solidFill>
            <ns2:schemeClr ns2:val="tx1"/>
          </ns2:solidFill>
        </ns2:textFill>
        <w:sz w:val="20"/>
        <w:szCs w:val="20"/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sz w:val="20"/>
        <w:szCs w:val="20"/>
      </w:rPr>
      <w:tblPr/>
      <w:tcPr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2B4D74" w:themeFill="accent1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2B4D74" w:themeFill="accent1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ns2:textFill>
          <ns2:solidFill>
            <ns2:schemeClr ns2:val="tx1"/>
          </ns2:solidFill>
        </ns2:textFill>
        <w:sz w:val="20"/>
        <w:szCs w:val="20"/>
      </w:rPr>
    </w:tblStylePr>
    <w:tblStylePr w:type="nwCell">
      <w:rPr>
        <w:color w:val="000000" w:themeColor="text1"/>
        <ns2:textFill>
          <ns2:solidFill>
            <ns2:schemeClr ns2:val="tx1"/>
          </ns2:solidFill>
        </ns2:textFill>
        <w:sz w:val="20"/>
        <w:szCs w:val="20"/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sz w:val="20"/>
        <w:szCs w:val="20"/>
      </w:rPr>
      <w:tblPr/>
      <w:tcPr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772C2A" w:themeFill="accent2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772C2A" w:themeFill="accent2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ns2:textFill>
          <ns2:solidFill>
            <ns2:schemeClr ns2:val="tx1"/>
          </ns2:solidFill>
        </ns2:textFill>
        <w:sz w:val="20"/>
        <w:szCs w:val="20"/>
      </w:rPr>
    </w:tblStylePr>
    <w:tblStylePr w:type="nwCell">
      <w:rPr>
        <w:color w:val="000000" w:themeColor="text1"/>
        <ns2:textFill>
          <ns2:solidFill>
            <ns2:schemeClr ns2:val="tx1"/>
          </ns2:solidFill>
        </ns2:textFill>
        <w:sz w:val="20"/>
        <w:szCs w:val="20"/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sz w:val="20"/>
        <w:szCs w:val="20"/>
      </w:rPr>
      <w:tblPr/>
      <w:tcPr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5E7530" w:themeFill="accent3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5E7530" w:themeFill="accent3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sz w:val="20"/>
        <w:szCs w:val="20"/>
      </w:rPr>
      <w:tblPr/>
      <w:tcPr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4C3A62" w:themeFill="accent4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4C3A62" w:themeFill="accent4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ns2:textFill>
          <ns2:solidFill>
            <ns2:schemeClr ns2:val="tx1"/>
          </ns2:solidFill>
        </ns2:textFill>
        <w:sz w:val="20"/>
        <w:szCs w:val="20"/>
      </w:rPr>
    </w:tblStylePr>
    <w:tblStylePr w:type="nwCell">
      <w:rPr>
        <w:color w:val="000000" w:themeColor="text1"/>
        <ns2:textFill>
          <ns2:solidFill>
            <ns2:schemeClr ns2:val="tx1"/>
          </ns2:solidFill>
        </ns2:textFill>
        <w:sz w:val="20"/>
        <w:szCs w:val="20"/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sz w:val="20"/>
        <w:szCs w:val="20"/>
      </w:rPr>
      <w:tblPr/>
      <w:tcPr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276A7C" w:themeFill="accent5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276A7C" w:themeFill="accent5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ns2:textFill>
          <ns2:solidFill>
            <ns2:schemeClr ns2:val="tx1"/>
          </ns2:solidFill>
        </ns2:textFill>
        <w:sz w:val="20"/>
        <w:szCs w:val="20"/>
      </w:rPr>
    </w:tblStylePr>
    <w:tblStylePr w:type="nwCell">
      <w:rPr>
        <w:color w:val="000000" w:themeColor="text1"/>
        <ns2:textFill>
          <ns2:solidFill>
            <ns2:schemeClr ns2:val="tx1"/>
          </ns2:solidFill>
        </ns2:textFill>
        <w:sz w:val="20"/>
        <w:szCs w:val="20"/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sz w:val="20"/>
        <w:szCs w:val="20"/>
      </w:rPr>
      <w:tblPr/>
      <w:tcPr>
        <w:shd w:val="clear" w:color="auto" w:fill="FFFFFF" w:themeFill="background1"/>
      </w:tcPr>
    </w:tblStylePr>
    <w:tblStylePr w:type="la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B65607" w:themeFill="accent6" w:themeFillShade="99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B65607" w:themeFill="accent6" w:themeFillShade="99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ns2:textFill>
          <ns2:solidFill>
            <ns2:schemeClr ns2:val="tx1"/>
          </ns2:solidFill>
        </ns2:textFill>
        <w:sz w:val="20"/>
        <w:szCs w:val="20"/>
      </w:rPr>
    </w:tblStylePr>
    <w:tblStylePr w:type="nwCell">
      <w:rPr>
        <w:color w:val="000000" w:themeColor="text1"/>
        <ns2:textFill>
          <ns2:solidFill>
            <ns2:schemeClr ns2:val="tx1"/>
          </ns2:solidFill>
        </ns2:textFill>
        <w:sz w:val="20"/>
        <w:szCs w:val="20"/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  <w:sz w:val="20"/>
        <w:szCs w:val="20"/>
      </w:rPr>
      <w:tblPr/>
      <w:tcPr>
        <w:shd w:val="clear" w:color="auto" w:fill="FFFFFF" w:themeFill="background1"/>
      </w:tcPr>
    </w:tblStylePr>
    <w:tblStylePr w:type="firstCol">
      <w:rPr>
        <w:b/>
        <w:bCs/>
        <w:sz w:val="20"/>
        <w:szCs w:val="20"/>
      </w:rPr>
    </w:tblStylePr>
    <w:tblStylePr w:type="lastCol">
      <w:rPr>
        <w:b/>
        <w:bCs/>
        <w:sz w:val="20"/>
        <w:szCs w:val="20"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sz w:val="20"/>
        <w:szCs w:val="2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sz w:val="20"/>
        <w:szCs w:val="2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sz w:val="20"/>
        <w:szCs w:val="2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sz w:val="20"/>
        <w:szCs w:val="2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sz w:val="20"/>
        <w:szCs w:val="2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sz w:val="20"/>
        <w:szCs w:val="2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ns2:textFill>
        <ns2:solidFill>
          <ns2:schemeClr ns2:val="tx1"/>
        </ns2:solidFill>
      </ns2:textFill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sz w:val="20"/>
        <w:szCs w:val="2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ns2:textFill>
          <ns2:solidFill>
            <ns2:schemeClr ns2:val="tx1"/>
          </ns2:solidFill>
        </ns2:textFill>
        <w:sz w:val="20"/>
        <w:szCs w:val="20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ns2:textFill>
          <ns2:solidFill>
            <ns2:schemeClr ns2:val="bg1"/>
          </ns2:solidFill>
        </ns2:textFill>
        <w:sz w:val="20"/>
        <w:szCs w:val="20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  <w:sz w:val="20"/>
      <w:szCs w:val="20"/>
    </w:rPr>
  </w:style>
  <w:style w:type="character" w:styleId="135">
    <w:name w:val="Emphasis"/>
    <w:basedOn w:val="133"/>
    <w:qFormat/>
    <w:uiPriority w:val="20"/>
    <w:rPr>
      <w:i/>
      <w:iCs/>
      <w:sz w:val="20"/>
      <w:szCs w:val="20"/>
    </w:rPr>
  </w:style>
  <w:style w:type="character" w:styleId="136">
    <w:name w:val="Hyperlink"/>
    <w:basedOn w:val="133"/>
    <w:semiHidden/>
    <w:unhideWhenUsed/>
    <w:uiPriority w:val="99"/>
    <w:rPr>
      <w:color w:val="0000FF"/>
      <w:u w:val="single"/>
      <w:sz w:val="20"/>
      <w:szCs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lang w:val="en-US" w:eastAsia="en-US" w:bidi="ar-SA"/>
      <w:sz w:val="20"/>
      <w:szCs w:val="20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0"/>
      <w:szCs w:val="20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ns2:textFill>
        <ns2:solidFill>
          <ns2:schemeClr ns2:val="accent1"/>
        </ns2:solidFill>
      </ns2:textFill>
      <w:sz w:val="20"/>
      <w:szCs w:val="20"/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ns2:textFill>
        <ns2:solidFill>
          <ns2:schemeClr ns2:val="accent1"/>
        </ns2:solidFill>
      </ns2:textFill>
      <w:sz w:val="20"/>
      <w:szCs w:val="20"/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20"/>
      <w:szCs w:val="20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ns2:textFill>
        <ns2:solidFill>
          <ns2:schemeClr ns2:val="accent1"/>
        </ns2:solidFill>
      </ns2:textFill>
      <w:sz w:val="20"/>
      <w:szCs w:val="20"/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20"/>
      <w:szCs w:val="20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ns2:textFill>
        <ns2:solidFill>
          <ns2:schemeClr ns2:val="tx1"/>
        </ns2:solidFill>
      </ns2:textFill>
      <w:sz w:val="20"/>
      <w:szCs w:val="20"/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ns2:textFill>
        <ns2:solidFill>
          <ns2:schemeClr ns2:val="tx1"/>
        </ns2:solidFill>
      </ns2:textFill>
      <w:sz w:val="20"/>
      <w:szCs w:val="20"/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ns2:textFill>
        <ns2:solidFill>
          <ns2:schemeClr ns2:val="accent1"/>
        </ns2:solidFill>
      </ns2:textFill>
      <w:sz w:val="20"/>
      <w:szCs w:val="20"/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  <w:sz w:val="20"/>
      <w:szCs w:val="2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ns2:textFill>
        <ns2:solidFill>
          <ns2:schemeClr ns2:val="tx1">
            <ns2:lumMod ns2:val="75000"/>
            <ns2:lumOff ns2:val="25000"/>
          </ns2:schemeClr>
        </ns2:solidFill>
      </ns2:textFill>
      <w:sz w:val="20"/>
      <w:szCs w:val="20"/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ns2:textFill>
        <ns2:solidFill>
          <ns2:schemeClr ns2:val="accent1"/>
        </ns2:solidFill>
      </ns2:textFill>
      <w:sz w:val="20"/>
      <w:szCs w:val="20"/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ns2:textFill>
        <ns2:solidFill>
          <ns2:schemeClr ns2:val="tx1">
            <ns2:lumMod ns2:val="75000"/>
            <ns2:lumOff ns2:val="25000"/>
          </ns2:schemeClr>
        </ns2:solidFill>
      </ns2:textFill>
      <w:sz w:val="20"/>
      <w:szCs w:val="20"/>
    </w:rPr>
  </w:style>
  <w:style w:type="paragraph" w:styleId="158">
    <w:name w:val="Intense Quote"/>
    <w:basedOn w:val="1"/>
    <w:next w:val="1"/>
    <w:link w:val="159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ns2:textFill>
        <ns2:solidFill>
          <ns2:schemeClr ns2:val="accent1"/>
        </ns2:solidFill>
      </ns2:textFill>
      <w:sz w:val="20"/>
      <w:szCs w:val="20"/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ns2:textFill>
        <ns2:solidFill>
          <ns2:schemeClr ns2:val="accent1"/>
        </ns2:solidFill>
      </ns2:textFill>
      <w:sz w:val="20"/>
      <w:szCs w:val="20"/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ns2:textFill>
        <ns2:solidFill>
          <ns2:schemeClr ns2:val="tx1">
            <ns2:lumMod ns2:val="50000"/>
            <ns2:lumOff ns2:val="50000"/>
          </ns2:schemeClr>
        </ns2:solidFill>
      </ns2:textFill>
      <w:sz w:val="20"/>
      <w:szCs w:val="20"/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ns2:textFill>
        <ns2:solidFill>
          <ns2:schemeClr ns2:val="accent1"/>
        </ns2:solidFill>
      </ns2:textFill>
      <w:sz w:val="20"/>
      <w:szCs w:val="20"/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ns2:textFill>
        <ns2:solidFill>
          <ns2:schemeClr ns2:val="accent2"/>
        </ns2:solidFill>
      </ns2:textFill>
      <w:sz w:val="20"/>
      <w:szCs w:val="20"/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ns2:textFill>
        <ns2:solidFill>
          <ns2:schemeClr ns2:val="accent2"/>
        </ns2:solidFill>
      </ns2:textFill>
      <w:sz w:val="20"/>
      <w:szCs w:val="20"/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  <w:sz w:val="20"/>
      <w:szCs w:val="20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邹军</cp:lastModifiedBy>
  <dcterms:modified xsi:type="dcterms:W3CDTF">2026-06-26T15:32:29Z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B28D984B324F018632EF3D6A9BB7880C_42</vt:lpwstr>
  </property>
</Properties>
</file>