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1343-209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洞内排水沟检验批(DK259+915.00～DK260+982.96）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