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/>
      </w:pPr>
      <w:r>
        <w:rPr>
          <w:rFonts w:eastAsia="Arial Unicode MS"/>
          <w:b/>
          <w:color w:val="4A148C"/>
          <w:sz w:val="34"/>
        </w:rPr>
        <w:t>论文精读记录模板 / Paper Note Template</w:t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 xml:space="preserve">复制这一整块，每篇一份。文件名/note-id 用 </w:t>
      </w:r>
      <w:r>
        <w:rPr>
          <w:rFonts w:ascii="Consolas" w:hAnsi="Consolas" w:eastAsia="Arial Unicode MS"/>
          <w:b/>
          <w:color w:val="333333"/>
          <w:sz w:val="22"/>
        </w:rPr>
        <w:t>W&lt;周&gt;-&lt;PMID&gt;</w:t>
      </w:r>
      <w:r>
        <w:rPr>
          <w:rFonts w:eastAsia="Arial Unicode MS"/>
          <w:b/>
          <w:color w:val="333333"/>
          <w:sz w:val="24"/>
        </w:rPr>
        <w:t xml:space="preserve">，例如 </w:t>
      </w:r>
      <w:r>
        <w:rPr>
          <w:rFonts w:ascii="Consolas" w:hAnsi="Consolas" w:eastAsia="Arial Unicode MS"/>
          <w:b/>
          <w:color w:val="333333"/>
          <w:sz w:val="22"/>
        </w:rPr>
        <w:t>W7-21784902</w:t>
      </w:r>
      <w:r>
        <w:rPr>
          <w:rFonts w:eastAsia="Arial Unicode MS"/>
          <w:b/>
          <w:color w:val="333333"/>
          <w:sz w:val="24"/>
        </w:rPr>
        <w:t>。</w:t>
      </w:r>
    </w:p>
    <w:p>
      <w:pPr>
        <w:ind w:left="340"/>
      </w:pPr>
      <w:r>
        <w:rPr>
          <w:rFonts w:eastAsia="Arial Unicode MS"/>
          <w:b/>
          <w:i/>
          <w:color w:val="4A3A5C"/>
          <w:sz w:val="21"/>
        </w:rPr>
        <w:t>三条硬规则</w:t>
      </w:r>
      <w:r>
        <w:rPr>
          <w:rFonts w:eastAsia="Arial Unicode MS"/>
          <w:i/>
          <w:color w:val="4A3A5C"/>
          <w:sz w:val="21"/>
        </w:rPr>
        <w:t xml:space="preserve"> 1. </w:t>
      </w:r>
      <w:r>
        <w:rPr>
          <w:rFonts w:eastAsia="Arial Unicode MS"/>
          <w:b/>
          <w:i/>
          <w:color w:val="4A3A5C"/>
          <w:sz w:val="21"/>
        </w:rPr>
        <w:t>没有数字的笔记不算笔记</w:t>
      </w:r>
      <w:r>
        <w:rPr>
          <w:rFonts w:eastAsia="Arial Unicode MS"/>
          <w:i/>
          <w:color w:val="4A3A5C"/>
          <w:sz w:val="21"/>
        </w:rPr>
        <w:t xml:space="preserve"> —— 第 7 栏必须有效应量。 2. </w:t>
      </w:r>
      <w:r>
        <w:rPr>
          <w:rFonts w:eastAsia="Arial Unicode MS"/>
          <w:b/>
          <w:i/>
          <w:color w:val="4A3A5C"/>
          <w:sz w:val="21"/>
        </w:rPr>
        <w:t>每篇必须产出一个可执行动作</w:t>
      </w:r>
      <w:r>
        <w:rPr>
          <w:rFonts w:eastAsia="Arial Unicode MS"/>
          <w:i/>
          <w:color w:val="4A3A5C"/>
          <w:sz w:val="21"/>
        </w:rPr>
        <w:t xml:space="preserve"> —— 第 12 栏，写进台账 A。 3. </w:t>
      </w:r>
      <w:r>
        <w:rPr>
          <w:rFonts w:eastAsia="Arial Unicode MS"/>
          <w:b/>
          <w:i/>
          <w:color w:val="4A3A5C"/>
          <w:sz w:val="21"/>
        </w:rPr>
        <w:t>第 6、7、8 栏是「读者」与「审稿人」的分界线</w:t>
      </w:r>
      <w:r>
        <w:rPr>
          <w:rFonts w:eastAsia="Arial Unicode MS"/>
          <w:i/>
          <w:color w:val="4A3A5C"/>
          <w:sz w:val="21"/>
        </w:rPr>
        <w:t xml:space="preserve"> —— 三栏都空就是没读。</w:t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〔note-id〕W__-________  ·  读于 20__-__-__  ·  层级 T__（T0 精读/T1 速读/T2 略读）</w:t>
      </w:r>
    </w:p>
    <w:p>
      <w:r>
        <w:rPr>
          <w:rFonts w:eastAsia="Arial Unicode MS"/>
          <w:b/>
          <w:sz w:val="21"/>
        </w:rPr>
        <w:t>PMID</w:t>
      </w:r>
      <w:r>
        <w:rPr>
          <w:rFonts w:eastAsia="Arial Unicode MS"/>
          <w:sz w:val="21"/>
        </w:rPr>
        <w:t xml:space="preserve"> ________　</w:t>
      </w:r>
      <w:r>
        <w:rPr>
          <w:rFonts w:eastAsia="Arial Unicode MS"/>
          <w:b/>
          <w:sz w:val="21"/>
        </w:rPr>
        <w:t>链接</w:t>
      </w:r>
      <w:r>
        <w:rPr>
          <w:rFonts w:eastAsia="Arial Unicode MS"/>
          <w:sz w:val="21"/>
        </w:rPr>
        <w:t xml:space="preserve"> https://pubmed.ncbi.nlm.nih.gov/________/ </w:t>
      </w:r>
      <w:r>
        <w:rPr>
          <w:rFonts w:eastAsia="Arial Unicode MS"/>
          <w:b/>
          <w:sz w:val="21"/>
        </w:rPr>
        <w:t>标题</w:t>
      </w:r>
      <w:r>
        <w:rPr>
          <w:rFonts w:eastAsia="Arial Unicode MS"/>
          <w:sz w:val="21"/>
        </w:rPr>
        <w:t xml:space="preserve"> </w:t>
      </w:r>
      <w:r>
        <w:rPr>
          <w:rFonts w:eastAsia="Arial Unicode MS"/>
          <w:b/>
          <w:sz w:val="21"/>
        </w:rPr>
        <w:t>期刊 / 年 / 引用数</w:t>
      </w:r>
      <w:r>
        <w:rPr>
          <w:rFonts w:eastAsia="Arial Unicode MS"/>
          <w:sz w:val="21"/>
        </w:rPr>
        <w:t xml:space="preserve"> ______ / ____ / ____ </w:t>
      </w:r>
      <w:r>
        <w:rPr>
          <w:rFonts w:eastAsia="Arial Unicode MS"/>
          <w:b/>
          <w:sz w:val="21"/>
        </w:rPr>
        <w:t>类型</w:t>
      </w:r>
      <w:r>
        <w:rPr>
          <w:rFonts w:eastAsia="Arial Unicode MS"/>
          <w:sz w:val="21"/>
        </w:rPr>
        <w:t xml:space="preserve"> ☐ 原创研究　☐ 综述　☐ 预印本　☐ 方法学 </w:t>
      </w:r>
      <w:r>
        <w:rPr>
          <w:rFonts w:eastAsia="Arial Unicode MS"/>
          <w:b/>
          <w:sz w:val="21"/>
        </w:rPr>
        <w:t>归属方向</w:t>
      </w:r>
      <w:r>
        <w:rPr>
          <w:rFonts w:eastAsia="Arial Unicode MS"/>
          <w:sz w:val="21"/>
        </w:rPr>
        <w:t xml:space="preserve"> ☐ 方向1 AMPK-ZSWIM8　☐ 方向2 TUT4/7-miR-29　☐ 方向3 乳酰化　☐ 方向4 类器官平台　☐ 方向5 编辑解剖　☐ 仅背景</w:t>
      </w:r>
    </w:p>
    <w:p>
      <w:r>
        <w:rPr>
          <w:sz w:val="8"/>
        </w:rPr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一 · 内容（读懂它）</w:t>
      </w:r>
    </w:p>
    <w:p>
      <w:r>
        <w:rPr>
          <w:rFonts w:eastAsia="Arial Unicode MS"/>
          <w:b/>
          <w:sz w:val="21"/>
        </w:rPr>
        <w:t>1. 一句话结论（用我自己的话，不许抄摘要）</w:t>
      </w:r>
    </w:p>
    <w:p>
      <w:pPr>
        <w:ind w:left="340"/>
      </w:pPr>
    </w:p>
    <w:p>
      <w:r>
        <w:rPr>
          <w:rFonts w:eastAsia="Arial Unicode MS"/>
          <w:b/>
          <w:sz w:val="21"/>
        </w:rPr>
        <w:t>2. 它回答了哪个问题？</w:t>
      </w:r>
    </w:p>
    <w:p>
      <w:pPr>
        <w:ind w:left="340"/>
      </w:pPr>
    </w:p>
    <w:p>
      <w:r>
        <w:rPr>
          <w:rFonts w:eastAsia="Arial Unicode MS"/>
          <w:sz w:val="21"/>
        </w:rPr>
        <w:t>☐ 这个问题此前是开放的　☐ 这是对已知结论的补强　☐ 这是背景性综述</w:t>
      </w:r>
    </w:p>
    <w:p>
      <w:r>
        <w:rPr>
          <w:rFonts w:eastAsia="Arial Unicode MS"/>
          <w:b/>
          <w:sz w:val="21"/>
        </w:rPr>
        <w:t>3. 关键图是哪张，为什么可信？</w:t>
      </w:r>
      <w:r>
        <w:rPr>
          <w:rFonts w:eastAsia="Arial Unicode MS"/>
          <w:sz w:val="21"/>
        </w:rPr>
        <w:t>（写图号 + 样本量 + 定量方式）</w:t>
      </w:r>
    </w:p>
    <w:p>
      <w:pPr>
        <w:ind w:left="340"/>
      </w:pPr>
    </w:p>
    <w:p>
      <w:r>
        <w:rPr>
          <w:rFonts w:eastAsia="Arial Unicode MS"/>
          <w:b/>
          <w:sz w:val="21"/>
        </w:rPr>
        <w:t>4. 方法要点</w:t>
      </w:r>
      <w:r>
        <w:rPr>
          <w:rFonts w:eastAsia="Arial Unicode MS"/>
          <w:sz w:val="21"/>
        </w:rPr>
        <w:t xml:space="preserve">（浓度／时长／细胞系／测序深度／重复数 —— </w:t>
      </w:r>
      <w:r>
        <w:rPr>
          <w:rFonts w:eastAsia="Arial Unicode MS"/>
          <w:b/>
          <w:sz w:val="21"/>
        </w:rPr>
        <w:t>同步抄进台账 C 方法参数</w:t>
      </w:r>
      <w:r>
        <w:rPr>
          <w:rFonts w:eastAsia="Arial Unicode MS"/>
          <w:sz w:val="21"/>
        </w:rPr>
        <w:t>）</w:t>
      </w:r>
    </w:p>
    <w:p>
      <w:pPr>
        <w:ind w:left="340"/>
      </w:pPr>
    </w:p>
    <w:p>
      <w:r>
        <w:rPr>
          <w:rFonts w:eastAsia="Arial Unicode MS"/>
          <w:b/>
          <w:sz w:val="21"/>
        </w:rPr>
        <w:t>5. 体系与适用边界</w:t>
      </w:r>
      <w:r>
        <w:rPr>
          <w:rFonts w:eastAsia="Arial Unicode MS"/>
          <w:sz w:val="21"/>
        </w:rPr>
        <w:t>（细胞系？小鼠？人？体外重构？结论能外推到哪一步为止）</w:t>
      </w:r>
    </w:p>
    <w:p>
      <w:pPr>
        <w:ind w:left="340"/>
      </w:pPr>
    </w:p>
    <w:p>
      <w:r>
        <w:rPr>
          <w:sz w:val="8"/>
        </w:rPr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二 · 批判（读成审稿人）</w:t>
      </w:r>
    </w:p>
    <w:p>
      <w:r>
        <w:rPr>
          <w:rFonts w:eastAsia="Arial Unicode MS"/>
          <w:b/>
          <w:sz w:val="21"/>
        </w:rPr>
        <w:t>6. 它做了哪些对照、⚠️ 漏了哪些对照？</w:t>
      </w:r>
      <w:r>
        <w:rPr>
          <w:rFonts w:eastAsia="Arial Unicode MS"/>
          <w:sz w:val="21"/>
        </w:rPr>
        <w:t>（漏掉的对照往往就是我的切入点）</w:t>
      </w:r>
    </w:p>
    <w:p>
      <w:pPr>
        <w:pStyle w:val="ListBullet"/>
      </w:pPr>
      <w:r>
        <w:rPr>
          <w:rFonts w:eastAsia="Arial Unicode MS"/>
          <w:sz w:val="21"/>
        </w:rPr>
        <w:t>做了：</w:t>
      </w:r>
    </w:p>
    <w:p>
      <w:pPr>
        <w:pStyle w:val="ListBullet"/>
      </w:pPr>
      <w:r>
        <w:rPr>
          <w:rFonts w:eastAsia="Arial Unicode MS"/>
          <w:b/>
          <w:sz w:val="21"/>
        </w:rPr>
        <w:t>漏了：</w:t>
      </w:r>
    </w:p>
    <w:p>
      <w:r>
        <w:rPr>
          <w:rFonts w:eastAsia="Arial Unicode MS"/>
          <w:b/>
          <w:sz w:val="21"/>
        </w:rPr>
        <w:t>7. ⚠️ 效应量（必须带数字）</w:t>
      </w:r>
      <w:r>
        <w:rPr>
          <w:rFonts w:eastAsia="Arial Unicode MS"/>
          <w:sz w:val="21"/>
        </w:rPr>
        <w:t>（倍数／百分比／n／p 值，至少一个）</w:t>
      </w:r>
    </w:p>
    <w:p>
      <w:pPr>
        <w:ind w:left="340"/>
      </w:pPr>
    </w:p>
    <w:p>
      <w:r>
        <w:rPr>
          <w:rFonts w:eastAsia="Arial Unicode MS"/>
          <w:b/>
          <w:sz w:val="21"/>
        </w:rPr>
        <w:t>8. ⚠️ 有一件事我不相信</w:t>
      </w:r>
      <w:r>
        <w:rPr>
          <w:rFonts w:eastAsia="Arial Unicode MS"/>
          <w:sz w:val="21"/>
        </w:rPr>
        <w:t>（找不出来说明读得太浅，回去重读）</w:t>
      </w:r>
    </w:p>
    <w:p>
      <w:pPr>
        <w:ind w:left="340"/>
      </w:pPr>
    </w:p>
    <w:p>
      <w:r>
        <w:rPr>
          <w:sz w:val="8"/>
        </w:rPr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三 · 领域定位（这一节是写申请书时直接要用的）</w:t>
      </w:r>
    </w:p>
    <w:p>
      <w:r>
        <w:rPr>
          <w:rFonts w:eastAsia="Arial Unicode MS"/>
          <w:b/>
          <w:sz w:val="21"/>
        </w:rPr>
        <w:t>9. 🔥 热点定位</w:t>
      </w:r>
      <w:r>
        <w:rPr>
          <w:rFonts w:eastAsia="Arial Unicode MS"/>
          <w:sz w:val="21"/>
        </w:rPr>
        <w:t xml:space="preserve"> —— 这篇处在领域的哪个位置？ ☐ 奠基（人人必引）　☐ 当前主线　☐ 上升中的子方向　☐ 已趋饱和　☐ 边缘/小众 一句话说明谁在做、为什么现在热：</w:t>
      </w:r>
    </w:p>
    <w:p>
      <w:pPr>
        <w:ind w:left="340"/>
      </w:pPr>
    </w:p>
    <w:p>
      <w:r>
        <w:rPr>
          <w:rFonts w:eastAsia="Arial Unicode MS"/>
          <w:b/>
          <w:sz w:val="21"/>
        </w:rPr>
        <w:t>10. 🕳 它暴露/承认了哪些空白？</w:t>
      </w:r>
      <w:r>
        <w:rPr>
          <w:rFonts w:eastAsia="Arial Unicode MS"/>
          <w:sz w:val="21"/>
        </w:rPr>
        <w:t>（作者自己在 Discussion 里说「尚不清楚」的，逐条抄下来 —— 这是最省力的选题来源）</w:t>
      </w:r>
    </w:p>
    <w:p>
      <w:pPr>
        <w:pStyle w:val="ListBullet"/>
      </w:pPr>
      <w:r>
        <w:rPr>
          <w:rFonts w:eastAsia="Arial Unicode MS"/>
          <w:sz w:val="21"/>
        </w:rPr>
        <w:t>空白 1：</w:t>
      </w:r>
    </w:p>
    <w:p>
      <w:pPr>
        <w:pStyle w:val="ListBullet"/>
      </w:pPr>
      <w:r>
        <w:rPr>
          <w:rFonts w:eastAsia="Arial Unicode MS"/>
          <w:sz w:val="21"/>
        </w:rPr>
        <w:t>空白 2：</w:t>
      </w:r>
    </w:p>
    <w:p>
      <w:pPr>
        <w:pStyle w:val="ListBullet"/>
      </w:pPr>
      <w:r>
        <w:rPr>
          <w:rFonts w:eastAsia="Arial Unicode MS"/>
          <w:b/>
          <w:sz w:val="21"/>
        </w:rPr>
        <w:t>其中哪一条我能做？为什么是我？</w:t>
      </w:r>
    </w:p>
    <w:p>
      <w:r>
        <w:rPr>
          <w:rFonts w:eastAsia="Arial Unicode MS"/>
          <w:b/>
          <w:sz w:val="21"/>
        </w:rPr>
        <w:t>11. 🔭 它指向的未来方向</w:t>
      </w:r>
      <w:r>
        <w:rPr>
          <w:rFonts w:eastAsia="Arial Unicode MS"/>
          <w:sz w:val="21"/>
        </w:rPr>
        <w:t xml:space="preserve"> —— 如果这条线再往下走三年，最可能出什么？</w:t>
      </w:r>
    </w:p>
    <w:p>
      <w:pPr>
        <w:ind w:left="340"/>
      </w:pPr>
    </w:p>
    <w:p>
      <w:r>
        <w:rPr>
          <w:rFonts w:eastAsia="Arial Unicode MS"/>
          <w:sz w:val="21"/>
        </w:rPr>
        <w:t>☐ 我应该跟进　☐ 我应该绕开（太拥挤）　☐ 我应该抢在前面</w:t>
      </w:r>
    </w:p>
    <w:p>
      <w:r>
        <w:rPr>
          <w:sz w:val="8"/>
        </w:rPr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四 · 接口与行动（读完必须落地）</w:t>
      </w:r>
    </w:p>
    <w:p>
      <w:r>
        <w:rPr>
          <w:rFonts w:eastAsia="Arial Unicode MS"/>
          <w:b/>
          <w:sz w:val="21"/>
        </w:rPr>
        <w:t>12. 与我课题的接口</w:t>
      </w:r>
      <w:r>
        <w:rPr>
          <w:rFonts w:eastAsia="Arial Unicode MS"/>
          <w:sz w:val="21"/>
        </w:rPr>
        <w:t xml:space="preserve">（三选一并注明具体内容） ☐ </w:t>
      </w:r>
      <w:r>
        <w:rPr>
          <w:rFonts w:eastAsia="Arial Unicode MS"/>
          <w:b/>
          <w:sz w:val="21"/>
        </w:rPr>
        <w:t>可搬的方法</w:t>
      </w:r>
      <w:r>
        <w:rPr>
          <w:rFonts w:eastAsia="Arial Unicode MS"/>
          <w:sz w:val="21"/>
        </w:rPr>
        <w:t xml:space="preserve"> → ☐ </w:t>
      </w:r>
      <w:r>
        <w:rPr>
          <w:rFonts w:eastAsia="Arial Unicode MS"/>
          <w:b/>
          <w:sz w:val="21"/>
        </w:rPr>
        <w:t>可用的对照值/基准数字</w:t>
      </w:r>
      <w:r>
        <w:rPr>
          <w:rFonts w:eastAsia="Arial Unicode MS"/>
          <w:sz w:val="21"/>
        </w:rPr>
        <w:t xml:space="preserve"> → ☐ </w:t>
      </w:r>
      <w:r>
        <w:rPr>
          <w:rFonts w:eastAsia="Arial Unicode MS"/>
          <w:b/>
          <w:sz w:val="21"/>
        </w:rPr>
        <w:t>⚠️ 竞争风险</w:t>
      </w:r>
      <w:r>
        <w:rPr>
          <w:rFonts w:eastAsia="Arial Unicode MS"/>
          <w:sz w:val="21"/>
        </w:rPr>
        <w:t xml:space="preserve"> → 与我哪个 Aim 撞？我的差异声明是什么？</w:t>
      </w:r>
    </w:p>
    <w:p>
      <w:pPr>
        <w:ind w:left="340"/>
      </w:pPr>
    </w:p>
    <w:p>
      <w:r>
        <w:rPr>
          <w:rFonts w:eastAsia="Arial Unicode MS"/>
          <w:b/>
          <w:sz w:val="21"/>
        </w:rPr>
        <w:t>13. 一个可执行动作</w:t>
      </w:r>
      <w:r>
        <w:rPr>
          <w:rFonts w:eastAsia="Arial Unicode MS"/>
          <w:sz w:val="21"/>
        </w:rPr>
        <w:t>（写成「我要在 X 体系里做 Y，预期 Z」；</w:t>
      </w:r>
      <w:r>
        <w:rPr>
          <w:rFonts w:eastAsia="Arial Unicode MS"/>
          <w:b/>
          <w:sz w:val="21"/>
        </w:rPr>
        <w:t>同步进台账 A 的「我的动作」列</w:t>
      </w:r>
      <w:r>
        <w:rPr>
          <w:rFonts w:eastAsia="Arial Unicode MS"/>
          <w:sz w:val="21"/>
        </w:rPr>
        <w:t>）</w:t>
      </w:r>
    </w:p>
    <w:p>
      <w:pPr>
        <w:ind w:left="340"/>
      </w:pPr>
    </w:p>
    <w:p>
      <w:r>
        <w:rPr>
          <w:rFonts w:eastAsia="Arial Unicode MS"/>
          <w:b/>
          <w:sz w:val="21"/>
        </w:rPr>
        <w:t>14. 它的哪几篇参考文献要排进我的阅读队列？</w:t>
      </w:r>
      <w:r>
        <w:rPr>
          <w:rFonts w:eastAsia="Arial Unicode MS"/>
          <w:sz w:val="21"/>
        </w:rPr>
        <w:t>（记 PMID 或首作者+年份，加进候选池） - -</w:t>
      </w:r>
    </w:p>
    <w:p>
      <w:r>
        <w:rPr>
          <w:sz w:val="8"/>
        </w:rPr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五 · 归档</w:t>
      </w:r>
    </w:p>
    <w:p>
      <w:r>
        <w:rPr>
          <w:rFonts w:eastAsia="Arial Unicode MS"/>
          <w:b/>
          <w:sz w:val="21"/>
        </w:rPr>
        <w:t>关联台账</w:t>
      </w:r>
      <w:r>
        <w:rPr>
          <w:rFonts w:eastAsia="Arial Unicode MS"/>
          <w:sz w:val="21"/>
        </w:rPr>
        <w:t xml:space="preserve"> ☐ 已写入台账 A 证据　☐ 已写入台账 B 试剂　☐ 已写入台账 C 方法参数　☐ 已写入台账 D 空白/假设 </w:t>
      </w:r>
      <w:r>
        <w:rPr>
          <w:rFonts w:eastAsia="Arial Unicode MS"/>
          <w:b/>
          <w:sz w:val="21"/>
        </w:rPr>
        <w:t>本篇是否改变了我的假设？</w:t>
      </w:r>
      <w:r>
        <w:rPr>
          <w:rFonts w:eastAsia="Arial Unicode MS"/>
          <w:sz w:val="21"/>
        </w:rPr>
        <w:t xml:space="preserve"> ☐ 否　☐ 是 → 在台账 D 的「假设版本日志」里新增一行（H__ v__ → v__，并写日期与触发原因）</w:t>
      </w:r>
    </w:p>
    <w:p>
      <w:r>
        <w:rPr>
          <w:sz w:val="8"/>
        </w:rPr>
      </w:r>
    </w:p>
    <w:p>
      <w:r>
        <w:rPr>
          <w:sz w:val="8"/>
        </w:rPr>
      </w:r>
    </w:p>
    <w:p>
      <w:pPr>
        <w:pStyle w:val="Heading1"/>
        <w:spacing w:before="200"/>
      </w:pPr>
      <w:r>
        <w:rPr>
          <w:rFonts w:eastAsia="Arial Unicode MS"/>
          <w:b/>
          <w:color w:val="4A148C"/>
          <w:sz w:val="34"/>
        </w:rPr>
        <w:t>English field reference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#</w:t>
            </w:r>
          </w:p>
        </w:tc>
        <w:tc>
          <w:tcPr>
            <w:tcW w:type="dxa" w:w="340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Field</w:t>
            </w:r>
          </w:p>
        </w:tc>
        <w:tc>
          <w:tcPr>
            <w:tcW w:type="dxa" w:w="340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Rule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One-sentence finding, in my own words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No abstract copying. If you can't write it, you didn't read it.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Which question it answered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Mark whether the question was genuinely open.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Key figure and why it is credible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Figure number + n + quantification method.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Method essentials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Concentrations, durations, cell lines, depth, replicates → copy into Ledger C.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System and limits of extrapolation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How far the claim can travel.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b/>
                <w:sz w:val="17"/>
              </w:rPr>
              <w:t>Controls run and controls omitted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The omission is usually your entry point.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7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b/>
                <w:sz w:val="17"/>
              </w:rPr>
              <w:t>Effect size, with numbers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A note without a number is not a note.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b/>
                <w:sz w:val="17"/>
              </w:rPr>
              <w:t>One thing I do not believe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Mandatory. Can't find one → read again.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9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b/>
                <w:sz w:val="17"/>
              </w:rPr>
              <w:t>Hot-topic position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Foundational / current mainstream / rising / saturating / marginal, plus who is doing it.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10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b/>
                <w:sz w:val="17"/>
              </w:rPr>
              <w:t>Gaps it exposes or admits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Copy the authors' own "remains unclear" statements; mark which one *you* could do.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11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b/>
                <w:sz w:val="17"/>
              </w:rPr>
              <w:t>Where this line goes in three years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Follow it / avoid it (crowded) / get ahead of it.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12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Interface to my project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 xml:space="preserve">Transferable method, reusable control value, or </w:t>
            </w:r>
            <w:r>
              <w:rPr>
                <w:rFonts w:eastAsia="Arial Unicode MS"/>
                <w:b/>
                <w:sz w:val="17"/>
              </w:rPr>
              <w:t>competition risk</w:t>
            </w:r>
            <w:r>
              <w:rPr>
                <w:rFonts w:eastAsia="Arial Unicode MS"/>
                <w:sz w:val="17"/>
              </w:rPr>
              <w:t xml:space="preserve"> with a difference statement.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13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One executable action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"I will do Y in system X, expecting Z" → Ledger A.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14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Which of its references to queue next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PMIDs into the candidate pool.</w:t>
            </w:r>
          </w:p>
        </w:tc>
      </w:tr>
    </w:tbl>
    <w:p>
      <w:r>
        <w:rPr>
          <w:sz w:val="8"/>
        </w:rPr>
      </w:r>
    </w:p>
    <w:p>
      <w:r>
        <w:rPr>
          <w:rFonts w:eastAsia="Arial Unicode MS"/>
          <w:sz w:val="21"/>
        </w:rPr>
        <w:t>Fields 6, 7 and 8 are what separate a reader from a reviewer; fields 9, 10 and 11 are what you will paste into the Significance and Innovation sections of a grant. Field 12 is how the reading plan stays connected to the bench.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