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/>
      </w:pPr>
      <w:r>
        <w:rPr>
          <w:rFonts w:eastAsia="Arial Unicode MS"/>
          <w:b/>
          <w:color w:val="4A148C"/>
          <w:sz w:val="34"/>
        </w:rPr>
        <w:t>各方向技术与实验全清单 / Complete Technique &amp; Experiment Inventory by Direction</w:t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Xiaodong ZOU · 2026-09-28</w:t>
      </w:r>
    </w:p>
    <w:p>
      <w:r>
        <w:rPr>
          <w:rFonts w:eastAsia="Arial Unicode MS"/>
          <w:b/>
          <w:sz w:val="21"/>
        </w:rPr>
        <w:t>读法</w:t>
      </w:r>
      <w:r>
        <w:rPr>
          <w:rFonts w:eastAsia="Arial Unicode MS"/>
          <w:sz w:val="21"/>
        </w:rPr>
        <w:t xml:space="preserve"> 每张表的列固定为：</w:t>
      </w:r>
      <w:r>
        <w:rPr>
          <w:rFonts w:eastAsia="Arial Unicode MS"/>
          <w:b/>
          <w:sz w:val="21"/>
        </w:rPr>
        <w:t>技术 → 用途 → 你的现状 → 关键参数 → 必须的对照 → 常见失败模式 → 学习路径与时间 → 依据 PMID</w:t>
      </w:r>
      <w:r>
        <w:rPr>
          <w:rFonts w:eastAsia="Arial Unicode MS"/>
          <w:sz w:val="21"/>
        </w:rPr>
        <w:t>。 「你的现状」四档：</w:t>
      </w:r>
      <w:r>
        <w:rPr>
          <w:rFonts w:eastAsia="Arial Unicode MS"/>
          <w:b/>
          <w:sz w:val="21"/>
        </w:rPr>
        <w:t>✅ 已具备</w:t>
      </w:r>
      <w:r>
        <w:rPr>
          <w:rFonts w:eastAsia="Arial Unicode MS"/>
          <w:sz w:val="21"/>
        </w:rPr>
        <w:t xml:space="preserve">（CV 明确列出）· </w:t>
      </w:r>
      <w:r>
        <w:rPr>
          <w:rFonts w:eastAsia="Arial Unicode MS"/>
          <w:b/>
          <w:sz w:val="21"/>
        </w:rPr>
        <w:t>🟡 部分</w:t>
      </w:r>
      <w:r>
        <w:rPr>
          <w:rFonts w:eastAsia="Arial Unicode MS"/>
          <w:sz w:val="21"/>
        </w:rPr>
        <w:t xml:space="preserve">（有相邻技能可迁移）· </w:t>
      </w:r>
      <w:r>
        <w:rPr>
          <w:rFonts w:eastAsia="Arial Unicode MS"/>
          <w:b/>
          <w:sz w:val="21"/>
        </w:rPr>
        <w:t>🔴 需新学</w:t>
      </w:r>
      <w:r>
        <w:rPr>
          <w:rFonts w:eastAsia="Arial Unicode MS"/>
          <w:sz w:val="21"/>
        </w:rPr>
        <w:t xml:space="preserve"> · </w:t>
      </w:r>
      <w:r>
        <w:rPr>
          <w:rFonts w:eastAsia="Arial Unicode MS"/>
          <w:b/>
          <w:sz w:val="21"/>
        </w:rPr>
        <w:t>🤝 需合作者</w:t>
      </w:r>
      <w:r>
        <w:rPr>
          <w:rFonts w:eastAsia="Arial Unicode MS"/>
          <w:sz w:val="21"/>
        </w:rPr>
        <w:t xml:space="preserve">（不建议自己做）。 关键参数中的 </w:t>
      </w:r>
      <w:r>
        <w:rPr>
          <w:rFonts w:ascii="Consolas" w:hAnsi="Consolas" w:eastAsia="Arial Unicode MS"/>
          <w:sz w:val="19"/>
        </w:rPr>
        <w:t>〔FILL〕</w:t>
      </w:r>
      <w:r>
        <w:rPr>
          <w:rFonts w:eastAsia="Arial Unicode MS"/>
          <w:sz w:val="21"/>
        </w:rPr>
        <w:t xml:space="preserve"> 表示</w:t>
      </w:r>
      <w:r>
        <w:rPr>
          <w:rFonts w:eastAsia="Arial Unicode MS"/>
          <w:b/>
          <w:sz w:val="21"/>
        </w:rPr>
        <w:t>必须从对应 PMID 里抄到具体数值后再动手</w:t>
      </w:r>
      <w:r>
        <w:rPr>
          <w:rFonts w:eastAsia="Arial Unicode MS"/>
          <w:sz w:val="21"/>
        </w:rPr>
        <w:t>——这些格子填完就是你的 Methods 段落。</w:t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0 · 总技能矩阵 / Master skills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技能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现状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方向 1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方向 2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方向 3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方向 4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方向 5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学习时间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CRISPR/Cas9 · ABE · BE4 设计与应用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○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已具备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杂交瘤单克隆抗体制备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○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已具备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类器官培养与表型读出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○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○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已具备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小鼠/大动物模型、SCNT、胚胎移植、病理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○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已具备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IHC/组织切片/流式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已具备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细胞电穿孔、克隆、敲除/过表达细胞系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已具备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R + GO/KEGG/GSEA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已具备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smallRNA-seq 建库与分析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2–3 个月（lab 内部可学）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RNA 半衰期测定（Act-D chase）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1 个月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小 RNA 3′ 末端 / 尾巴测序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2 个月（依赖测序平台）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激酶生化（重组蛋白 + 体外激酶反应）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2–3 个月（建议借组）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Phos-tag SDS-PAGE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○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2 周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AGO-RIP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🟡（有 IP 基础）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1–2 个月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4sU 代谢标记 / SLAM-seq 思路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1–2 个月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蛋白纯化（含无序区片段）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2 个月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磷酸化 / 乳酰化质谱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🤝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○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不自己做：谈 core + 2 周学读数据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结构生物学（位点可及性判读）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🤝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○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不自己做：读现成结构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生信深化（定量流程、半衰期建模、Python/Snakemake）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🟡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3 个月，持续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临床样本获取（人纤维化组织）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🤝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●●●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○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●●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谈合作</w:t>
            </w:r>
          </w:p>
        </w:tc>
      </w:tr>
    </w:tbl>
    <w:p>
      <w:r>
        <w:rPr>
          <w:sz w:val="8"/>
        </w:rPr>
      </w:r>
    </w:p>
    <w:p>
      <w:r>
        <w:rPr>
          <w:rFonts w:eastAsia="Arial Unicode MS"/>
          <w:sz w:val="21"/>
        </w:rPr>
        <w:t>●●● 关键路径 · ●● 重要 · ● 有用 · ○ 边缘 · — 不涉及</w:t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1 · 方向 1：AMPK–ZSWIM8–代谢记忆</w:t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1A 激酶生化（Aim 1 的核心，也是你最大的技术缺口）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技术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用途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现状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关键参数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必须的对照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常见失败模式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学习路径/时间</w:t>
            </w:r>
          </w:p>
        </w:tc>
        <w:tc>
          <w:tcPr>
            <w:tcW w:type="dxa" w:w="1275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依据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重组蛋白表达纯化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做 ZSWIM8 无序区片段（约 560–660 aa）WT/S608A/S609A/双突变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表达体系 *E. coli* BL21；标签 MBP 或 SUMO（提高无序区可溶性）；诱导 16 °C 过夜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空载体纯化物做阴性；考马斯胶确认纯度与完整性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无序区易被蛋白酶切降解 → 全程加抑制剂、4 °C 操作；全长 1837 aa 几乎不可能纯化，别尝试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借生化组做一轮，2 个月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体外激酶反应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直接判定 AMPK 是否磷酸化 S608/S609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ATP 浓度〔FILL〕；Mg²⁺〔FILL〕；反应时长〔FILL〕；酶:底物比〔FILL〕；AMP 或 A-769662 激活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经典 AMPK 底物肽（SAMS 类）同板阳性对照</w:t>
            </w:r>
            <w:r>
              <w:rPr>
                <w:rFonts w:eastAsia="Arial Unicode MS"/>
                <w:sz w:val="17"/>
              </w:rPr>
              <w:t xml:space="preserve"> —— 没有它，阴性结果毫无信息量；无激酶管；S→A 突变体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激酶批次活性差异大 → 每次用阳性对照标定；ATP 过量导致非特异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与阳性对照一起建立，2–3 个月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11902845, 7698321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Phos-tag SDS-PAGE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定量多位点磷酸化化学计量比（S608 在无序区，正适用）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胶内 Phos-tag 浓度〔FILL〕；Mn²⁺〔FILL〕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磷酸酶处理样品；非磷酸化重组蛋白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无序蛋白在 Phos-tag 胶上迁移异常 → 需自己标定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2 周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32696389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质谱定位磷酸化位点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确认修饰发生在 S608 而非邻近位点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🤝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 xml:space="preserve">位点定位概率 </w:t>
            </w:r>
            <w:r>
              <w:rPr>
                <w:rFonts w:eastAsia="Arial Unicode MS"/>
                <w:b/>
                <w:sz w:val="17"/>
              </w:rPr>
              <w:t>&gt;0.75</w:t>
            </w:r>
            <w:r>
              <w:rPr>
                <w:rFonts w:eastAsia="Arial Unicode MS"/>
                <w:sz w:val="17"/>
              </w:rPr>
              <w:t xml:space="preserve"> 才可作结论；富集方式〔FILL〕；最低上样量〔FILL〕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未处理对照；S→A 突变体（位点应消失）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报告了位点但概率低 → 不能写进结论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谈 MSKCC core；读数据 2 周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27667718, 25683918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自制 phospho-S608 单抗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突破领域最大的试剂瓶颈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✅（杂交瘤能力）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抗原肽设计：以 S608 为中心 ±7 aa，磷酸化与非磷酸化两版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b/>
                <w:sz w:val="17"/>
              </w:rPr>
              <w:t>磷酸酶处理 + S608A 突变体双阴性验证</w:t>
            </w:r>
            <w:r>
              <w:rPr>
                <w:rFonts w:eastAsia="Arial Unicode MS"/>
                <w:sz w:val="17"/>
              </w:rPr>
              <w:t>（缺一不可）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抗体识别序列而非磷酸化状态 → 必须做双阴性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你已具备；免疫周期约 4–6 个月，</w:t>
            </w:r>
            <w:r>
              <w:rPr>
                <w:rFonts w:eastAsia="Arial Unicode MS"/>
                <w:b/>
                <w:sz w:val="17"/>
              </w:rPr>
              <w:t>Q2 就要启动</w:t>
            </w:r>
          </w:p>
        </w:tc>
        <w:tc>
          <w:tcPr>
            <w:tcW w:type="dxa" w:w="1275"/>
          </w:tcPr>
          <w:p>
            <w:r/>
            <w:r>
              <w:rPr>
                <w:rFonts w:eastAsia="Arial Unicode MS"/>
                <w:sz w:val="17"/>
              </w:rPr>
              <w:t>15728188</w:t>
            </w:r>
          </w:p>
        </w:tc>
      </w:tr>
    </w:tbl>
    <w:p>
      <w:r>
        <w:rPr>
          <w:sz w:val="8"/>
        </w:rPr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1B 细胞与代谢处理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技术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用途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现状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关键参数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必须的对照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常见失败模式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依据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AMPK 药理激活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建立「能量应激 → 表型」因果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🟡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AICAR 浓度〔FILL〕；A-769662 浓度〔FILL〕；时长〔FILL〕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两种机制不同的激动剂互为对照</w:t>
            </w:r>
            <w:r>
              <w:rPr>
                <w:rFonts w:eastAsia="Arial Unicode MS"/>
                <w:sz w:val="17"/>
              </w:rPr>
              <w:t>（AICAR 有 AMPK 非依赖效应）；Compound C 抑制（但特异性差，只作辅助）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只用 AICAR → 审稿人必然质疑脱靶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26616193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AMPK 遗传对照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排除药理脱靶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🟡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AMPKα1/α2 双敲除细胞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回补野生型 AMPK 恢复表型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单敲除代偿 → 必须双敲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26616193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代谢应激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生理化的能量应激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葡萄糖剥夺时长〔FILL〕；2-DG 浓度〔FILL〕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等渗对照；细胞活力检测（排除毒性）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处理过强 → 细胞应激泛化，结果不特异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25481708</w:t>
            </w:r>
          </w:p>
        </w:tc>
      </w:tr>
    </w:tbl>
    <w:p>
      <w:r>
        <w:rPr>
          <w:sz w:val="8"/>
        </w:rPr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1C RNA 稳定性（Aim 2 的核心）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技术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用途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现状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关键参数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必须的对照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常见失败模式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依据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Actinomycin D chase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测 miRNA 半衰期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Act-D 浓度〔FILL〕；取样时点〔FILL〕；</w:t>
            </w:r>
            <w:r>
              <w:rPr>
                <w:rFonts w:eastAsia="Arial Unicode MS"/>
                <w:b/>
                <w:sz w:val="17"/>
              </w:rPr>
              <w:t>总时长限制在 8 h 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先在已知短命 miRNA 上做阳性对照</w:t>
            </w:r>
            <w:r>
              <w:rPr>
                <w:rFonts w:eastAsia="Arial Unicode MS"/>
                <w:sz w:val="17"/>
              </w:rPr>
              <w:t>，跑通再上候选；spike-in 归一化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Act-D 本身扰动细胞 → 长时程结果不可信；归一化方式选错会把差异抹平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21447562, 31519739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smallRNA-seq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全局定量与候选发现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测序深度〔FILL，末端分析需比常规定量更深〕；建库方式〔FILL〕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技术重复 ≥2；spike-in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接头偏倚导致特定 miRNA 系统性失真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31519739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4sU / SLAM-seq 思路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正交验证半衰期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标记时长〔FILL〕；转化率〔FILL〕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未标记对照；转化率低会把结果压平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单一方法的偏倚必须用第二种方法排除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28945705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AGO-RIP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区分「降解」与「载荷变化」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🟡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上样量〔FILL〕；洗涤严格度〔FILL〕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IgG 对照；输入样本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洗涤过松 → 背景高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32497496, 33853897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内源位点点突变（ABE/BE4）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S608A/S608D 敲入，</w:t>
            </w:r>
            <w:r>
              <w:rPr>
                <w:rFonts w:eastAsia="Arial Unicode MS"/>
                <w:b/>
                <w:sz w:val="17"/>
              </w:rPr>
              <w:t>替代过表达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编辑窗口与 sgRNA 设计；单克隆筛选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未编辑同批细胞；测序确认基因型；旁编辑检查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旁编辑（bystander）改变邻近氨基酸 → 必须全长测序确认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31937940, 31634902, 33606977</w:t>
            </w:r>
          </w:p>
        </w:tc>
      </w:tr>
    </w:tbl>
    <w:p>
      <w:r>
        <w:rPr>
          <w:sz w:val="8"/>
        </w:rPr>
      </w:r>
    </w:p>
    <w:p>
      <w:pPr>
        <w:pStyle w:val="Heading3"/>
        <w:spacing w:before="200"/>
      </w:pPr>
      <w:r>
        <w:rPr>
          <w:rFonts w:eastAsia="Arial Unicode MS"/>
          <w:b/>
          <w:color w:val="333333"/>
          <w:sz w:val="24"/>
        </w:rPr>
        <w:t>1D 疾病模型（Aim 3）</w:t>
      </w:r>
    </w:p>
    <w:p>
      <w:r>
        <w:rPr>
          <w:rFonts w:eastAsia="Arial Unicode MS"/>
          <w:sz w:val="21"/>
        </w:rPr>
        <w:t>类器官高糖脉冲—撤除模型（✅ 已具备）；T2D 小型猪样本（✅ 你自己的模型，但</w:t>
      </w:r>
      <w:r>
        <w:rPr>
          <w:rFonts w:eastAsia="Arial Unicode MS"/>
          <w:b/>
          <w:sz w:val="21"/>
        </w:rPr>
        <w:t>可及性待确认</w:t>
      </w:r>
      <w:r>
        <w:rPr>
          <w:rFonts w:eastAsia="Arial Unicode MS"/>
          <w:sz w:val="21"/>
        </w:rPr>
        <w:t>）；读出为 miR-29/33/375 丰度 + 靶基因恢复曲线 + 纤维化/代谢表型。对照：持续高糖组、never-exposed 组、撤除后不同时长组。</w:t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2 · 方向 2：TUT4/7–miR-29 纤维化检查点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技术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用途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现状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关键参数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必须的对照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常见失败模式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依据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pri/pre/成熟 miR-29 三层 qPCR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区分转录抑制 vs 降解加速 —— 这是本方向的 go/no-go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三套引物（pri 跨内含子、pre 跨发夹、成熟体茎环法）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必须三层同测；只测成熟体无法区分两种机制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只测成熟体 → 结论被 TGF-β/Smad3 转录解释完全覆盖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21784902, 22095944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小 RNA 3′ 末端测序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测尿苷化比例与尾巴长度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可分辨长度〔FILL〕；建库需针对小 RNA 改造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体外合成的已知尾长标准品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无法分辨单尿苷 vs 寡尿苷 → 结论不成立（两者功能相反）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24582499, 23063654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TUT4/TUT7 敲低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判定执行者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 xml:space="preserve">siRNA 与 ASO </w:t>
            </w:r>
            <w:r>
              <w:rPr>
                <w:rFonts w:eastAsia="Arial Unicode MS"/>
                <w:b/>
                <w:sz w:val="17"/>
              </w:rPr>
              <w:t>两种方式互为对照</w:t>
            </w:r>
            <w:r>
              <w:rPr>
                <w:rFonts w:eastAsia="Arial Unicode MS"/>
                <w:sz w:val="17"/>
              </w:rPr>
              <w:t>；单敲 + 双敲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加扰序列对照；回补实验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单敲代偿 → 必须双敲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19701194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DIS3L2 敲低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验证下游降解酶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若 DIS3L2 敲低能稳定尿苷化底物，则通路闭合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23594738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加工层 vs 降解层判别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排除「尿苷化促进加工」的反例解释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🔴（概念）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同时测前体加工效率与成熟体半衰期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必做 —— 否则效应不能归因于降解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忽略这一步是本方向最可能被拒的理由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23063654, 39054354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胶原/纤维化定量读出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表型终点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羟脯氨酸定量、Sirius red/Masson 定量（非仅染色）、类器官硬度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未处理与 TGF-β 刺激两端标定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只做定性染色 → 无效应量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25828392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存档组织分析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零成本起步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两器官（心 MYBPC3 / 肠 SAA3）平行分析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样本 RNA 降解 → 先测 RIN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CV #5, #7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人源验证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提升转化说服力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🤝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狭窄型克罗恩病样本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对齐已发表分子标记与病理亚群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42622514, 39024569, 27720839</w:t>
            </w:r>
          </w:p>
        </w:tc>
      </w:tr>
    </w:tbl>
    <w:p>
      <w:r>
        <w:rPr>
          <w:sz w:val="8"/>
        </w:rPr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3 · 方向 3：乳酸/乳酰化 × 小 RNA 稳态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技术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用途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现状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关键参数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必须的对照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常见失败模式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依据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乳酸/糖酵解干预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建立代谢输入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✅（你的强项）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乳酸钠浓度〔FILL〕；糖酵解抑制剂〔FILL〕；时长〔FILL〕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pH 匹配对照 + 非代谢性酸化对照</w:t>
            </w:r>
            <w:r>
              <w:rPr>
                <w:rFonts w:eastAsia="Arial Unicode MS"/>
                <w:sz w:val="17"/>
              </w:rPr>
              <w:t xml:space="preserve"> —— 乳酸效应常被 pH 混淆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不做 pH 对照 → 结论直接被推翻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38653238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泛乳酰化 western 筛查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先看有没有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pan-Kla 抗体〔FILL 目录号〕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乳酸处理 vs 未处理；已报道的阳性底物（如 METTL3）作对照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泛抗体特异性有限 → 必须质谱确认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35320754, 37863889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AGO2/ZSWIM8/TUT4-7 免疫沉淀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富集候选底物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🟡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上样量〔FILL〕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IgG 对照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33853897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乳酰化位点质谱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定位修饰位点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🤝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富集策略〔FILL〕；最低上样量〔FILL〕；定位概率 &gt;0.75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未处理对照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化学乳酰化假阳性 → 需酶依赖性验证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35320754, 38653238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位点突变（K→R / K→Q）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功能验证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✅（碱基编辑）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内源位点敲入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未编辑同批；回补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赖氨酸位点常同时被乙酰化 → 需排除修饰竞争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38128537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酶学归因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是酶催化还是非酶化学反应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AARS1 敲低/抑制剂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AARS1 抑制剂已有（2026）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若为非酶反应，「通路」叙事不成立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38653238, 42744818</w:t>
            </w:r>
          </w:p>
        </w:tc>
      </w:tr>
    </w:tbl>
    <w:p>
      <w:r>
        <w:rPr>
          <w:sz w:val="8"/>
        </w:rPr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4 · 方向 4：类器官 TDMD 报告平台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技术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用途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现状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关键参数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必须的对照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常见失败模式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依据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肠类器官培养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平台底座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培养基配方、传代周期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批次异质性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42763855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TDMD 双色荧光报告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定量读出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🔴（但编辑技能可迁移）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报告 miRNA 位点 + 对照 miRNA 位点；</w:t>
            </w:r>
            <w:r>
              <w:rPr>
                <w:rFonts w:eastAsia="Arial Unicode MS"/>
                <w:b/>
                <w:sz w:val="17"/>
              </w:rPr>
              <w:t>内源敲入而非质粒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无靶标位点的报告作阴性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质粒拷贝数差异 → 比值读出必须内源化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25828392（读出思路）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类器官纤维化诱导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疾病情境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TGF-β 浓度〔FILL〕；诱导时长〔FILL〕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未诱导；已知抗纤维化药阳性对照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25828392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批次变异标定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平台可信度的关键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🔴（概念）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 xml:space="preserve">报告每个指标的 </w:t>
            </w:r>
            <w:r>
              <w:rPr>
                <w:rFonts w:eastAsia="Arial Unicode MS"/>
                <w:b/>
                <w:sz w:val="17"/>
              </w:rPr>
              <w:t>CV%</w:t>
            </w:r>
            <w:r>
              <w:rPr>
                <w:rFonts w:eastAsia="Arial Unicode MS"/>
                <w:sz w:val="17"/>
              </w:rPr>
              <w:t>，跨 ≥3 批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同批内重复 vs 跨批重复分别报告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不报 CV% → 平台论文被拒的首要理由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小规模筛选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产出干预清单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🟡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孔板格式、Z′ 因子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阳性/阴性对照孔每板都要有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Z′ &lt; 0.5 不能做筛选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</w:tr>
    </w:tbl>
    <w:p>
      <w:r>
        <w:rPr>
          <w:sz w:val="8"/>
        </w:rPr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5 · 方向 5：碱基编辑解剖 TDMD 功能语法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技术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用途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现状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关键参数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必须的对照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常见失败模式</w:t>
            </w:r>
          </w:p>
        </w:tc>
        <w:tc>
          <w:tcPr>
            <w:tcW w:type="dxa" w:w="1457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依据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ABE/BE4 位点敲入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磷酸化位点与识别位点逐个突变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✅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编辑窗口、sgRNA 设计、编辑效率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未编辑同批；基因型测序确认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b/>
                <w:sz w:val="17"/>
              </w:rPr>
              <w:t>旁编辑</w:t>
            </w:r>
            <w:r>
              <w:rPr>
                <w:rFonts w:eastAsia="Arial Unicode MS"/>
                <w:sz w:val="17"/>
              </w:rPr>
              <w:t>改变邻近残基 → 必须测序确认整个窗口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31937940, 33606977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Prime editing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碱基编辑做不到的替换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pegRNA 设计、效率范围〔FILL〕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同上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效率低 → 需单克隆筛选，周期长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31634902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变异规模化评估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把位点突变做成筛选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🔴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文库设计、读出方式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33606977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体内编辑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器官层面位点突变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🟡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递送方式（LNP/AAV）、器官效率〔FILL〕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未编辑动物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递送效率决定可行性</w:t>
            </w:r>
          </w:p>
        </w:tc>
        <w:tc>
          <w:tcPr>
            <w:tcW w:type="dxa" w:w="1457"/>
          </w:tcPr>
          <w:p>
            <w:r/>
            <w:r>
              <w:rPr>
                <w:rFonts w:eastAsia="Arial Unicode MS"/>
                <w:sz w:val="17"/>
              </w:rPr>
              <w:t>31937940</w:t>
            </w:r>
          </w:p>
        </w:tc>
      </w:tr>
    </w:tbl>
    <w:p>
      <w:r>
        <w:rPr>
          <w:sz w:val="8"/>
        </w:rPr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6 · 两个别人想不到、但你独有的技能迁移</w:t>
      </w:r>
    </w:p>
    <w:p>
      <w:pPr>
        <w:pStyle w:val="ListNumber"/>
      </w:pPr>
      <w:r>
        <w:rPr>
          <w:rFonts w:eastAsia="Arial Unicode MS"/>
          <w:b/>
          <w:sz w:val="21"/>
        </w:rPr>
        <w:t>杂交瘤单抗 → 自制 phospho-ZSWIM8(S608) 抗体。</w:t>
      </w:r>
      <w:r>
        <w:rPr>
          <w:rFonts w:eastAsia="Arial Unicode MS"/>
          <w:sz w:val="21"/>
        </w:rPr>
        <w:t xml:space="preserve"> 方向 1 最大的技术瓶颈是「没有好的磷酸化抗体」，而这恰好是你 CV 上明确列出的现成能力。做出来之后，这个试剂本身就是你在领域里的护城河与合作货币。</w:t>
      </w:r>
      <w:r>
        <w:rPr>
          <w:rFonts w:eastAsia="Arial Unicode MS"/>
          <w:b/>
          <w:sz w:val="21"/>
        </w:rPr>
        <w:t>免疫周期 4–6 个月，所以必须在 Q2 启动，不能等到需要时再做。</w:t>
      </w:r>
      <w:r>
        <w:rPr>
          <w:rFonts w:eastAsia="Arial Unicode MS"/>
          <w:sz w:val="21"/>
        </w:rPr>
        <w:t xml:space="preserve"> 验证必须做磷酸酶处理 + S608A 突变体双阴性（PMID 15728188）。</w:t>
      </w:r>
    </w:p>
    <w:p>
      <w:pPr>
        <w:pStyle w:val="ListNumber"/>
      </w:pPr>
      <w:r>
        <w:rPr>
          <w:rFonts w:eastAsia="Arial Unicode MS"/>
          <w:b/>
          <w:sz w:val="21"/>
        </w:rPr>
        <w:t>碱基编辑 → 内源位点点突变，而不是过表达。</w:t>
      </w:r>
      <w:r>
        <w:rPr>
          <w:rFonts w:eastAsia="Arial Unicode MS"/>
          <w:sz w:val="21"/>
        </w:rPr>
        <w:t xml:space="preserve"> 审稿人对「内源位点点突变」的信任度远高于过表达质粒，而多数 RNA 生物学实验室不具备这个能力。方向 1 的 Aim 2、方向 3 的 Aim 2、方向 5 的全部，都应该建立在内源编辑之上。这一条能把你的机制结论的可信度整体提高一档。</w:t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7 · 必须找合作者的四处（不要自己做）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缺口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为什么不自己做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怎么谈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卡住哪个方向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eastAsia="Arial Unicode MS"/>
                <w:b/>
                <w:sz w:val="17"/>
              </w:rPr>
              <w:t>磷酸化/乳酰化质谱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设备与流程门槛高，自己做会浪费半年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MSKCC proteomics core，</w:t>
            </w:r>
            <w:r>
              <w:rPr>
                <w:rFonts w:eastAsia="Arial Unicode MS"/>
                <w:b/>
                <w:sz w:val="17"/>
              </w:rPr>
              <w:t>Q1–Q2 就去谈</w:t>
            </w:r>
            <w:r>
              <w:rPr>
                <w:rFonts w:eastAsia="Arial Unicode MS"/>
                <w:sz w:val="17"/>
              </w:rPr>
              <w:t>，明确送样量与周期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方向 1 Aim 1、方向 3 Aim 2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结构生物学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不需要自己解结构，只需读懂现成结构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找结构组问一次「S608 所在无序区是否可及」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方向 1 的位点论证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人纤维化临床样本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伦理与获取周期长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消化科/心内科合作，用你已有的 IBD 背景切入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方向 2 的转化说服力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深度生信建模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全局半衰期建模需要专门统计能力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找生信合作者共通讯</w:t>
            </w:r>
          </w:p>
        </w:tc>
        <w:tc>
          <w:tcPr>
            <w:tcW w:type="dxa" w:w="2550"/>
          </w:tcPr>
          <w:p>
            <w:r/>
            <w:r>
              <w:rPr>
                <w:rFonts w:eastAsia="Arial Unicode MS"/>
                <w:sz w:val="17"/>
              </w:rPr>
              <w:t>方向 1 Aim 2 的全局分析</w:t>
            </w:r>
          </w:p>
        </w:tc>
      </w:tr>
    </w:tbl>
    <w:p>
      <w:r>
        <w:rPr>
          <w:sz w:val="8"/>
        </w:rPr>
      </w:r>
    </w:p>
    <w:p>
      <w:r>
        <w:rPr>
          <w:sz w:val="8"/>
        </w:rPr>
      </w:r>
    </w:p>
    <w:p>
      <w:pPr>
        <w:pStyle w:val="Heading2"/>
        <w:spacing w:before="200"/>
      </w:pPr>
      <w:r>
        <w:rPr>
          <w:rFonts w:eastAsia="Arial Unicode MS"/>
          <w:b/>
          <w:color w:val="0D47A1"/>
          <w:sz w:val="28"/>
        </w:rPr>
        <w:t>8 · 学习顺序（与 12 周阅读计划对齐）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时间</w:t>
            </w:r>
          </w:p>
        </w:tc>
        <w:tc>
          <w:tcPr>
            <w:tcW w:type="dxa" w:w="340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学什么</w:t>
            </w:r>
          </w:p>
        </w:tc>
        <w:tc>
          <w:tcPr>
            <w:tcW w:type="dxa" w:w="3400"/>
          </w:tcPr>
          <w:p>
            <w:r>
              <w:rPr>
                <w:b/>
              </w:rPr>
            </w:r>
            <w:r>
              <w:rPr>
                <w:rFonts w:eastAsia="Arial Unicode MS"/>
                <w:b/>
                <w:sz w:val="17"/>
              </w:rPr>
              <w:t>为什么这个顺序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第 1–2 月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smallRNA-seq 建库 + 独立分析一套数据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 xml:space="preserve">这是方向 1/2 共同的关键路径，且 </w:t>
            </w:r>
            <w:r>
              <w:rPr>
                <w:rFonts w:eastAsia="Arial Unicode MS"/>
                <w:b/>
                <w:sz w:val="17"/>
              </w:rPr>
              <w:t>lab 内部零成本可学</w:t>
            </w:r>
            <w:r>
              <w:rPr>
                <w:rFonts w:eastAsia="Arial Unicode MS"/>
                <w:sz w:val="17"/>
              </w:rPr>
              <w:t>，不学它什么都做不了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第 2–3 月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Act-D chase 半衰期测定（先做阳性对照）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有了测序能力才能测半衰期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b/>
                <w:sz w:val="17"/>
              </w:rPr>
              <w:t>第 2 月（并行启动）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b/>
                <w:sz w:val="17"/>
              </w:rPr>
              <w:t>phospho-S608 抗体免疫程序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周期 4–6 个月，是整张表上</w:t>
            </w:r>
            <w:r>
              <w:rPr>
                <w:rFonts w:eastAsia="Arial Unicode MS"/>
                <w:b/>
                <w:sz w:val="17"/>
              </w:rPr>
              <w:t>唯一必须提前启动</w:t>
            </w:r>
            <w:r>
              <w:rPr>
                <w:rFonts w:eastAsia="Arial Unicode MS"/>
                <w:sz w:val="17"/>
              </w:rPr>
              <w:t>的项目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第 3–5 月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激酶生化（借组做一轮）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需要先有纯化片段；与抗体并行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第 4–6 月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小 RNA 3′ 末端测序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方向 2 Aim 1 的关键；依赖测序平台排期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第 5–7 月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AGO-RIP + 4sU 正交验证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用于区分降解 vs 载荷、排除单方法偏倚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持续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生信深化（Python/流程化/半衰期建模）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目标是「别人不能替你分析你的数据」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随时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质谱 core 谈判</w:t>
            </w:r>
          </w:p>
        </w:tc>
        <w:tc>
          <w:tcPr>
            <w:tcW w:type="dxa" w:w="3400"/>
          </w:tcPr>
          <w:p>
            <w:r/>
            <w:r>
              <w:rPr>
                <w:rFonts w:eastAsia="Arial Unicode MS"/>
                <w:sz w:val="17"/>
              </w:rPr>
              <w:t>越早越好，不占你自己的时间</w:t>
            </w:r>
          </w:p>
        </w:tc>
      </w:tr>
    </w:tbl>
    <w:p>
      <w:r>
        <w:rPr>
          <w:sz w:val="8"/>
        </w:rPr>
      </w:r>
    </w:p>
    <w:p>
      <w:r>
        <w:rPr>
          <w:sz w:val="8"/>
        </w:rPr>
      </w:r>
    </w:p>
    <w:p>
      <w:pPr>
        <w:pStyle w:val="Heading1"/>
        <w:spacing w:before="200"/>
      </w:pPr>
      <w:r>
        <w:rPr>
          <w:rFonts w:eastAsia="Arial Unicode MS"/>
          <w:b/>
          <w:color w:val="4A148C"/>
          <w:sz w:val="34"/>
        </w:rPr>
        <w:t>English summary</w:t>
      </w:r>
    </w:p>
    <w:p>
      <w:r>
        <w:rPr>
          <w:rFonts w:eastAsia="Arial Unicode MS"/>
          <w:sz w:val="21"/>
        </w:rPr>
        <w:t>A technique-by-technique inventory for all five directions, with fixed columns: technique, purpose, his current status (</w:t>
      </w:r>
      <w:r>
        <w:rPr>
          <w:rFonts w:eastAsia="Arial Unicode MS"/>
          <w:b/>
          <w:sz w:val="21"/>
        </w:rPr>
        <w:t>have / partial / must learn / needs collaborator</w:t>
      </w:r>
      <w:r>
        <w:rPr>
          <w:rFonts w:eastAsia="Arial Unicode MS"/>
          <w:sz w:val="21"/>
        </w:rPr>
        <w:t xml:space="preserve">), key parameters, mandatory controls, common failure modes, learning path and time, and the source PMID. Parameter cells marked </w:t>
      </w:r>
      <w:r>
        <w:rPr>
          <w:rFonts w:ascii="Consolas" w:hAnsi="Consolas" w:eastAsia="Arial Unicode MS"/>
          <w:sz w:val="19"/>
        </w:rPr>
        <w:t>〔FILL〕</w:t>
      </w:r>
      <w:r>
        <w:rPr>
          <w:rFonts w:eastAsia="Arial Unicode MS"/>
          <w:sz w:val="21"/>
        </w:rPr>
        <w:t xml:space="preserve"> must be copied from the cited paper before bench work begins — filling them in produces the Methods section.</w:t>
      </w:r>
    </w:p>
    <w:p>
      <w:r>
        <w:rPr>
          <w:rFonts w:eastAsia="Arial Unicode MS"/>
          <w:sz w:val="21"/>
        </w:rPr>
        <w:t xml:space="preserve">The master matrix shows the critical path is </w:t>
      </w:r>
      <w:r>
        <w:rPr>
          <w:rFonts w:eastAsia="Arial Unicode MS"/>
          <w:b/>
          <w:sz w:val="21"/>
        </w:rPr>
        <w:t>small-RNA methodology</w:t>
      </w:r>
      <w:r>
        <w:rPr>
          <w:rFonts w:eastAsia="Arial Unicode MS"/>
          <w:sz w:val="21"/>
        </w:rPr>
        <w:t xml:space="preserve">, which is learnable inside his current lab at zero cost, followed by half-life measurement and kinase biochemistry. Three controls are called out as non-negotiable because omitting them invalidates the result rather than merely weakening it: a canonical AMPK substrate on the same gel as any in-vitro kinase assay; </w:t>
      </w:r>
      <w:r>
        <w:rPr>
          <w:rFonts w:eastAsia="Arial Unicode MS"/>
          <w:b/>
          <w:sz w:val="21"/>
        </w:rPr>
        <w:t>pri/pre-versus-mature measurement</w:t>
      </w:r>
      <w:r>
        <w:rPr>
          <w:rFonts w:eastAsia="Arial Unicode MS"/>
          <w:sz w:val="21"/>
        </w:rPr>
        <w:t xml:space="preserve"> in Direction 2, without which the result is fully explained by the established TGF-β/Smad3 transcriptional mechanism; and a pH-matched plus non-metabolic-acidification control in Direction 3, without which any lactate effect is confounded.</w:t>
      </w:r>
    </w:p>
    <w:p>
      <w:r>
        <w:rPr>
          <w:rFonts w:eastAsia="Arial Unicode MS"/>
          <w:sz w:val="21"/>
        </w:rPr>
        <w:t xml:space="preserve">Two skill transfers from his own CV are singled out as unusually high-leverage: hybridoma capability lets him </w:t>
      </w:r>
      <w:r>
        <w:rPr>
          <w:rFonts w:eastAsia="Arial Unicode MS"/>
          <w:b/>
          <w:sz w:val="21"/>
        </w:rPr>
        <w:t>raise his own phospho-ZSWIM8(S608) antibody</w:t>
      </w:r>
      <w:r>
        <w:rPr>
          <w:rFonts w:eastAsia="Arial Unicode MS"/>
          <w:sz w:val="21"/>
        </w:rPr>
        <w:t xml:space="preserve"> against the field's main reagent bottleneck — and because the immunisation cycle runs 4–6 months, this is the one item that must start in Q2 rather than when it is needed; and base editing lets him install point mutants at </w:t>
      </w:r>
      <w:r>
        <w:rPr>
          <w:rFonts w:eastAsia="Arial Unicode MS"/>
          <w:b/>
          <w:sz w:val="21"/>
        </w:rPr>
        <w:t>endogenous loci</w:t>
      </w:r>
      <w:r>
        <w:rPr>
          <w:rFonts w:eastAsia="Arial Unicode MS"/>
          <w:sz w:val="21"/>
        </w:rPr>
        <w:t xml:space="preserve"> instead of relying on overexpression, which raises the credibility of every mechanistic claim and is something most RNA-biology labs cannot do.</w:t>
      </w:r>
    </w:p>
    <w:p>
      <w:r>
        <w:rPr>
          <w:rFonts w:eastAsia="Arial Unicode MS"/>
          <w:sz w:val="21"/>
        </w:rPr>
        <w:t>Four gaps should be filled by collaborators rather than learned: phospho/lactyl mass spectrometry (mandatory, and the negotiation should start in Q1–Q2), structural interpretation of site accessibility, human fibrosis specimens, and deep computational half-life modelling.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