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CDF00">
      <w:pPr>
        <w:autoSpaceDE w:val="0"/>
        <w:autoSpaceDN w:val="0"/>
        <w:adjustRightInd w:val="0"/>
        <w:snapToGrid w:val="0"/>
        <w:spacing w:line="360" w:lineRule="auto"/>
        <w:jc w:val="center"/>
        <w:outlineLvl w:val="0"/>
        <w:rPr>
          <w:rFonts w:hint="eastAsia" w:ascii="仿宋" w:hAnsi="仿宋" w:eastAsia="仿宋" w:cs="仿宋"/>
          <w:b/>
          <w:bCs/>
          <w:kern w:val="21"/>
          <w:sz w:val="44"/>
          <w:szCs w:val="44"/>
          <w:lang w:val="zh-CN"/>
        </w:rPr>
      </w:pPr>
      <w:r>
        <w:rPr>
          <w:rFonts w:hint="eastAsia" w:ascii="仿宋" w:hAnsi="仿宋" w:eastAsia="仿宋" w:cs="仿宋"/>
          <w:b/>
          <w:bCs/>
          <w:kern w:val="21"/>
          <w:sz w:val="44"/>
          <w:szCs w:val="44"/>
          <w:lang w:val="en-US" w:eastAsia="zh-CN"/>
        </w:rPr>
        <w:t>四川</w:t>
      </w:r>
      <w:r>
        <w:rPr>
          <w:rFonts w:hint="eastAsia" w:ascii="仿宋" w:hAnsi="仿宋" w:eastAsia="仿宋" w:cs="仿宋"/>
          <w:b/>
          <w:bCs/>
          <w:kern w:val="21"/>
          <w:sz w:val="44"/>
          <w:szCs w:val="44"/>
          <w:lang w:val="zh-CN"/>
        </w:rPr>
        <w:t>新网银行</w:t>
      </w:r>
    </w:p>
    <w:p w14:paraId="57196872">
      <w:pPr>
        <w:autoSpaceDE w:val="0"/>
        <w:autoSpaceDN w:val="0"/>
        <w:adjustRightInd w:val="0"/>
        <w:snapToGrid w:val="0"/>
        <w:spacing w:line="360" w:lineRule="auto"/>
        <w:jc w:val="center"/>
        <w:outlineLvl w:val="0"/>
        <w:rPr>
          <w:rFonts w:hint="eastAsia" w:ascii="仿宋" w:hAnsi="仿宋" w:eastAsia="仿宋" w:cs="仿宋"/>
          <w:b/>
          <w:bCs/>
          <w:kern w:val="21"/>
          <w:sz w:val="44"/>
          <w:szCs w:val="44"/>
          <w:lang w:val="en-US" w:eastAsia="zh-CN"/>
        </w:rPr>
      </w:pPr>
      <w:r>
        <w:rPr>
          <w:rFonts w:hint="eastAsia" w:ascii="仿宋" w:hAnsi="仿宋" w:eastAsia="仿宋" w:cs="仿宋"/>
          <w:b/>
          <w:bCs/>
          <w:kern w:val="21"/>
          <w:sz w:val="44"/>
          <w:szCs w:val="44"/>
          <w:lang w:val="en-US" w:eastAsia="zh-CN"/>
        </w:rPr>
        <w:t>量子技术产品采购项目</w:t>
      </w:r>
    </w:p>
    <w:p w14:paraId="4A29933D">
      <w:pPr>
        <w:autoSpaceDE w:val="0"/>
        <w:autoSpaceDN w:val="0"/>
        <w:adjustRightInd w:val="0"/>
        <w:snapToGrid w:val="0"/>
        <w:spacing w:line="360" w:lineRule="auto"/>
        <w:jc w:val="center"/>
        <w:outlineLvl w:val="0"/>
        <w:rPr>
          <w:rFonts w:hint="eastAsia" w:ascii="仿宋" w:hAnsi="仿宋" w:eastAsia="仿宋" w:cs="仿宋"/>
          <w:b/>
          <w:bCs/>
          <w:kern w:val="21"/>
          <w:sz w:val="44"/>
          <w:szCs w:val="44"/>
          <w:lang w:val="zh-CN"/>
        </w:rPr>
      </w:pPr>
      <w:r>
        <w:rPr>
          <w:rFonts w:hint="eastAsia" w:ascii="仿宋" w:hAnsi="仿宋" w:eastAsia="仿宋" w:cs="仿宋"/>
          <w:b/>
          <w:bCs/>
          <w:kern w:val="21"/>
          <w:sz w:val="44"/>
          <w:szCs w:val="44"/>
          <w:lang w:val="zh-CN"/>
        </w:rPr>
        <w:t>POC测试方案</w:t>
      </w:r>
    </w:p>
    <w:p w14:paraId="441FA7DF">
      <w:pPr>
        <w:autoSpaceDE w:val="0"/>
        <w:autoSpaceDN w:val="0"/>
        <w:adjustRightInd w:val="0"/>
        <w:snapToGrid w:val="0"/>
        <w:spacing w:line="360" w:lineRule="auto"/>
        <w:jc w:val="center"/>
        <w:outlineLvl w:val="0"/>
        <w:rPr>
          <w:rFonts w:hint="eastAsia" w:ascii="仿宋" w:hAnsi="仿宋" w:eastAsia="仿宋" w:cs="仿宋"/>
          <w:b/>
          <w:bCs/>
          <w:kern w:val="21"/>
          <w:sz w:val="44"/>
          <w:szCs w:val="44"/>
          <w:lang w:val="zh-CN"/>
        </w:rPr>
      </w:pPr>
    </w:p>
    <w:p w14:paraId="113458A8">
      <w:pPr>
        <w:pStyle w:val="4"/>
        <w:numPr>
          <w:ilvl w:val="0"/>
          <w:numId w:val="1"/>
        </w:numPr>
        <w:spacing w:line="360" w:lineRule="auto"/>
        <w:ind w:left="0" w:leftChars="0" w:firstLine="0" w:firstLineChars="0"/>
        <w:rPr>
          <w:rFonts w:hint="eastAsia" w:ascii="仿宋" w:hAnsi="仿宋" w:eastAsia="仿宋" w:cs="仿宋"/>
        </w:rPr>
      </w:pPr>
      <w:r>
        <w:rPr>
          <w:rFonts w:hint="eastAsia" w:ascii="仿宋" w:hAnsi="仿宋" w:eastAsia="仿宋" w:cs="仿宋"/>
        </w:rPr>
        <w:t>测试要求</w:t>
      </w:r>
    </w:p>
    <w:p w14:paraId="3187C785">
      <w:pPr>
        <w:numPr>
          <w:ilvl w:val="0"/>
          <w:numId w:val="0"/>
        </w:numPr>
        <w:spacing w:line="360" w:lineRule="auto"/>
        <w:ind w:leftChars="0"/>
        <w:rPr>
          <w:rFonts w:hint="eastAsia" w:ascii="仿宋" w:hAnsi="仿宋" w:eastAsia="仿宋" w:cs="仿宋"/>
          <w:sz w:val="24"/>
          <w:szCs w:val="28"/>
        </w:rPr>
      </w:pPr>
      <w:r>
        <w:rPr>
          <w:rFonts w:hint="eastAsia" w:ascii="仿宋" w:hAnsi="仿宋" w:eastAsia="仿宋" w:cs="仿宋"/>
          <w:sz w:val="24"/>
          <w:szCs w:val="28"/>
          <w:lang w:val="en-US" w:eastAsia="zh-CN"/>
        </w:rPr>
        <w:t>1、</w:t>
      </w:r>
      <w:r>
        <w:rPr>
          <w:rFonts w:hint="eastAsia" w:ascii="仿宋" w:hAnsi="仿宋" w:eastAsia="仿宋" w:cs="仿宋"/>
          <w:sz w:val="24"/>
          <w:szCs w:val="28"/>
        </w:rPr>
        <w:t>测试时间：</w:t>
      </w:r>
    </w:p>
    <w:p w14:paraId="0D0A83E6">
      <w:pPr>
        <w:spacing w:line="360" w:lineRule="auto"/>
        <w:rPr>
          <w:rFonts w:hint="eastAsia" w:ascii="仿宋" w:hAnsi="仿宋" w:eastAsia="仿宋" w:cs="仿宋"/>
          <w:sz w:val="24"/>
          <w:szCs w:val="28"/>
        </w:rPr>
      </w:pPr>
      <w:r>
        <w:rPr>
          <w:rFonts w:hint="eastAsia" w:ascii="仿宋" w:hAnsi="仿宋" w:eastAsia="仿宋" w:cs="仿宋"/>
          <w:sz w:val="24"/>
          <w:szCs w:val="28"/>
        </w:rPr>
        <w:t>预计每家厂商</w:t>
      </w:r>
      <w:r>
        <w:rPr>
          <w:rFonts w:hint="eastAsia" w:ascii="仿宋" w:hAnsi="仿宋" w:eastAsia="仿宋" w:cs="仿宋"/>
          <w:sz w:val="24"/>
          <w:szCs w:val="28"/>
          <w:lang w:val="en-US" w:eastAsia="zh-CN"/>
        </w:rPr>
        <w:t>3-5</w:t>
      </w:r>
      <w:r>
        <w:rPr>
          <w:rFonts w:hint="eastAsia" w:ascii="仿宋" w:hAnsi="仿宋" w:eastAsia="仿宋" w:cs="仿宋"/>
          <w:sz w:val="24"/>
          <w:szCs w:val="28"/>
        </w:rPr>
        <w:t>天时间</w:t>
      </w:r>
      <w:r>
        <w:rPr>
          <w:rFonts w:hint="eastAsia" w:ascii="仿宋" w:hAnsi="仿宋" w:eastAsia="仿宋" w:cs="仿宋"/>
          <w:sz w:val="24"/>
          <w:szCs w:val="28"/>
          <w:lang w:eastAsia="zh-CN"/>
        </w:rPr>
        <w:t>，</w:t>
      </w:r>
      <w:r>
        <w:rPr>
          <w:rFonts w:hint="eastAsia" w:ascii="仿宋" w:hAnsi="仿宋" w:eastAsia="仿宋" w:cs="仿宋"/>
          <w:sz w:val="24"/>
          <w:szCs w:val="28"/>
          <w:lang w:val="en-US" w:eastAsia="zh-CN"/>
        </w:rPr>
        <w:t>环境搭建不超过2天</w:t>
      </w:r>
      <w:r>
        <w:rPr>
          <w:rFonts w:hint="eastAsia" w:ascii="仿宋" w:hAnsi="仿宋" w:eastAsia="仿宋" w:cs="仿宋"/>
          <w:sz w:val="24"/>
          <w:szCs w:val="28"/>
        </w:rPr>
        <w:t>；</w:t>
      </w:r>
    </w:p>
    <w:p w14:paraId="7E72D283">
      <w:pPr>
        <w:spacing w:line="360" w:lineRule="auto"/>
        <w:rPr>
          <w:rFonts w:hint="eastAsia" w:ascii="仿宋" w:hAnsi="仿宋" w:eastAsia="仿宋" w:cs="仿宋"/>
          <w:sz w:val="24"/>
          <w:szCs w:val="28"/>
        </w:rPr>
      </w:pPr>
    </w:p>
    <w:p w14:paraId="42A89E7E">
      <w:pPr>
        <w:numPr>
          <w:ilvl w:val="0"/>
          <w:numId w:val="0"/>
        </w:numPr>
        <w:spacing w:line="360" w:lineRule="auto"/>
        <w:rPr>
          <w:rFonts w:hint="eastAsia" w:ascii="仿宋" w:hAnsi="仿宋" w:eastAsia="仿宋" w:cs="仿宋"/>
          <w:sz w:val="24"/>
          <w:szCs w:val="28"/>
        </w:rPr>
      </w:pPr>
      <w:r>
        <w:rPr>
          <w:rFonts w:hint="eastAsia" w:ascii="仿宋" w:hAnsi="仿宋" w:eastAsia="仿宋" w:cs="仿宋"/>
          <w:sz w:val="24"/>
          <w:szCs w:val="28"/>
          <w:lang w:val="en-US" w:eastAsia="zh-CN"/>
        </w:rPr>
        <w:t>2、</w:t>
      </w:r>
      <w:r>
        <w:rPr>
          <w:rFonts w:hint="eastAsia" w:ascii="仿宋" w:hAnsi="仿宋" w:eastAsia="仿宋" w:cs="仿宋"/>
          <w:sz w:val="24"/>
          <w:szCs w:val="28"/>
        </w:rPr>
        <w:t>测试环境：</w:t>
      </w:r>
    </w:p>
    <w:p w14:paraId="51008AB8">
      <w:pPr>
        <w:numPr>
          <w:ilvl w:val="0"/>
          <w:numId w:val="0"/>
        </w:numPr>
        <w:spacing w:line="360" w:lineRule="auto"/>
        <w:rPr>
          <w:rFonts w:hint="default" w:ascii="仿宋" w:hAnsi="仿宋" w:eastAsia="仿宋" w:cs="仿宋"/>
          <w:sz w:val="24"/>
          <w:szCs w:val="28"/>
          <w:lang w:val="en-US" w:eastAsia="zh-CN"/>
        </w:rPr>
      </w:pPr>
      <w:r>
        <w:rPr>
          <w:rFonts w:hint="eastAsia" w:ascii="仿宋" w:hAnsi="仿宋" w:eastAsia="仿宋" w:cs="仿宋"/>
          <w:sz w:val="24"/>
          <w:szCs w:val="28"/>
          <w:lang w:val="en-US" w:eastAsia="zh-CN"/>
        </w:rPr>
        <w:t>厂商本地环境：由厂商自行安排</w:t>
      </w:r>
      <w:r>
        <w:rPr>
          <w:rFonts w:hint="eastAsia" w:ascii="仿宋" w:hAnsi="仿宋" w:eastAsia="仿宋" w:cs="仿宋"/>
          <w:kern w:val="2"/>
          <w:sz w:val="24"/>
          <w:szCs w:val="28"/>
          <w:u w:val="none"/>
          <w:lang w:val="en-US" w:eastAsia="zh-CN" w:bidi="ar-SA"/>
        </w:rPr>
        <w:t>部署1套app与服务端报文加解密系统</w:t>
      </w:r>
      <w:r>
        <w:rPr>
          <w:rFonts w:hint="eastAsia" w:ascii="仿宋" w:hAnsi="仿宋" w:eastAsia="仿宋" w:cs="仿宋"/>
          <w:sz w:val="24"/>
          <w:szCs w:val="28"/>
          <w:lang w:val="en-US" w:eastAsia="zh-CN"/>
        </w:rPr>
        <w:t>;</w:t>
      </w:r>
    </w:p>
    <w:p w14:paraId="002A75F9">
      <w:pPr>
        <w:pStyle w:val="2"/>
        <w:ind w:left="0" w:leftChars="0" w:firstLine="0" w:firstLineChars="0"/>
        <w:rPr>
          <w:rFonts w:hint="default" w:ascii="仿宋" w:hAnsi="仿宋" w:eastAsia="仿宋" w:cs="仿宋"/>
          <w:kern w:val="2"/>
          <w:sz w:val="24"/>
          <w:szCs w:val="28"/>
          <w:u w:val="none"/>
          <w:lang w:val="en-US" w:eastAsia="zh-CN" w:bidi="ar-SA"/>
        </w:rPr>
      </w:pPr>
      <w:r>
        <w:rPr>
          <w:rFonts w:hint="eastAsia" w:ascii="仿宋" w:hAnsi="仿宋" w:eastAsia="仿宋" w:cs="仿宋"/>
          <w:kern w:val="2"/>
          <w:sz w:val="24"/>
          <w:szCs w:val="28"/>
          <w:u w:val="none"/>
          <w:lang w:val="en-US" w:eastAsia="zh-CN" w:bidi="ar-SA"/>
        </w:rPr>
        <w:t>新网本地环境：由厂商部署1台抗量子加密机在我行现场。</w:t>
      </w:r>
    </w:p>
    <w:p w14:paraId="3E151AEE">
      <w:pPr>
        <w:numPr>
          <w:ilvl w:val="0"/>
          <w:numId w:val="0"/>
        </w:numPr>
        <w:spacing w:line="360" w:lineRule="auto"/>
        <w:rPr>
          <w:rFonts w:hint="eastAsia" w:ascii="仿宋" w:hAnsi="仿宋" w:eastAsia="仿宋" w:cs="仿宋"/>
          <w:sz w:val="24"/>
          <w:szCs w:val="28"/>
        </w:rPr>
      </w:pPr>
    </w:p>
    <w:p w14:paraId="60E8B98A">
      <w:pPr>
        <w:numPr>
          <w:ilvl w:val="0"/>
          <w:numId w:val="0"/>
        </w:numPr>
        <w:spacing w:line="360" w:lineRule="auto"/>
        <w:rPr>
          <w:rFonts w:hint="eastAsia" w:ascii="仿宋" w:hAnsi="仿宋" w:eastAsia="仿宋" w:cs="仿宋"/>
          <w:sz w:val="24"/>
          <w:szCs w:val="28"/>
        </w:rPr>
      </w:pPr>
    </w:p>
    <w:p w14:paraId="1A68A74F">
      <w:pPr>
        <w:numPr>
          <w:ilvl w:val="0"/>
          <w:numId w:val="2"/>
        </w:numPr>
        <w:spacing w:line="360" w:lineRule="auto"/>
        <w:rPr>
          <w:rFonts w:hint="eastAsia" w:ascii="仿宋" w:hAnsi="仿宋" w:eastAsia="仿宋" w:cs="仿宋"/>
          <w:sz w:val="24"/>
          <w:szCs w:val="28"/>
          <w:lang w:val="en-US" w:eastAsia="zh-CN"/>
        </w:rPr>
      </w:pPr>
      <w:r>
        <w:rPr>
          <w:rFonts w:hint="eastAsia" w:ascii="仿宋" w:hAnsi="仿宋" w:eastAsia="仿宋" w:cs="仿宋"/>
          <w:sz w:val="24"/>
          <w:szCs w:val="28"/>
          <w:lang w:val="en-US" w:eastAsia="zh-CN"/>
        </w:rPr>
        <w:t>测试方式：</w:t>
      </w:r>
    </w:p>
    <w:p w14:paraId="3334EDE2">
      <w:pPr>
        <w:numPr>
          <w:ilvl w:val="0"/>
          <w:numId w:val="0"/>
        </w:numPr>
        <w:spacing w:line="360" w:lineRule="auto"/>
        <w:rPr>
          <w:rFonts w:hint="default" w:ascii="仿宋" w:hAnsi="仿宋" w:eastAsia="仿宋" w:cs="仿宋"/>
          <w:sz w:val="24"/>
          <w:szCs w:val="28"/>
          <w:lang w:val="en-US" w:eastAsia="zh-CN"/>
        </w:rPr>
      </w:pPr>
      <w:r>
        <w:rPr>
          <w:rFonts w:hint="eastAsia" w:ascii="仿宋" w:hAnsi="仿宋" w:eastAsia="仿宋" w:cs="仿宋"/>
          <w:sz w:val="24"/>
          <w:szCs w:val="28"/>
          <w:lang w:val="en-US" w:eastAsia="zh-CN"/>
        </w:rPr>
        <w:t>以厂商本地环境提供测试技术要点的佐证材料以及厂商的其它辅助证明材料为主，在新网本地环境补充部分技术要点的佐证材料为辅。</w:t>
      </w:r>
    </w:p>
    <w:p w14:paraId="6765DB88">
      <w:pPr>
        <w:numPr>
          <w:ilvl w:val="0"/>
          <w:numId w:val="0"/>
        </w:numPr>
        <w:spacing w:line="360" w:lineRule="auto"/>
        <w:ind w:leftChars="0"/>
        <w:rPr>
          <w:rFonts w:hint="eastAsia" w:ascii="仿宋" w:hAnsi="仿宋" w:eastAsia="仿宋" w:cs="仿宋"/>
          <w:sz w:val="24"/>
          <w:szCs w:val="28"/>
          <w:lang w:val="en-US" w:eastAsia="zh-CN"/>
        </w:rPr>
      </w:pPr>
    </w:p>
    <w:p w14:paraId="3387803C">
      <w:pPr>
        <w:numPr>
          <w:ilvl w:val="0"/>
          <w:numId w:val="0"/>
        </w:numPr>
        <w:spacing w:line="360" w:lineRule="auto"/>
        <w:ind w:leftChars="0"/>
        <w:rPr>
          <w:rFonts w:hint="eastAsia" w:ascii="仿宋" w:hAnsi="仿宋" w:eastAsia="仿宋" w:cs="仿宋"/>
          <w:lang w:val="en-US" w:eastAsia="zh-CN"/>
        </w:rPr>
      </w:pPr>
      <w:bookmarkStart w:id="0" w:name="_GoBack"/>
      <w:bookmarkEnd w:id="0"/>
    </w:p>
    <w:p w14:paraId="756BE14F">
      <w:pPr>
        <w:numPr>
          <w:ilvl w:val="0"/>
          <w:numId w:val="0"/>
        </w:numPr>
        <w:spacing w:line="360" w:lineRule="auto"/>
        <w:ind w:leftChars="0"/>
        <w:rPr>
          <w:rFonts w:hint="default" w:ascii="仿宋" w:hAnsi="仿宋" w:eastAsia="仿宋" w:cs="仿宋"/>
          <w:sz w:val="24"/>
          <w:szCs w:val="28"/>
          <w:lang w:val="en-US" w:eastAsia="zh-CN"/>
        </w:rPr>
      </w:pPr>
      <w:r>
        <w:rPr>
          <w:rFonts w:hint="eastAsia" w:ascii="仿宋" w:hAnsi="仿宋" w:eastAsia="仿宋" w:cs="仿宋"/>
          <w:sz w:val="24"/>
          <w:szCs w:val="28"/>
          <w:lang w:val="en-US" w:eastAsia="zh-CN"/>
        </w:rPr>
        <w:t>4、测试结果</w:t>
      </w:r>
    </w:p>
    <w:p w14:paraId="6ED715D2">
      <w:pPr>
        <w:numPr>
          <w:ilvl w:val="0"/>
          <w:numId w:val="0"/>
        </w:numPr>
        <w:spacing w:line="360" w:lineRule="auto"/>
        <w:rPr>
          <w:rFonts w:hint="eastAsia" w:ascii="仿宋" w:hAnsi="仿宋" w:eastAsia="仿宋" w:cs="仿宋"/>
          <w:sz w:val="24"/>
          <w:szCs w:val="28"/>
          <w:lang w:val="en-US" w:eastAsia="zh-CN"/>
        </w:rPr>
      </w:pPr>
      <w:r>
        <w:rPr>
          <w:rFonts w:hint="eastAsia" w:ascii="仿宋" w:hAnsi="仿宋" w:eastAsia="仿宋" w:cs="仿宋"/>
          <w:sz w:val="24"/>
          <w:szCs w:val="28"/>
          <w:lang w:val="en-US" w:eastAsia="zh-CN"/>
        </w:rPr>
        <w:t>POC测试未通过的，将不再参与本项目下阶段的开标环节。</w:t>
      </w:r>
    </w:p>
    <w:p w14:paraId="6391A040">
      <w:pPr>
        <w:pStyle w:val="2"/>
        <w:rPr>
          <w:rFonts w:hint="eastAsia"/>
          <w:lang w:val="en-US" w:eastAsia="zh-CN"/>
        </w:rPr>
      </w:pPr>
    </w:p>
    <w:p w14:paraId="59D33126">
      <w:pPr>
        <w:spacing w:line="360" w:lineRule="auto"/>
        <w:rPr>
          <w:rFonts w:hint="eastAsia" w:ascii="仿宋" w:hAnsi="仿宋" w:eastAsia="仿宋" w:cs="仿宋"/>
        </w:rPr>
      </w:pPr>
    </w:p>
    <w:p w14:paraId="7D90C3A9">
      <w:pPr>
        <w:spacing w:line="360" w:lineRule="auto"/>
        <w:rPr>
          <w:rFonts w:hint="eastAsia" w:ascii="仿宋" w:hAnsi="仿宋" w:eastAsia="仿宋" w:cs="仿宋"/>
        </w:rPr>
      </w:pPr>
    </w:p>
    <w:p w14:paraId="0FB0E52A">
      <w:pPr>
        <w:pStyle w:val="4"/>
        <w:numPr>
          <w:ilvl w:val="0"/>
          <w:numId w:val="1"/>
        </w:numPr>
        <w:spacing w:line="360" w:lineRule="auto"/>
        <w:ind w:left="0" w:leftChars="0" w:firstLine="0" w:firstLineChars="0"/>
        <w:rPr>
          <w:rFonts w:hint="eastAsia" w:ascii="仿宋" w:hAnsi="仿宋" w:eastAsia="仿宋" w:cs="仿宋"/>
        </w:rPr>
      </w:pPr>
      <w:r>
        <w:rPr>
          <w:rFonts w:hint="eastAsia" w:ascii="仿宋" w:hAnsi="仿宋" w:eastAsia="仿宋" w:cs="仿宋"/>
        </w:rPr>
        <w:t>测试技术要点</w:t>
      </w:r>
    </w:p>
    <w:p w14:paraId="160570FB">
      <w:pPr>
        <w:spacing w:line="360" w:lineRule="auto"/>
        <w:rPr>
          <w:rFonts w:hint="eastAsia" w:ascii="仿宋" w:hAnsi="仿宋" w:eastAsia="仿宋" w:cs="仿宋"/>
          <w:b/>
          <w:bCs/>
          <w:color w:val="auto"/>
          <w:sz w:val="24"/>
          <w:szCs w:val="24"/>
          <w:highlight w:val="none"/>
        </w:rPr>
      </w:pPr>
      <w:r>
        <w:rPr>
          <w:rFonts w:hint="eastAsia" w:ascii="仿宋" w:hAnsi="仿宋" w:eastAsia="仿宋" w:cs="仿宋"/>
          <w:b/>
          <w:bCs/>
          <w:kern w:val="2"/>
          <w:sz w:val="24"/>
          <w:szCs w:val="24"/>
          <w:highlight w:val="none"/>
          <w:lang w:val="en-US" w:eastAsia="zh-CN"/>
        </w:rPr>
        <w:t>以下技术要点需要分别</w:t>
      </w:r>
      <w:r>
        <w:rPr>
          <w:rFonts w:hint="eastAsia" w:ascii="仿宋" w:hAnsi="仿宋" w:eastAsia="仿宋" w:cs="仿宋"/>
          <w:b/>
          <w:bCs/>
          <w:color w:val="auto"/>
          <w:sz w:val="24"/>
          <w:szCs w:val="24"/>
          <w:highlight w:val="none"/>
          <w:lang w:val="en-US" w:eastAsia="zh-CN"/>
        </w:rPr>
        <w:t>提供佐证，例如系统截图、拍照等材料，佐证材料需加盖公章。</w:t>
      </w:r>
    </w:p>
    <w:p w14:paraId="549D6DE0">
      <w:pPr>
        <w:spacing w:line="360" w:lineRule="auto"/>
        <w:rPr>
          <w:rFonts w:hint="default" w:ascii="仿宋" w:hAnsi="仿宋" w:eastAsia="仿宋" w:cs="仿宋"/>
          <w:b/>
          <w:bCs/>
          <w:kern w:val="2"/>
          <w:sz w:val="24"/>
          <w:szCs w:val="24"/>
          <w:highlight w:val="none"/>
          <w:lang w:val="en-US" w:eastAsia="zh-CN"/>
        </w:rPr>
      </w:pPr>
      <w:r>
        <w:rPr>
          <w:rFonts w:hint="eastAsia" w:ascii="仿宋" w:hAnsi="仿宋" w:eastAsia="仿宋" w:cs="仿宋"/>
          <w:b/>
          <w:bCs/>
          <w:kern w:val="2"/>
          <w:sz w:val="24"/>
          <w:szCs w:val="24"/>
          <w:highlight w:val="none"/>
          <w:lang w:val="en-US" w:eastAsia="zh-CN"/>
        </w:rPr>
        <w:t>测试过程中由厂商搭建演示环境，新网银行不对软硬件产品进行集成测试。</w:t>
      </w:r>
    </w:p>
    <w:tbl>
      <w:tblPr>
        <w:tblStyle w:val="13"/>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58"/>
        <w:gridCol w:w="1623"/>
        <w:gridCol w:w="668"/>
        <w:gridCol w:w="1983"/>
        <w:gridCol w:w="770"/>
        <w:gridCol w:w="8474"/>
      </w:tblGrid>
      <w:tr w14:paraId="61548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9FC3C6">
            <w:pPr>
              <w:keepNext w:val="0"/>
              <w:keepLines w:val="0"/>
              <w:widowControl/>
              <w:suppressLineNumbers w:val="0"/>
              <w:jc w:val="center"/>
              <w:textAlignment w:val="center"/>
              <w:rPr>
                <w:rFonts w:ascii="等线" w:hAnsi="等线" w:eastAsia="等线" w:cs="等线"/>
                <w:b/>
                <w:bCs/>
                <w:i w:val="0"/>
                <w:iCs w:val="0"/>
                <w:color w:val="000000"/>
                <w:sz w:val="21"/>
                <w:szCs w:val="21"/>
                <w:u w:val="none"/>
              </w:rPr>
            </w:pPr>
            <w:r>
              <w:rPr>
                <w:rFonts w:hint="eastAsia" w:ascii="等线" w:hAnsi="等线" w:eastAsia="等线" w:cs="等线"/>
                <w:b/>
                <w:bCs/>
                <w:i w:val="0"/>
                <w:iCs w:val="0"/>
                <w:color w:val="000000"/>
                <w:kern w:val="0"/>
                <w:sz w:val="21"/>
                <w:szCs w:val="21"/>
                <w:u w:val="none"/>
                <w:lang w:val="en-US" w:eastAsia="zh-CN" w:bidi="ar"/>
              </w:rPr>
              <w:t>序号1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8C17B7">
            <w:pPr>
              <w:keepNext w:val="0"/>
              <w:keepLines w:val="0"/>
              <w:widowControl/>
              <w:suppressLineNumbers w:val="0"/>
              <w:jc w:val="center"/>
              <w:textAlignment w:val="center"/>
              <w:rPr>
                <w:rFonts w:hint="eastAsia" w:ascii="等线" w:hAnsi="等线" w:eastAsia="等线" w:cs="等线"/>
                <w:b/>
                <w:bCs/>
                <w:i w:val="0"/>
                <w:iCs w:val="0"/>
                <w:color w:val="000000"/>
                <w:sz w:val="21"/>
                <w:szCs w:val="21"/>
                <w:u w:val="none"/>
              </w:rPr>
            </w:pPr>
            <w:r>
              <w:rPr>
                <w:rFonts w:hint="eastAsia" w:ascii="等线" w:hAnsi="等线" w:eastAsia="等线" w:cs="等线"/>
                <w:b/>
                <w:bCs/>
                <w:i w:val="0"/>
                <w:iCs w:val="0"/>
                <w:color w:val="000000"/>
                <w:kern w:val="0"/>
                <w:sz w:val="21"/>
                <w:szCs w:val="21"/>
                <w:u w:val="none"/>
                <w:lang w:val="en-US" w:eastAsia="zh-CN" w:bidi="ar"/>
              </w:rPr>
              <w:t>技术客观</w:t>
            </w:r>
            <w:r>
              <w:rPr>
                <w:rFonts w:hint="eastAsia" w:ascii="等线" w:hAnsi="等线" w:eastAsia="等线" w:cs="等线"/>
                <w:b/>
                <w:bCs/>
                <w:i w:val="0"/>
                <w:iCs w:val="0"/>
                <w:color w:val="000000"/>
                <w:kern w:val="0"/>
                <w:sz w:val="21"/>
                <w:szCs w:val="21"/>
                <w:u w:val="none"/>
                <w:lang w:val="en-US" w:eastAsia="zh-CN" w:bidi="ar"/>
              </w:rPr>
              <w:br w:type="textWrapping"/>
            </w:r>
            <w:r>
              <w:rPr>
                <w:rFonts w:hint="eastAsia" w:ascii="等线" w:hAnsi="等线" w:eastAsia="等线" w:cs="等线"/>
                <w:b/>
                <w:bCs/>
                <w:i w:val="0"/>
                <w:iCs w:val="0"/>
                <w:color w:val="000000"/>
                <w:kern w:val="0"/>
                <w:sz w:val="21"/>
                <w:szCs w:val="21"/>
                <w:u w:val="none"/>
                <w:lang w:val="en-US" w:eastAsia="zh-CN" w:bidi="ar"/>
              </w:rPr>
              <w:t>指标大类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C5981A">
            <w:pPr>
              <w:keepNext w:val="0"/>
              <w:keepLines w:val="0"/>
              <w:widowControl/>
              <w:suppressLineNumbers w:val="0"/>
              <w:jc w:val="center"/>
              <w:textAlignment w:val="center"/>
              <w:rPr>
                <w:rFonts w:hint="eastAsia" w:ascii="等线" w:hAnsi="等线" w:eastAsia="等线" w:cs="等线"/>
                <w:b/>
                <w:bCs/>
                <w:i w:val="0"/>
                <w:iCs w:val="0"/>
                <w:color w:val="000000"/>
                <w:sz w:val="21"/>
                <w:szCs w:val="21"/>
                <w:u w:val="none"/>
              </w:rPr>
            </w:pPr>
            <w:r>
              <w:rPr>
                <w:rFonts w:hint="eastAsia" w:ascii="等线" w:hAnsi="等线" w:eastAsia="等线" w:cs="等线"/>
                <w:b/>
                <w:bCs/>
                <w:i w:val="0"/>
                <w:iCs w:val="0"/>
                <w:color w:val="000000"/>
                <w:kern w:val="0"/>
                <w:sz w:val="21"/>
                <w:szCs w:val="21"/>
                <w:u w:val="none"/>
                <w:lang w:val="en-US" w:eastAsia="zh-CN" w:bidi="ar"/>
              </w:rPr>
              <w:t>序号2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C6C810">
            <w:pPr>
              <w:keepNext w:val="0"/>
              <w:keepLines w:val="0"/>
              <w:widowControl/>
              <w:suppressLineNumbers w:val="0"/>
              <w:jc w:val="center"/>
              <w:textAlignment w:val="center"/>
              <w:rPr>
                <w:rFonts w:hint="eastAsia" w:ascii="等线" w:hAnsi="等线" w:eastAsia="等线" w:cs="等线"/>
                <w:b/>
                <w:bCs/>
                <w:i w:val="0"/>
                <w:iCs w:val="0"/>
                <w:color w:val="000000"/>
                <w:sz w:val="21"/>
                <w:szCs w:val="21"/>
                <w:u w:val="none"/>
              </w:rPr>
            </w:pPr>
            <w:r>
              <w:rPr>
                <w:rFonts w:hint="eastAsia" w:ascii="等线" w:hAnsi="等线" w:eastAsia="等线" w:cs="等线"/>
                <w:b/>
                <w:bCs/>
                <w:i w:val="0"/>
                <w:iCs w:val="0"/>
                <w:color w:val="000000"/>
                <w:kern w:val="0"/>
                <w:sz w:val="21"/>
                <w:szCs w:val="21"/>
                <w:u w:val="none"/>
                <w:lang w:val="en-US" w:eastAsia="zh-CN" w:bidi="ar"/>
              </w:rPr>
              <w:t>技术指标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96108F">
            <w:pPr>
              <w:keepNext w:val="0"/>
              <w:keepLines w:val="0"/>
              <w:widowControl/>
              <w:suppressLineNumbers w:val="0"/>
              <w:jc w:val="center"/>
              <w:textAlignment w:val="center"/>
              <w:rPr>
                <w:rFonts w:hint="eastAsia" w:ascii="等线" w:hAnsi="等线" w:eastAsia="等线" w:cs="等线"/>
                <w:b/>
                <w:bCs/>
                <w:i w:val="0"/>
                <w:iCs w:val="0"/>
                <w:color w:val="000000"/>
                <w:sz w:val="21"/>
                <w:szCs w:val="21"/>
                <w:u w:val="none"/>
              </w:rPr>
            </w:pPr>
            <w:r>
              <w:rPr>
                <w:rFonts w:hint="eastAsia" w:ascii="等线" w:hAnsi="等线" w:eastAsia="等线" w:cs="等线"/>
                <w:b/>
                <w:bCs/>
                <w:i w:val="0"/>
                <w:iCs w:val="0"/>
                <w:color w:val="000000"/>
                <w:kern w:val="0"/>
                <w:sz w:val="21"/>
                <w:szCs w:val="21"/>
                <w:u w:val="none"/>
                <w:lang w:val="en-US" w:eastAsia="zh-CN" w:bidi="ar"/>
              </w:rPr>
              <w:t>序号3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828679">
            <w:pPr>
              <w:keepNext w:val="0"/>
              <w:keepLines w:val="0"/>
              <w:widowControl/>
              <w:suppressLineNumbers w:val="0"/>
              <w:jc w:val="center"/>
              <w:textAlignment w:val="center"/>
              <w:rPr>
                <w:rFonts w:hint="eastAsia" w:ascii="等线" w:hAnsi="等线" w:eastAsia="等线" w:cs="等线"/>
                <w:b/>
                <w:bCs/>
                <w:i w:val="0"/>
                <w:iCs w:val="0"/>
                <w:color w:val="000000"/>
                <w:sz w:val="21"/>
                <w:szCs w:val="21"/>
                <w:u w:val="none"/>
              </w:rPr>
            </w:pPr>
            <w:r>
              <w:rPr>
                <w:rFonts w:hint="eastAsia" w:ascii="等线" w:hAnsi="等线" w:eastAsia="等线" w:cs="等线"/>
                <w:b/>
                <w:bCs/>
                <w:i w:val="0"/>
                <w:iCs w:val="0"/>
                <w:color w:val="000000"/>
                <w:kern w:val="0"/>
                <w:sz w:val="21"/>
                <w:szCs w:val="21"/>
                <w:u w:val="none"/>
                <w:lang w:val="en-US" w:eastAsia="zh-CN" w:bidi="ar"/>
              </w:rPr>
              <w:t>技术指标测试要点</w:t>
            </w:r>
          </w:p>
        </w:tc>
      </w:tr>
      <w:tr w14:paraId="1239A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509BD4">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w:t>
            </w:r>
          </w:p>
        </w:tc>
        <w:tc>
          <w:tcPr>
            <w:tcW w:w="0" w:type="auto"/>
            <w:vMerge w:val="restart"/>
            <w:tcBorders>
              <w:top w:val="single" w:color="000000" w:sz="4" w:space="0"/>
              <w:left w:val="single" w:color="000000" w:sz="4" w:space="0"/>
              <w:bottom w:val="nil"/>
              <w:right w:val="single" w:color="000000" w:sz="4" w:space="0"/>
            </w:tcBorders>
            <w:shd w:val="clear" w:color="auto" w:fill="auto"/>
            <w:vAlign w:val="center"/>
          </w:tcPr>
          <w:p w14:paraId="7B4F7C9A">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抗量子加密机</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4E39EF">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E7554">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硬件参数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2DB3A5">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8BBA99">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网口：至少支持2个千兆电口</w:t>
            </w:r>
          </w:p>
        </w:tc>
      </w:tr>
      <w:tr w14:paraId="63E9A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43F552">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21E7E0B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349580">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CBB55">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F08D21">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E7BB37">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配备支持SM2、RSA算法的加密卡</w:t>
            </w:r>
          </w:p>
        </w:tc>
      </w:tr>
      <w:tr w14:paraId="68E75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4979C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6787E51E">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DAE843">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F4B0B">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DC8FE4">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48118B">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CPU≥8核，内存≥16G，硬盘≥200G</w:t>
            </w:r>
          </w:p>
        </w:tc>
      </w:tr>
      <w:tr w14:paraId="7D36D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5C2975">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288221B0">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24401B3">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0F1C5">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技术参数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782C56">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C69F6A">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支持后量子密码算法，至少三种以上</w:t>
            </w:r>
          </w:p>
        </w:tc>
      </w:tr>
      <w:tr w14:paraId="23476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4C6E8C">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720ECB3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A1857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BDFB8">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1C4D5E">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0AFFD0">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支持SM4等常见对称密码算法，至少两种以上</w:t>
            </w:r>
          </w:p>
        </w:tc>
      </w:tr>
      <w:tr w14:paraId="29257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133023">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587605EE">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3800E4">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78889">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E0DC5E">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619E9A">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支持基于抗量子算法、SM2等密码算法的非对称、数字信封加密解密</w:t>
            </w:r>
          </w:p>
        </w:tc>
      </w:tr>
      <w:tr w14:paraId="59E31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B59BB7">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499B356B">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804740">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5B418">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0166F5">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7580D4">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支持基于抗量子算法、SM2等密码算法的数字签名、验签</w:t>
            </w:r>
          </w:p>
        </w:tc>
      </w:tr>
      <w:tr w14:paraId="60B28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04855A">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07A82E9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92CB14">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DB896">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55EAEC">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EDCDBC">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支持基于SM4等算法的MAC产生及验证</w:t>
            </w:r>
          </w:p>
        </w:tc>
      </w:tr>
      <w:tr w14:paraId="3E2C9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17638D">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273F185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FA1E10">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7BEE8">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879112">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3920AD">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支持SM3、SHA256等杂凑算法</w:t>
            </w:r>
          </w:p>
        </w:tc>
      </w:tr>
      <w:tr w14:paraId="27A2F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50BD07">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3292CD96">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98CFD3">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E9889">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54179F">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64F929">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支持SM2、RSA等常见非对称密码算法</w:t>
            </w:r>
          </w:p>
        </w:tc>
      </w:tr>
      <w:tr w14:paraId="0EFD1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FE607D">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256B8EF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3C4AB2">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C6066">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22DBF0">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F619FD">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支持三级密钥管理体系</w:t>
            </w:r>
          </w:p>
        </w:tc>
      </w:tr>
      <w:tr w14:paraId="12982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A90F49">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79251A64">
            <w:pPr>
              <w:jc w:val="center"/>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F89327">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30B05">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性能参数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BFA40D">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0BCF03">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抗量子算法加密≥2000TPS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抗量子算法解密≥2000TPS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抗量子算法签名≥2000TPS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抗量子算法验签≥2000TPS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SM2算法加密≥10000TPS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SM2算法解密≥10000TPS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SM2算法签名≥10000TPS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SM2算法验签≥10000TPS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SM3算法摘要运算≥400Mbps</w:t>
            </w:r>
            <w:r>
              <w:rPr>
                <w:rFonts w:hint="eastAsia" w:ascii="等线" w:hAnsi="等线" w:eastAsia="等线" w:cs="等线"/>
                <w:i w:val="0"/>
                <w:iCs w:val="0"/>
                <w:color w:val="000000"/>
                <w:kern w:val="0"/>
                <w:sz w:val="19"/>
                <w:szCs w:val="19"/>
                <w:u w:val="none"/>
                <w:lang w:val="en-US" w:eastAsia="zh-CN" w:bidi="ar"/>
              </w:rPr>
              <w:br w:type="textWrapping"/>
            </w:r>
            <w:r>
              <w:rPr>
                <w:rFonts w:hint="eastAsia" w:ascii="等线" w:hAnsi="等线" w:eastAsia="等线" w:cs="等线"/>
                <w:i w:val="0"/>
                <w:iCs w:val="0"/>
                <w:color w:val="000000"/>
                <w:kern w:val="0"/>
                <w:sz w:val="19"/>
                <w:szCs w:val="19"/>
                <w:u w:val="none"/>
                <w:lang w:val="en-US" w:eastAsia="zh-CN" w:bidi="ar"/>
              </w:rPr>
              <w:t>SM4算法加解密≥400Mbps</w:t>
            </w:r>
          </w:p>
        </w:tc>
      </w:tr>
      <w:tr w14:paraId="04627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ACE1B2">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2D5D514F">
            <w:pPr>
              <w:jc w:val="center"/>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826039">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696C2">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开发集成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39ED67">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CACA19">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支持Java、C等主流开发语言</w:t>
            </w:r>
          </w:p>
        </w:tc>
      </w:tr>
      <w:tr w14:paraId="3DF7E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C591A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6A896D31">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6BA8C1">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1.5</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CBA73">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密钥管理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B4BAFF">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4DD9CB">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提供密钥安全生成、存储、使用及销毁功能</w:t>
            </w:r>
          </w:p>
        </w:tc>
      </w:tr>
      <w:tr w14:paraId="02FC5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1BC055">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64DB1F0C">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2D6AC2">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EFF0F">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4230F8">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92041F">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支持密钥的备份和恢复功能，保障系统的安全性和可靠性</w:t>
            </w:r>
          </w:p>
        </w:tc>
      </w:tr>
      <w:tr w14:paraId="2F2C0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A6444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322CCD50">
            <w:pPr>
              <w:jc w:val="center"/>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932210">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FD983">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白名单控制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ABC479">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7F009F">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支持白名单设置，实现密码机对应用服务器的授权认证，提高系统的安全</w:t>
            </w:r>
          </w:p>
        </w:tc>
      </w:tr>
      <w:tr w14:paraId="3CBB7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6CB3B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033EE5B1">
            <w:pPr>
              <w:jc w:val="center"/>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26C7A7">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D003F">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报文加解密功能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2D8E6D">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489A9E">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支持对接APP与服务端抗量子报文加解密模块，使用加密机的加解密、随机数生成等功能，实现APP客户端与服务端之间的报文加解密</w:t>
            </w:r>
          </w:p>
        </w:tc>
      </w:tr>
      <w:tr w14:paraId="62773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FB6596">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14:paraId="304CC2A0">
            <w:pPr>
              <w:jc w:val="center"/>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FFE5EA">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D0086">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设备监控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48BD4D">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5D7E3D">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支持监控设备运行状态，包括系统运行状态、网络接口情况，磁盘、内存、CPU占用情况等</w:t>
            </w:r>
          </w:p>
        </w:tc>
      </w:tr>
      <w:tr w14:paraId="03195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BABCF0">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4D3CFBE">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APP与服务端抗量子报文加解密模块</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0BC0D42">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9929E">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算法要求</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C13893">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993F19">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客户端和服务端均支持常用的抗量子算法，至少3种以上</w:t>
            </w:r>
          </w:p>
        </w:tc>
      </w:tr>
      <w:tr w14:paraId="2904C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87A39D">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1DD184">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76FCC9">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51314">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D0009A">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FAC2FB">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客户端和服务端均支持使用SM4国密算法作为会话协商的对称密钥，对报文进行混合加密（国密算法+抗量子算法）</w:t>
            </w:r>
          </w:p>
        </w:tc>
      </w:tr>
      <w:tr w14:paraId="524E7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E0C6EB">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861FA2">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04BF16">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2.2</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1FB4A3">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接口设计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32AF4B">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90C4C5">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提供标准化 API,提供接口文档，无需二次封装：</w:t>
            </w:r>
          </w:p>
        </w:tc>
      </w:tr>
      <w:tr w14:paraId="02D4B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8B4C7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7B9AA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4FC13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653452">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4840D6">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CD4E9B">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提供成熟的产品接口，例如：初始化,生成随机数，生成密钥, 签名, 校验等方法单独或组合进行直接调用。</w:t>
            </w:r>
          </w:p>
        </w:tc>
      </w:tr>
      <w:tr w14:paraId="27891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6BACD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33A684">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0D0A2B">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C8BEC7">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功能需求</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BF8516">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3B4176">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建立会话前，客户端须发送请求向服务端进行密钥协商，协商过程支持使用抗量子加密算法对会话密钥进行密钥加密。建立会话后，支持对所有报文（客户端向服务端发送的报文，以及服务端向客户端响应的报文）使用协商的对称密钥进行数据加密，防重放攻击。</w:t>
            </w:r>
          </w:p>
        </w:tc>
      </w:tr>
      <w:tr w14:paraId="2B964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825BCE">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B4A542">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49358B">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5366D1">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27FEB1">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8E15B3">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提供报文加解密的时序图</w:t>
            </w:r>
          </w:p>
        </w:tc>
      </w:tr>
      <w:tr w14:paraId="5425B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357525">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849AF6">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784FA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311EEA">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F3DCC7">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F335E3">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客户端应提供会话密钥协商、抗量子加解密功能，提供app客户端的sdk，以及示例代码，对接文档</w:t>
            </w:r>
          </w:p>
        </w:tc>
      </w:tr>
      <w:tr w14:paraId="5B4B0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F4132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D83A83">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0D11B5">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79F5BE">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3EC893">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A2C7CB">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服务端应提供会话密钥协商、抗量子加解密功能，服务端可通过sdk独立实现该功能，也支持调用抗量子加密机实现。提供服务端的sdk或者应用程序，以及示例代码，对接文档</w:t>
            </w:r>
          </w:p>
        </w:tc>
      </w:tr>
      <w:tr w14:paraId="2AEA8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1FB47A">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C4E55D">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25CF0B">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AF6FEA">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错误处理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2BFE13">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3E9A3D">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返回明确错误码，有明确的错误码对照表，描述或建议处理逻辑</w:t>
            </w:r>
          </w:p>
        </w:tc>
      </w:tr>
      <w:tr w14:paraId="09DD3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7A7825">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4A16F6">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837FD3">
            <w:pPr>
              <w:jc w:val="center"/>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70E656">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客户端性能要求</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0A2830">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EF101F">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 xml:space="preserve">Android、iOS中，集成后不能卡顿，密钥产生，加解密耗时&lt;100ms </w:t>
            </w:r>
          </w:p>
        </w:tc>
      </w:tr>
      <w:tr w14:paraId="427F6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5014C9">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741CB9">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79C19BF">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2.5</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2D312A0">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环境要求</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522AD3">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2.5.1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879392">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客户端SDK支持 Android8.0及以上、iOS14.0及以上</w:t>
            </w:r>
          </w:p>
        </w:tc>
      </w:tr>
      <w:tr w14:paraId="51850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9A0D0E">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BAF9CC">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246A14">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B3C86C">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605A51">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2.5.2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50AC2F">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服务端SDK或者应用程序支持window，主流Linux操作系统</w:t>
            </w:r>
          </w:p>
        </w:tc>
      </w:tr>
      <w:tr w14:paraId="328B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B05983">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86295C">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6EEE7B">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9FA0A8">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Java并发能力和性能指标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F01DC7">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2.6.1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228401">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Java后台集成服务端SDK线程安全</w:t>
            </w:r>
          </w:p>
        </w:tc>
      </w:tr>
      <w:tr w14:paraId="16693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0660AE">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5FA683">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C54F83">
            <w:pPr>
              <w:jc w:val="center"/>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B823D0">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安全需求</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CD0151">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ED9F3C">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具备自身安全防控能力，具备抵抗静态与动态分析等能力</w:t>
            </w:r>
          </w:p>
        </w:tc>
      </w:tr>
      <w:tr w14:paraId="3AE3C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BA25FD">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4D0555">
            <w:pPr>
              <w:jc w:val="center"/>
              <w:rPr>
                <w:rFonts w:hint="eastAsia" w:ascii="等线" w:hAnsi="等线" w:eastAsia="等线" w:cs="等线"/>
                <w:i w:val="0"/>
                <w:iCs w:val="0"/>
                <w:color w:val="000000"/>
                <w:sz w:val="21"/>
                <w:szCs w:val="21"/>
                <w:u w:val="none"/>
              </w:rPr>
            </w:pPr>
          </w:p>
        </w:tc>
        <w:tc>
          <w:tcPr>
            <w:tcW w:w="0" w:type="auto"/>
            <w:tcBorders>
              <w:top w:val="nil"/>
              <w:left w:val="nil"/>
              <w:bottom w:val="nil"/>
              <w:right w:val="nil"/>
            </w:tcBorders>
            <w:shd w:val="clear" w:color="auto" w:fill="auto"/>
            <w:noWrap/>
            <w:vAlign w:val="center"/>
          </w:tcPr>
          <w:p w14:paraId="0F71697E">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A76036">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统计能力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1A0294">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2.7.1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E41FFE">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具备管理端，统计不同渠道服务端的调用量</w:t>
            </w:r>
          </w:p>
        </w:tc>
      </w:tr>
      <w:tr w14:paraId="1360E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71F8F4">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BA541C">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CEB1E2">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2.8</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0ECD90">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产品集成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238C52">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2.8.1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1E40B1">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客户端支持Android、iOS原生APP集成，支持js，支持接入webview</w:t>
            </w:r>
          </w:p>
        </w:tc>
      </w:tr>
      <w:tr w14:paraId="2E8A6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00D40D">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F9F2E6">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BF40AA">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77BB71">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4A7776">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2.8.2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39B432">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服务端支持Java、C开发语言</w:t>
            </w:r>
          </w:p>
        </w:tc>
      </w:tr>
      <w:tr w14:paraId="53A90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68309E">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9B705F">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00828B">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ED4246">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A02920">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2.8.3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57B2F0">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支持鸿蒙版本APP扩展能力，后续甲方鸿蒙版本APP集成需求时,可供后续再次采购</w:t>
            </w:r>
          </w:p>
        </w:tc>
      </w:tr>
      <w:tr w14:paraId="5F2DA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6AA49D">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4C03E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5CBF46">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F9352E">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9B4BD2">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2.8.4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810D1F">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支持服务端到服务端的抗量子报文加解密集成。例如：支持JAVA服务端作为客户端发起调用</w:t>
            </w:r>
          </w:p>
        </w:tc>
      </w:tr>
      <w:tr w14:paraId="3209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0D9AD6">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720F1D">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ADDF54">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EA5FB66">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日志管理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6020ED">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2.9.1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463C09">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输出标准化日志（包含时间，方法，响应码）</w:t>
            </w:r>
          </w:p>
        </w:tc>
      </w:tr>
      <w:tr w14:paraId="1ADD3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99EAA4">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2C8D4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F6C64B">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DA11B0">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F4F91B">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D325C1">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支持配置日志输出级别，常见的debug，info，error</w:t>
            </w:r>
          </w:p>
        </w:tc>
      </w:tr>
      <w:tr w14:paraId="1E75F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3A4971">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6B0750">
            <w:pPr>
              <w:jc w:val="center"/>
              <w:rPr>
                <w:rFonts w:hint="eastAsia" w:ascii="等线" w:hAnsi="等线" w:eastAsia="等线" w:cs="等线"/>
                <w:i w:val="0"/>
                <w:iCs w:val="0"/>
                <w:color w:val="000000"/>
                <w:sz w:val="21"/>
                <w:szCs w:val="21"/>
                <w:u w:val="none"/>
              </w:rPr>
            </w:pPr>
          </w:p>
        </w:tc>
        <w:tc>
          <w:tcPr>
            <w:tcW w:w="0" w:type="auto"/>
            <w:vMerge w:val="restart"/>
            <w:tcBorders>
              <w:top w:val="single" w:color="000000" w:sz="4" w:space="0"/>
              <w:left w:val="single" w:color="000000" w:sz="4" w:space="0"/>
              <w:right w:val="single" w:color="000000" w:sz="4" w:space="0"/>
            </w:tcBorders>
            <w:shd w:val="clear" w:color="auto" w:fill="auto"/>
            <w:vAlign w:val="center"/>
          </w:tcPr>
          <w:p w14:paraId="7672DCE3">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2.10</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4FC839">
            <w:pPr>
              <w:keepNext w:val="0"/>
              <w:keepLines w:val="0"/>
              <w:widowControl/>
              <w:suppressLineNumbers w:val="0"/>
              <w:jc w:val="left"/>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加密机支持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3E212B">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2.10.1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C4E222">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支持适配抗量子加密机，引入抗量子加密机做加密解密</w:t>
            </w:r>
          </w:p>
        </w:tc>
      </w:tr>
      <w:tr w14:paraId="1E70A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B804BB">
            <w:pPr>
              <w:jc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C5EBBC">
            <w:pPr>
              <w:jc w:val="center"/>
              <w:rPr>
                <w:rFonts w:hint="eastAsia" w:ascii="等线" w:hAnsi="等线" w:eastAsia="等线" w:cs="等线"/>
                <w:i w:val="0"/>
                <w:iCs w:val="0"/>
                <w:color w:val="000000"/>
                <w:sz w:val="21"/>
                <w:szCs w:val="21"/>
                <w:u w:val="none"/>
              </w:rPr>
            </w:pPr>
          </w:p>
        </w:tc>
        <w:tc>
          <w:tcPr>
            <w:tcW w:w="0" w:type="auto"/>
            <w:vMerge w:val="continue"/>
            <w:tcBorders>
              <w:left w:val="single" w:color="000000" w:sz="4" w:space="0"/>
              <w:bottom w:val="single" w:color="000000" w:sz="4" w:space="0"/>
              <w:right w:val="single" w:color="000000" w:sz="4" w:space="0"/>
            </w:tcBorders>
            <w:shd w:val="clear" w:color="auto" w:fill="auto"/>
            <w:vAlign w:val="center"/>
          </w:tcPr>
          <w:p w14:paraId="4A779A2E">
            <w:pPr>
              <w:keepNext w:val="0"/>
              <w:keepLines w:val="0"/>
              <w:widowControl/>
              <w:suppressLineNumbers w:val="0"/>
              <w:jc w:val="center"/>
              <w:textAlignment w:val="center"/>
              <w:rPr>
                <w:rFonts w:hint="eastAsia" w:ascii="等线" w:hAnsi="等线" w:eastAsia="等线" w:cs="等线"/>
                <w:i w:val="0"/>
                <w:iCs w:val="0"/>
                <w:color w:val="000000"/>
                <w:sz w:val="21"/>
                <w:szCs w:val="21"/>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440057">
            <w:pPr>
              <w:jc w:val="left"/>
              <w:rPr>
                <w:rFonts w:hint="eastAsia" w:ascii="等线" w:hAnsi="等线" w:eastAsia="等线" w:cs="等线"/>
                <w:i w:val="0"/>
                <w:iCs w:val="0"/>
                <w:color w:val="000000"/>
                <w:sz w:val="21"/>
                <w:szCs w:val="21"/>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AEDA23">
            <w:pPr>
              <w:keepNext w:val="0"/>
              <w:keepLines w:val="0"/>
              <w:widowControl/>
              <w:suppressLineNumbers w:val="0"/>
              <w:jc w:val="center"/>
              <w:textAlignment w:val="center"/>
              <w:rPr>
                <w:rFonts w:hint="default" w:ascii="等线" w:hAnsi="等线" w:eastAsia="等线" w:cs="等线"/>
                <w:i w:val="0"/>
                <w:iCs w:val="0"/>
                <w:color w:val="000000"/>
                <w:sz w:val="21"/>
                <w:szCs w:val="21"/>
                <w:u w:val="none"/>
                <w:lang w:val="en-US"/>
              </w:rPr>
            </w:pPr>
            <w:r>
              <w:rPr>
                <w:rFonts w:hint="eastAsia" w:ascii="等线" w:hAnsi="等线" w:eastAsia="等线" w:cs="等线"/>
                <w:i w:val="0"/>
                <w:iCs w:val="0"/>
                <w:color w:val="000000"/>
                <w:kern w:val="0"/>
                <w:sz w:val="21"/>
                <w:szCs w:val="21"/>
                <w:u w:val="none"/>
                <w:lang w:val="en-US" w:eastAsia="zh-CN" w:bidi="ar"/>
              </w:rPr>
              <w:t>2.10.2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871EE5">
            <w:pPr>
              <w:keepNext w:val="0"/>
              <w:keepLines w:val="0"/>
              <w:widowControl/>
              <w:suppressLineNumbers w:val="0"/>
              <w:jc w:val="left"/>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lang w:val="en-US" w:eastAsia="zh-CN" w:bidi="ar"/>
              </w:rPr>
              <w:t>支持调用抗量子加密机产生随机数，用于报文加解密</w:t>
            </w:r>
          </w:p>
        </w:tc>
      </w:tr>
    </w:tbl>
    <w:p w14:paraId="7201B481">
      <w:pPr>
        <w:pStyle w:val="21"/>
        <w:numPr>
          <w:ilvl w:val="0"/>
          <w:numId w:val="0"/>
        </w:numPr>
        <w:spacing w:line="360" w:lineRule="auto"/>
        <w:ind w:leftChars="0"/>
        <w:rPr>
          <w:rFonts w:hint="eastAsia" w:ascii="仿宋" w:hAnsi="仿宋" w:eastAsia="仿宋" w:cs="仿宋"/>
          <w:sz w:val="24"/>
          <w:szCs w:val="28"/>
        </w:rPr>
      </w:pPr>
    </w:p>
    <w:p w14:paraId="76014F46">
      <w:pPr>
        <w:pStyle w:val="21"/>
        <w:numPr>
          <w:ilvl w:val="0"/>
          <w:numId w:val="0"/>
        </w:numPr>
        <w:spacing w:line="360" w:lineRule="auto"/>
        <w:ind w:leftChars="0"/>
        <w:rPr>
          <w:rFonts w:hint="eastAsia" w:ascii="仿宋" w:hAnsi="仿宋" w:eastAsia="仿宋" w:cs="仿宋"/>
          <w:sz w:val="24"/>
          <w:szCs w:val="28"/>
        </w:rPr>
      </w:pPr>
    </w:p>
    <w:p w14:paraId="238BEAAD">
      <w:pPr>
        <w:pStyle w:val="21"/>
        <w:numPr>
          <w:ilvl w:val="0"/>
          <w:numId w:val="0"/>
        </w:numPr>
        <w:spacing w:line="360" w:lineRule="auto"/>
        <w:ind w:leftChars="0"/>
        <w:rPr>
          <w:rFonts w:hint="eastAsia" w:ascii="仿宋" w:hAnsi="仿宋" w:eastAsia="仿宋" w:cs="仿宋"/>
          <w:sz w:val="24"/>
          <w:szCs w:val="28"/>
        </w:rPr>
      </w:pPr>
    </w:p>
    <w:sectPr>
      <w:headerReference r:id="rId3"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创艺简仿宋">
    <w:altName w:val="微软雅黑"/>
    <w:panose1 w:val="00000000000000000000"/>
    <w:charset w:val="86"/>
    <w:family w:val="auto"/>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75C92">
    <w:pPr>
      <w:pStyle w:val="10"/>
      <w:jc w:val="right"/>
      <w:rPr>
        <w:rFonts w:hint="default" w:eastAsiaTheme="minorEastAsia"/>
        <w:color w:val="A6A6A6" w:themeColor="background1" w:themeShade="A6"/>
        <w:lang w:val="en-US" w:eastAsia="zh-CN"/>
      </w:rPr>
    </w:pPr>
    <w:r>
      <w:rPr>
        <w:rFonts w:hint="eastAsia"/>
        <w:color w:val="A6A6A6" w:themeColor="background1" w:themeShade="A6"/>
        <w:lang w:val="en-US" w:eastAsia="zh-CN"/>
      </w:rPr>
      <w:t>V.2025.1.0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3C139"/>
    <w:multiLevelType w:val="singleLevel"/>
    <w:tmpl w:val="8BD3C139"/>
    <w:lvl w:ilvl="0" w:tentative="0">
      <w:start w:val="1"/>
      <w:numFmt w:val="chineseCounting"/>
      <w:suff w:val="nothing"/>
      <w:lvlText w:val="%1、"/>
      <w:lvlJc w:val="left"/>
      <w:pPr>
        <w:ind w:left="0" w:firstLine="420"/>
      </w:pPr>
      <w:rPr>
        <w:rFonts w:hint="eastAsia"/>
      </w:rPr>
    </w:lvl>
  </w:abstractNum>
  <w:abstractNum w:abstractNumId="1">
    <w:nsid w:val="CCDB37CC"/>
    <w:multiLevelType w:val="singleLevel"/>
    <w:tmpl w:val="CCDB37CC"/>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jMWEzOGY5MDRhYjA0NTMxOGU0YzgzODk5YjNkNDYifQ=="/>
  </w:docVars>
  <w:rsids>
    <w:rsidRoot w:val="009A79CA"/>
    <w:rsid w:val="0002016F"/>
    <w:rsid w:val="0006745D"/>
    <w:rsid w:val="00110B9B"/>
    <w:rsid w:val="00174DBB"/>
    <w:rsid w:val="00174DF9"/>
    <w:rsid w:val="00175AAB"/>
    <w:rsid w:val="001F58C9"/>
    <w:rsid w:val="001F5C9A"/>
    <w:rsid w:val="00205AC7"/>
    <w:rsid w:val="0025295D"/>
    <w:rsid w:val="002731BD"/>
    <w:rsid w:val="002849F6"/>
    <w:rsid w:val="002E0503"/>
    <w:rsid w:val="002E2301"/>
    <w:rsid w:val="00337A5F"/>
    <w:rsid w:val="003962FD"/>
    <w:rsid w:val="003A59A5"/>
    <w:rsid w:val="003D0D06"/>
    <w:rsid w:val="003E2F23"/>
    <w:rsid w:val="0047419D"/>
    <w:rsid w:val="00482A2C"/>
    <w:rsid w:val="00486AA9"/>
    <w:rsid w:val="004917EA"/>
    <w:rsid w:val="004E2667"/>
    <w:rsid w:val="00504B84"/>
    <w:rsid w:val="00555084"/>
    <w:rsid w:val="0056256B"/>
    <w:rsid w:val="005A0371"/>
    <w:rsid w:val="005C34B3"/>
    <w:rsid w:val="005D4930"/>
    <w:rsid w:val="005D5680"/>
    <w:rsid w:val="005E1B00"/>
    <w:rsid w:val="0061372E"/>
    <w:rsid w:val="00624E3E"/>
    <w:rsid w:val="00646FC3"/>
    <w:rsid w:val="0065248B"/>
    <w:rsid w:val="006E45B1"/>
    <w:rsid w:val="006E72E1"/>
    <w:rsid w:val="007303CF"/>
    <w:rsid w:val="0074410C"/>
    <w:rsid w:val="00750193"/>
    <w:rsid w:val="00774F50"/>
    <w:rsid w:val="00784583"/>
    <w:rsid w:val="007A759C"/>
    <w:rsid w:val="007B3830"/>
    <w:rsid w:val="008042BC"/>
    <w:rsid w:val="00805D88"/>
    <w:rsid w:val="008102E9"/>
    <w:rsid w:val="00843A3C"/>
    <w:rsid w:val="008519CE"/>
    <w:rsid w:val="008603B7"/>
    <w:rsid w:val="00896794"/>
    <w:rsid w:val="008B0FA1"/>
    <w:rsid w:val="008B74D7"/>
    <w:rsid w:val="008C642A"/>
    <w:rsid w:val="00905FE7"/>
    <w:rsid w:val="009161B9"/>
    <w:rsid w:val="00934F53"/>
    <w:rsid w:val="00964C76"/>
    <w:rsid w:val="0097348D"/>
    <w:rsid w:val="00981723"/>
    <w:rsid w:val="009A79CA"/>
    <w:rsid w:val="009D7A82"/>
    <w:rsid w:val="009E7DD7"/>
    <w:rsid w:val="00A7689C"/>
    <w:rsid w:val="00AB1621"/>
    <w:rsid w:val="00AB1914"/>
    <w:rsid w:val="00B2518F"/>
    <w:rsid w:val="00B262E2"/>
    <w:rsid w:val="00B912BF"/>
    <w:rsid w:val="00BC1CFB"/>
    <w:rsid w:val="00C00166"/>
    <w:rsid w:val="00C151E0"/>
    <w:rsid w:val="00C214D9"/>
    <w:rsid w:val="00C22358"/>
    <w:rsid w:val="00C24041"/>
    <w:rsid w:val="00C355C7"/>
    <w:rsid w:val="00C91789"/>
    <w:rsid w:val="00CC6B77"/>
    <w:rsid w:val="00CC727C"/>
    <w:rsid w:val="00CD12EF"/>
    <w:rsid w:val="00D0781C"/>
    <w:rsid w:val="00D14D7A"/>
    <w:rsid w:val="00D86AA0"/>
    <w:rsid w:val="00D9181E"/>
    <w:rsid w:val="00DA13EB"/>
    <w:rsid w:val="00DB20A8"/>
    <w:rsid w:val="00DB2D82"/>
    <w:rsid w:val="00DD2393"/>
    <w:rsid w:val="00DE33FE"/>
    <w:rsid w:val="00E06483"/>
    <w:rsid w:val="00E164AB"/>
    <w:rsid w:val="00E305A5"/>
    <w:rsid w:val="00E3237A"/>
    <w:rsid w:val="00E56D0B"/>
    <w:rsid w:val="00ED5594"/>
    <w:rsid w:val="00EE2F9F"/>
    <w:rsid w:val="00EF20AB"/>
    <w:rsid w:val="00F56CCF"/>
    <w:rsid w:val="00FB43E6"/>
    <w:rsid w:val="00FD286A"/>
    <w:rsid w:val="00FE3BB1"/>
    <w:rsid w:val="00FE5A0A"/>
    <w:rsid w:val="01C537D5"/>
    <w:rsid w:val="02D05825"/>
    <w:rsid w:val="0427498E"/>
    <w:rsid w:val="05416141"/>
    <w:rsid w:val="0583702B"/>
    <w:rsid w:val="0C031E54"/>
    <w:rsid w:val="0FDF47A4"/>
    <w:rsid w:val="10A6641D"/>
    <w:rsid w:val="14B63192"/>
    <w:rsid w:val="164F224C"/>
    <w:rsid w:val="169E6F08"/>
    <w:rsid w:val="1A0A60E9"/>
    <w:rsid w:val="1A2F18F5"/>
    <w:rsid w:val="1A862638"/>
    <w:rsid w:val="1FC27C6F"/>
    <w:rsid w:val="20EC595F"/>
    <w:rsid w:val="256E1C06"/>
    <w:rsid w:val="2AD92A75"/>
    <w:rsid w:val="2B030083"/>
    <w:rsid w:val="2B7060E0"/>
    <w:rsid w:val="2C4E15D9"/>
    <w:rsid w:val="2CF53A5A"/>
    <w:rsid w:val="2DFE3DA8"/>
    <w:rsid w:val="2F251E3B"/>
    <w:rsid w:val="2F5844CE"/>
    <w:rsid w:val="31BB21BA"/>
    <w:rsid w:val="33E224F3"/>
    <w:rsid w:val="340A12E9"/>
    <w:rsid w:val="348558FB"/>
    <w:rsid w:val="39F51D27"/>
    <w:rsid w:val="3CB91750"/>
    <w:rsid w:val="420A5691"/>
    <w:rsid w:val="43FB07D6"/>
    <w:rsid w:val="47B6068F"/>
    <w:rsid w:val="4D510618"/>
    <w:rsid w:val="53747EB0"/>
    <w:rsid w:val="5438471C"/>
    <w:rsid w:val="588B2C30"/>
    <w:rsid w:val="5958591C"/>
    <w:rsid w:val="5D344780"/>
    <w:rsid w:val="66B94984"/>
    <w:rsid w:val="6DC700FD"/>
    <w:rsid w:val="77C90C27"/>
    <w:rsid w:val="78F92EFB"/>
    <w:rsid w:val="7D9F4FAC"/>
    <w:rsid w:val="7FC74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autoSpaceDE w:val="0"/>
      <w:autoSpaceDN w:val="0"/>
      <w:adjustRightInd w:val="0"/>
      <w:spacing w:after="120" w:line="312" w:lineRule="atLeast"/>
      <w:ind w:left="567" w:leftChars="136" w:hanging="281" w:hangingChars="117"/>
      <w:textAlignment w:val="baseline"/>
    </w:pPr>
    <w:rPr>
      <w:rFonts w:ascii="微软雅黑" w:hAnsi="微软雅黑" w:eastAsia="创艺简仿宋" w:cs="楷体_GB2312"/>
      <w:szCs w:val="20"/>
      <w:u w:val="single"/>
    </w:rPr>
  </w:style>
  <w:style w:type="paragraph" w:styleId="5">
    <w:name w:val="annotation text"/>
    <w:basedOn w:val="1"/>
    <w:link w:val="23"/>
    <w:semiHidden/>
    <w:unhideWhenUsed/>
    <w:qFormat/>
    <w:uiPriority w:val="99"/>
    <w:pPr>
      <w:jc w:val="left"/>
    </w:pPr>
  </w:style>
  <w:style w:type="paragraph" w:styleId="6">
    <w:name w:val="Body Text Indent"/>
    <w:basedOn w:val="1"/>
    <w:next w:val="7"/>
    <w:qFormat/>
    <w:uiPriority w:val="0"/>
    <w:pPr>
      <w:spacing w:after="120"/>
      <w:ind w:left="420" w:leftChars="200"/>
    </w:pPr>
  </w:style>
  <w:style w:type="paragraph" w:styleId="7">
    <w:name w:val="envelope return"/>
    <w:basedOn w:val="1"/>
    <w:qFormat/>
    <w:uiPriority w:val="0"/>
    <w:pPr>
      <w:topLinePunct/>
      <w:adjustRightInd w:val="0"/>
      <w:snapToGrid w:val="0"/>
      <w:spacing w:before="160" w:after="160" w:line="240" w:lineRule="atLeast"/>
      <w:ind w:left="1701" w:firstLine="480" w:firstLineChars="200"/>
    </w:pPr>
    <w:rPr>
      <w:rFonts w:hint="eastAsia" w:ascii="Arial" w:hAnsi="Arial" w:eastAsia="宋体" w:cs="Arial"/>
      <w:szCs w:val="21"/>
    </w:rPr>
  </w:style>
  <w:style w:type="paragraph" w:styleId="8">
    <w:name w:val="Balloon Text"/>
    <w:basedOn w:val="1"/>
    <w:link w:val="25"/>
    <w:semiHidden/>
    <w:unhideWhenUsed/>
    <w:qFormat/>
    <w:uiPriority w:val="99"/>
    <w:rPr>
      <w:sz w:val="18"/>
      <w:szCs w:val="18"/>
    </w:rPr>
  </w:style>
  <w:style w:type="paragraph" w:styleId="9">
    <w:name w:val="footer"/>
    <w:basedOn w:val="1"/>
    <w:link w:val="20"/>
    <w:unhideWhenUsed/>
    <w:qFormat/>
    <w:uiPriority w:val="99"/>
    <w:pPr>
      <w:tabs>
        <w:tab w:val="center" w:pos="4153"/>
        <w:tab w:val="right" w:pos="8306"/>
      </w:tabs>
      <w:snapToGrid w:val="0"/>
      <w:jc w:val="left"/>
    </w:pPr>
    <w:rPr>
      <w:sz w:val="18"/>
      <w:szCs w:val="18"/>
    </w:rPr>
  </w:style>
  <w:style w:type="paragraph" w:styleId="10">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annotation subject"/>
    <w:basedOn w:val="5"/>
    <w:next w:val="5"/>
    <w:link w:val="24"/>
    <w:semiHidden/>
    <w:unhideWhenUsed/>
    <w:qFormat/>
    <w:uiPriority w:val="99"/>
    <w:rPr>
      <w:b/>
      <w:bCs/>
    </w:rPr>
  </w:style>
  <w:style w:type="paragraph" w:styleId="12">
    <w:name w:val="Body Text First Indent 2"/>
    <w:basedOn w:val="6"/>
    <w:next w:val="1"/>
    <w:unhideWhenUsed/>
    <w:qFormat/>
    <w:uiPriority w:val="0"/>
    <w:pPr>
      <w:ind w:firstLine="420" w:firstLineChars="200"/>
    </w:pPr>
    <w:rPr>
      <w:rFonts w:ascii="Calibri" w:hAnsi="Calibri"/>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 w:type="character" w:styleId="17">
    <w:name w:val="annotation reference"/>
    <w:basedOn w:val="15"/>
    <w:semiHidden/>
    <w:unhideWhenUsed/>
    <w:qFormat/>
    <w:uiPriority w:val="99"/>
    <w:rPr>
      <w:sz w:val="21"/>
      <w:szCs w:val="21"/>
    </w:rPr>
  </w:style>
  <w:style w:type="character" w:customStyle="1" w:styleId="18">
    <w:name w:val="标题 2 Char"/>
    <w:basedOn w:val="15"/>
    <w:link w:val="4"/>
    <w:qFormat/>
    <w:uiPriority w:val="9"/>
    <w:rPr>
      <w:rFonts w:asciiTheme="majorHAnsi" w:hAnsiTheme="majorHAnsi" w:eastAsiaTheme="majorEastAsia" w:cstheme="majorBidi"/>
      <w:b/>
      <w:bCs/>
      <w:sz w:val="32"/>
      <w:szCs w:val="32"/>
    </w:rPr>
  </w:style>
  <w:style w:type="character" w:customStyle="1" w:styleId="19">
    <w:name w:val="页眉 Char"/>
    <w:basedOn w:val="15"/>
    <w:link w:val="10"/>
    <w:qFormat/>
    <w:uiPriority w:val="99"/>
    <w:rPr>
      <w:sz w:val="18"/>
      <w:szCs w:val="18"/>
    </w:rPr>
  </w:style>
  <w:style w:type="character" w:customStyle="1" w:styleId="20">
    <w:name w:val="页脚 Char"/>
    <w:basedOn w:val="15"/>
    <w:link w:val="9"/>
    <w:qFormat/>
    <w:uiPriority w:val="99"/>
    <w:rPr>
      <w:sz w:val="18"/>
      <w:szCs w:val="18"/>
    </w:rPr>
  </w:style>
  <w:style w:type="paragraph" w:styleId="21">
    <w:name w:val="List Paragraph"/>
    <w:basedOn w:val="1"/>
    <w:qFormat/>
    <w:uiPriority w:val="34"/>
    <w:pPr>
      <w:ind w:firstLine="420" w:firstLineChars="200"/>
    </w:pPr>
  </w:style>
  <w:style w:type="character" w:customStyle="1" w:styleId="22">
    <w:name w:val="标题 1 Char"/>
    <w:basedOn w:val="15"/>
    <w:link w:val="3"/>
    <w:qFormat/>
    <w:uiPriority w:val="9"/>
    <w:rPr>
      <w:b/>
      <w:bCs/>
      <w:kern w:val="44"/>
      <w:sz w:val="44"/>
      <w:szCs w:val="44"/>
    </w:rPr>
  </w:style>
  <w:style w:type="character" w:customStyle="1" w:styleId="23">
    <w:name w:val="批注文字 Char"/>
    <w:basedOn w:val="15"/>
    <w:link w:val="5"/>
    <w:semiHidden/>
    <w:qFormat/>
    <w:uiPriority w:val="99"/>
  </w:style>
  <w:style w:type="character" w:customStyle="1" w:styleId="24">
    <w:name w:val="批注主题 Char"/>
    <w:basedOn w:val="23"/>
    <w:link w:val="11"/>
    <w:semiHidden/>
    <w:qFormat/>
    <w:uiPriority w:val="99"/>
    <w:rPr>
      <w:b/>
      <w:bCs/>
    </w:rPr>
  </w:style>
  <w:style w:type="character" w:customStyle="1" w:styleId="25">
    <w:name w:val="批注框文本 Char"/>
    <w:basedOn w:val="15"/>
    <w:link w:val="8"/>
    <w:semiHidden/>
    <w:qFormat/>
    <w:uiPriority w:val="99"/>
    <w:rPr>
      <w:sz w:val="18"/>
      <w:szCs w:val="18"/>
    </w:rPr>
  </w:style>
  <w:style w:type="character" w:customStyle="1" w:styleId="26">
    <w:name w:val="font71"/>
    <w:basedOn w:val="15"/>
    <w:qFormat/>
    <w:uiPriority w:val="0"/>
    <w:rPr>
      <w:rFonts w:hint="eastAsia" w:ascii="楷体" w:hAnsi="楷体" w:eastAsia="楷体" w:cs="楷体"/>
      <w:b/>
      <w:bCs/>
      <w:color w:val="000000"/>
      <w:sz w:val="28"/>
      <w:szCs w:val="28"/>
      <w:u w:val="none"/>
    </w:rPr>
  </w:style>
  <w:style w:type="character" w:customStyle="1" w:styleId="27">
    <w:name w:val="font31"/>
    <w:basedOn w:val="15"/>
    <w:qFormat/>
    <w:uiPriority w:val="0"/>
    <w:rPr>
      <w:rFonts w:hint="eastAsia" w:ascii="楷体" w:hAnsi="楷体" w:eastAsia="楷体" w:cs="楷体"/>
      <w:color w:val="000000"/>
      <w:sz w:val="28"/>
      <w:szCs w:val="28"/>
      <w:u w:val="none"/>
    </w:rPr>
  </w:style>
  <w:style w:type="character" w:customStyle="1" w:styleId="28">
    <w:name w:val="font81"/>
    <w:basedOn w:val="15"/>
    <w:qFormat/>
    <w:uiPriority w:val="0"/>
    <w:rPr>
      <w:rFonts w:hint="eastAsia" w:ascii="楷体" w:hAnsi="楷体" w:eastAsia="楷体" w:cs="楷体"/>
      <w:b/>
      <w:bCs/>
      <w:color w:val="000000"/>
      <w:sz w:val="28"/>
      <w:szCs w:val="28"/>
      <w:u w:val="none"/>
    </w:rPr>
  </w:style>
  <w:style w:type="character" w:customStyle="1" w:styleId="29">
    <w:name w:val="font21"/>
    <w:basedOn w:val="15"/>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29857-5C5B-414D-B018-60094ED460BE}">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417</Words>
  <Characters>440</Characters>
  <Lines>12</Lines>
  <Paragraphs>3</Paragraphs>
  <TotalTime>7</TotalTime>
  <ScaleCrop>false</ScaleCrop>
  <LinksUpToDate>false</LinksUpToDate>
  <CharactersWithSpaces>440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2020-01-19T07:12:00Z</dcterms:created>
  <dc:creator>逄金刚</dc:creator>
  <cp:lastModifiedBy>彭建文</cp:lastModifiedBy>
  <dcterms:modified xsi:type="dcterms:W3CDTF">2026-03-04T02:31:53Z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5120386BF9C644E18A8C22CE9941C936_13</vt:lpwstr>
  </property>
  <property fmtid="{D5CDD505-2E9C-101B-9397-08002B2CF9AE}" pid="4" name="KSOTemplateDocerSaveRecord">
    <vt:lpwstr>eyJoZGlkIjoiODYxNzFjYzE3Zjg4ZWIzMzI1Yzc3ZjEyM2NhZWI2NzIiLCJ1c2VySWQiOiI1Nzg0ODgwOTMifQ==</vt:lpwstr>
  </property>
</Properties>
</file>