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实验</w:t>
      </w:r>
      <w:r>
        <w:rPr>
          <w:rFonts w:hint="eastAsia" w:ascii="Times New Roman" w:hAnsi="Times New Roman" w:cs="Times New Roman"/>
        </w:rPr>
        <w:t>三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 w:eastAsiaTheme="minorEastAsia"/>
        </w:rPr>
        <w:t>Cache性能分析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一、实验目的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</w:t>
      </w:r>
      <w:r>
        <w:rPr>
          <w:rFonts w:hint="eastAsia" w:ascii="Times New Roman" w:hAnsi="Times New Roman" w:cs="Times New Roman"/>
          <w:szCs w:val="21"/>
        </w:rPr>
        <w:t>加深对Cache的基本概念、基本组织结构以及基本工作原理的理解。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（2）掌握Cache容量、相联度、块大小对Cache性能的影响。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（3）掌握降低Cache不命中率的各种方法以及这些方法对提高Cache性能的好处。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（4）理解LRU与随机法的基本思想以及它们对Cache性能的影响。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二、实验内容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</w:t>
      </w:r>
      <w:r>
        <w:rPr>
          <w:rFonts w:hint="eastAsia" w:ascii="Times New Roman" w:hAnsi="Times New Roman" w:cs="Times New Roman"/>
          <w:szCs w:val="21"/>
        </w:rPr>
        <w:t>掌握mycache模拟器的使用方法。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</w:t>
      </w:r>
      <w:r>
        <w:rPr>
          <w:rFonts w:hint="eastAsia" w:ascii="Times New Roman" w:hAnsi="Times New Roman" w:cs="Times New Roman"/>
          <w:szCs w:val="21"/>
        </w:rPr>
        <w:t>掌握Cache容量、相联度、块大小、替换算法对Cache性能的影响。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三、实验原理及方案</w:t>
      </w:r>
    </w:p>
    <w:p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</w:t>
      </w:r>
      <w:r>
        <w:rPr>
          <w:rFonts w:hint="eastAsia" w:ascii="Times New Roman" w:hAnsi="Times New Roman" w:cs="Times New Roman"/>
        </w:rPr>
        <w:t>myCache模拟器的使用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1. 启动模拟器：用鼠标双击myCache模拟器.exe。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2. 系统会打开一个操作界面。该界面的左边为设置模拟参数区域，右边为模拟结果显示区域。如图2.1所示。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3. 可以设置的参数包括：是统一Cache还是分离Cache，Cache的容量，块大小，相联度，替换算法，预取策略，写策略，写不命中时的调块策略。可以直接从列表里选择。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4. 访问地址可以选择来自地址流文件，也可以选择手动输入。如果是前者，则可以通过点击“浏览”按钮，从模拟器所在文件夹下面的“地址流”文件夹中选取地址流文件（.din文件），然后进行执行。执行的方式可以是步进，也可以是一次执行到底。如果选择手动输入，就可以在“执行控制”区域中输入块地址，然后点击“访问”按钮。系统会在界面的右边显示访问类型、地址、块号以及块内地址。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5. 模拟结果包括：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（1）访问总次数，总的不命中次数，总的不命中率；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（2）读指令操作的次数，其不命中次数及其不命中率；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（3）读数据操作的次数，其不命中次数及其不命中率；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（4）写数据操作的次数，其不命中次数及其不命中率；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（5）手动输入单次访问的相关信息。</w:t>
      </w:r>
    </w:p>
    <w:p>
      <w:pPr>
        <w:rPr>
          <w:color w:val="000000"/>
        </w:rPr>
      </w:pPr>
    </w:p>
    <w:p>
      <w:pPr>
        <w:jc w:val="center"/>
        <w:rPr>
          <w:color w:val="000000"/>
        </w:rPr>
      </w:pPr>
      <w:bookmarkStart w:id="0" w:name="_MON_1316348628"/>
      <w:bookmarkEnd w:id="0"/>
      <w:bookmarkStart w:id="1" w:name="_MON_1316348680"/>
      <w:bookmarkEnd w:id="1"/>
      <w:bookmarkStart w:id="2" w:name="_MON_1316348791"/>
      <w:bookmarkEnd w:id="2"/>
      <w:r>
        <w:rPr>
          <w:color w:val="000000"/>
        </w:rPr>
        <w:object>
          <v:shape id="_x0000_i1025" o:spt="75" type="#_x0000_t75" style="height:210pt;width:341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Word.Picture.8" ShapeID="_x0000_i1025" DrawAspect="Content" ObjectID="_1468075725" r:id="rId4">
            <o:LockedField>false</o:LockedField>
          </o:OLEObject>
        </w:object>
      </w:r>
    </w:p>
    <w:p>
      <w:pPr>
        <w:jc w:val="center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图2.1 MyCache模拟器的操作界面示意图</w:t>
      </w:r>
    </w:p>
    <w:p>
      <w:pPr>
        <w:rPr>
          <w:color w:val="000000"/>
          <w:sz w:val="18"/>
          <w:szCs w:val="18"/>
        </w:rPr>
      </w:pPr>
    </w:p>
    <w:p>
      <w:pPr>
        <w:pStyle w:val="4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</w:rPr>
        <w:t>Cache容量对不命中率的影响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1.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双击启动myCache模拟器。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2.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用鼠标点击“复位”按钮，把各参数设置为默认值。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3.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选择一个地址流文件。方法：选择“访问地址”→“地址流文件”选项，然后点击“浏览”按钮，从本模拟器所在的文件夹下的“地址流”文件夹中选取。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4.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选择不同的Cache容量，包括：2KB，4KB，8KB，16KB，32KB，64KB，128KB，256KB，分别执行模拟器（单击“执行到底”按钮即可执行），然后在表2.1中记录各种情况下的不命中率。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</w:p>
    <w:p>
      <w:pPr>
        <w:snapToGrid w:val="0"/>
        <w:jc w:val="center"/>
        <w:rPr>
          <w:szCs w:val="21"/>
        </w:rPr>
      </w:pPr>
      <w:r>
        <w:rPr>
          <w:color w:val="000000"/>
          <w:szCs w:val="21"/>
        </w:rPr>
        <w:t>表</w:t>
      </w:r>
      <w:r>
        <w:rPr>
          <w:rFonts w:hint="eastAsia"/>
          <w:color w:val="000000"/>
          <w:szCs w:val="21"/>
        </w:rPr>
        <w:t>2.1 不同容量下Cache的不命中率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916"/>
        <w:gridCol w:w="917"/>
        <w:gridCol w:w="917"/>
        <w:gridCol w:w="917"/>
        <w:gridCol w:w="916"/>
        <w:gridCol w:w="917"/>
        <w:gridCol w:w="917"/>
        <w:gridCol w:w="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88" w:type="dxa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Cache容量（KB）</w:t>
            </w:r>
          </w:p>
        </w:tc>
        <w:tc>
          <w:tcPr>
            <w:tcW w:w="916" w:type="dxa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17" w:type="dxa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17" w:type="dxa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17" w:type="dxa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916" w:type="dxa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917" w:type="dxa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917" w:type="dxa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917" w:type="dxa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256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88" w:type="dxa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不命中率</w:t>
            </w:r>
          </w:p>
        </w:tc>
        <w:tc>
          <w:tcPr>
            <w:tcW w:w="916" w:type="dxa"/>
            <w:vAlign w:val="center"/>
          </w:tcPr>
          <w:p>
            <w:pPr>
              <w:snapToGrid w:val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9.87%</w:t>
            </w:r>
          </w:p>
        </w:tc>
        <w:tc>
          <w:tcPr>
            <w:tcW w:w="917" w:type="dxa"/>
            <w:vAlign w:val="center"/>
          </w:tcPr>
          <w:p>
            <w:pPr>
              <w:snapToGrid w:val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7.19%</w:t>
            </w:r>
          </w:p>
        </w:tc>
        <w:tc>
          <w:tcPr>
            <w:tcW w:w="917" w:type="dxa"/>
            <w:vAlign w:val="center"/>
          </w:tcPr>
          <w:p>
            <w:pPr>
              <w:snapToGrid w:val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4.48%</w:t>
            </w:r>
          </w:p>
        </w:tc>
        <w:tc>
          <w:tcPr>
            <w:tcW w:w="917" w:type="dxa"/>
            <w:vAlign w:val="center"/>
          </w:tcPr>
          <w:p>
            <w:pPr>
              <w:snapToGrid w:val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2.65%</w:t>
            </w:r>
          </w:p>
        </w:tc>
        <w:tc>
          <w:tcPr>
            <w:tcW w:w="916" w:type="dxa"/>
            <w:vAlign w:val="center"/>
          </w:tcPr>
          <w:p>
            <w:pPr>
              <w:snapToGrid w:val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1.42%</w:t>
            </w:r>
          </w:p>
        </w:tc>
        <w:tc>
          <w:tcPr>
            <w:tcW w:w="917" w:type="dxa"/>
            <w:vAlign w:val="center"/>
          </w:tcPr>
          <w:p>
            <w:pPr>
              <w:snapToGrid w:val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0.89%</w:t>
            </w:r>
          </w:p>
        </w:tc>
        <w:tc>
          <w:tcPr>
            <w:tcW w:w="917" w:type="dxa"/>
            <w:vAlign w:val="center"/>
          </w:tcPr>
          <w:p>
            <w:pPr>
              <w:snapToGrid w:val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0.60%</w:t>
            </w:r>
          </w:p>
        </w:tc>
        <w:tc>
          <w:tcPr>
            <w:tcW w:w="917" w:type="dxa"/>
            <w:vAlign w:val="center"/>
          </w:tcPr>
          <w:p>
            <w:pPr>
              <w:snapToGrid w:val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0.49%</w:t>
            </w:r>
            <w:bookmarkStart w:id="3" w:name="_GoBack"/>
            <w:bookmarkEnd w:id="3"/>
          </w:p>
        </w:tc>
      </w:tr>
    </w:tbl>
    <w:p>
      <w:pPr>
        <w:snapToGrid w:val="0"/>
        <w:rPr>
          <w:color w:val="000000"/>
        </w:rPr>
      </w:pPr>
    </w:p>
    <w:p>
      <w:pPr>
        <w:snapToGrid w:val="0"/>
        <w:rPr>
          <w:color w:val="000000"/>
          <w:u w:val="single"/>
        </w:rPr>
      </w:pPr>
      <w:r>
        <w:rPr>
          <w:rFonts w:hint="eastAsia"/>
          <w:color w:val="000000"/>
        </w:rPr>
        <w:t>地址流文件名：</w:t>
      </w:r>
      <w:r>
        <w:rPr>
          <w:rFonts w:hint="eastAsia"/>
          <w:color w:val="000000"/>
          <w:u w:val="single"/>
        </w:rPr>
        <w:t xml:space="preserve">  all.din    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5.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以容量为横坐标，画出不命中率随Cache容量变化而变化的曲线。并指明地址流文件名。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6.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根据该模拟结果，你能得出什么结论？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</w:p>
    <w:p>
      <w:pPr>
        <w:pStyle w:val="4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</w:t>
      </w:r>
      <w:r>
        <w:rPr>
          <w:rFonts w:hint="eastAsia"/>
        </w:rPr>
        <w:t>相联度</w:t>
      </w:r>
      <w:r>
        <w:rPr>
          <w:rFonts w:hint="eastAsia" w:ascii="Times New Roman" w:hAnsi="Times New Roman" w:cs="Times New Roman"/>
        </w:rPr>
        <w:t>对不命中率的影响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1.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用鼠标单击“复位”按钮，把各参数设置为默认值。此时的Cache容量为64KB。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2.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选择一个地址流文件。方法：选择“访问地址”→“地址流文件”选项，然后单击“浏览”按钮，从本模拟器所在的文件夹下的“地址流”文件夹中选取。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3.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选择不同的Cache相联度，包括：直接映象，2路，4路，8路，16路，32路，分别执行模拟器（单击“执行到底”按钮即可执行），然后在表2.2中记录各种情况下的不命中率。</w:t>
      </w:r>
    </w:p>
    <w:p>
      <w:pPr>
        <w:snapToGrid w:val="0"/>
        <w:jc w:val="center"/>
        <w:rPr>
          <w:szCs w:val="21"/>
        </w:rPr>
      </w:pPr>
      <w:r>
        <w:rPr>
          <w:color w:val="000000"/>
          <w:szCs w:val="21"/>
        </w:rPr>
        <w:t>表</w:t>
      </w:r>
      <w:r>
        <w:rPr>
          <w:rFonts w:hint="eastAsia"/>
          <w:color w:val="000000"/>
          <w:szCs w:val="21"/>
        </w:rPr>
        <w:t>2.2 当</w:t>
      </w:r>
      <w:r>
        <w:rPr>
          <w:rFonts w:hint="eastAsia"/>
        </w:rPr>
        <w:t>容量为64KB时，</w:t>
      </w:r>
      <w:r>
        <w:rPr>
          <w:rFonts w:hint="eastAsia"/>
          <w:color w:val="000000"/>
          <w:szCs w:val="21"/>
        </w:rPr>
        <w:t>不同相联度下Cache的不命中率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140"/>
        <w:gridCol w:w="1140"/>
        <w:gridCol w:w="1140"/>
        <w:gridCol w:w="1140"/>
        <w:gridCol w:w="1140"/>
        <w:gridCol w:w="1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88" w:type="dxa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相联度</w:t>
            </w:r>
          </w:p>
        </w:tc>
        <w:tc>
          <w:tcPr>
            <w:tcW w:w="1140" w:type="dxa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40" w:type="dxa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40" w:type="dxa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40" w:type="dxa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40" w:type="dxa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140" w:type="dxa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88" w:type="dxa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不命中率</w:t>
            </w:r>
          </w:p>
        </w:tc>
        <w:tc>
          <w:tcPr>
            <w:tcW w:w="1140" w:type="dxa"/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140" w:type="dxa"/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140" w:type="dxa"/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140" w:type="dxa"/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140" w:type="dxa"/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140" w:type="dxa"/>
            <w:vAlign w:val="center"/>
          </w:tcPr>
          <w:p>
            <w:pPr>
              <w:snapToGrid w:val="0"/>
              <w:jc w:val="center"/>
            </w:pPr>
          </w:p>
        </w:tc>
      </w:tr>
    </w:tbl>
    <w:p>
      <w:pPr>
        <w:snapToGrid w:val="0"/>
      </w:pPr>
    </w:p>
    <w:p>
      <w:pPr>
        <w:snapToGrid w:val="0"/>
        <w:rPr>
          <w:color w:val="000000"/>
        </w:rPr>
      </w:pPr>
      <w:r>
        <w:rPr>
          <w:rFonts w:hint="eastAsia"/>
          <w:color w:val="000000"/>
        </w:rPr>
        <w:t>地址流文件名：</w:t>
      </w:r>
      <w:r>
        <w:rPr>
          <w:rFonts w:hint="eastAsia"/>
          <w:color w:val="000000"/>
          <w:u w:val="single"/>
        </w:rPr>
        <w:t xml:space="preserve">                    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 xml:space="preserve">4. 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把Cache的容量设置为256KB，重复(3)的工作，并填写表2.3。</w:t>
      </w:r>
    </w:p>
    <w:p>
      <w:pPr>
        <w:spacing w:line="300" w:lineRule="auto"/>
        <w:ind w:firstLine="420" w:firstLineChars="200"/>
      </w:pPr>
    </w:p>
    <w:p>
      <w:pPr>
        <w:snapToGrid w:val="0"/>
        <w:jc w:val="center"/>
        <w:rPr>
          <w:szCs w:val="21"/>
        </w:rPr>
      </w:pPr>
      <w:r>
        <w:rPr>
          <w:color w:val="000000"/>
          <w:szCs w:val="21"/>
        </w:rPr>
        <w:t>表</w:t>
      </w:r>
      <w:r>
        <w:rPr>
          <w:rFonts w:hint="eastAsia"/>
          <w:color w:val="000000"/>
          <w:szCs w:val="21"/>
        </w:rPr>
        <w:t>2.3 当</w:t>
      </w:r>
      <w:r>
        <w:rPr>
          <w:rFonts w:hint="eastAsia"/>
        </w:rPr>
        <w:t>容量为256KB时，</w:t>
      </w:r>
      <w:r>
        <w:rPr>
          <w:rFonts w:hint="eastAsia"/>
          <w:color w:val="000000"/>
          <w:szCs w:val="21"/>
        </w:rPr>
        <w:t>不同相联度下Cache的不命中率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140"/>
        <w:gridCol w:w="1140"/>
        <w:gridCol w:w="1140"/>
        <w:gridCol w:w="1140"/>
        <w:gridCol w:w="1140"/>
        <w:gridCol w:w="1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88" w:type="dxa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相联度</w:t>
            </w:r>
          </w:p>
        </w:tc>
        <w:tc>
          <w:tcPr>
            <w:tcW w:w="1140" w:type="dxa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40" w:type="dxa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40" w:type="dxa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40" w:type="dxa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40" w:type="dxa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140" w:type="dxa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88" w:type="dxa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不命中率</w:t>
            </w:r>
          </w:p>
        </w:tc>
        <w:tc>
          <w:tcPr>
            <w:tcW w:w="1140" w:type="dxa"/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140" w:type="dxa"/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140" w:type="dxa"/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140" w:type="dxa"/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140" w:type="dxa"/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140" w:type="dxa"/>
            <w:vAlign w:val="center"/>
          </w:tcPr>
          <w:p>
            <w:pPr>
              <w:snapToGrid w:val="0"/>
              <w:jc w:val="center"/>
            </w:pPr>
          </w:p>
        </w:tc>
      </w:tr>
    </w:tbl>
    <w:p>
      <w:pPr>
        <w:snapToGrid w:val="0"/>
      </w:pPr>
    </w:p>
    <w:p>
      <w:pPr>
        <w:snapToGrid w:val="0"/>
        <w:rPr>
          <w:color w:val="000000"/>
        </w:rPr>
      </w:pPr>
      <w:r>
        <w:rPr>
          <w:rFonts w:hint="eastAsia"/>
          <w:color w:val="000000"/>
        </w:rPr>
        <w:t>地址流文件名：</w:t>
      </w:r>
      <w:r>
        <w:rPr>
          <w:rFonts w:hint="eastAsia"/>
          <w:color w:val="000000"/>
          <w:u w:val="single"/>
        </w:rPr>
        <w:t xml:space="preserve">                    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 xml:space="preserve">5. 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以相联度为横坐标，画出在64KB和256KB的情况下不命中率随Cache相联度变化而变化的曲线。并指明地址流文件名。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 xml:space="preserve">6. 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根据该模拟结果，你能得出什么结论？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</w:p>
    <w:p>
      <w:pPr>
        <w:pStyle w:val="4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</w:rPr>
        <w:t>Cache块大小对不命中率的影响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1.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用鼠标单击“复位”按钮，把各参数设置为默认值。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2.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选择一个地址流文件。方法：选择“访问地址”→“地址流文件”选项，然后单击“浏览”按钮，从本模拟器所在的文件夹下的“地址流”文件夹中选取。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3.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选择不同的Cache块大小，包括：16B，32B，64B，128B，256B，对于Cache的各种容量，包括：2KB，8KB，32KB，128KB，512KB，分别执行模拟器（单击“执行到底”按钮即可执行），然后在表2.4中记录各种情况下的不命中率。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</w:p>
    <w:p>
      <w:pPr>
        <w:spacing w:line="312" w:lineRule="exact"/>
        <w:ind w:firstLine="480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表</w:t>
      </w:r>
      <w:r>
        <w:rPr>
          <w:rFonts w:hint="eastAsia"/>
          <w:color w:val="000000"/>
          <w:sz w:val="18"/>
          <w:szCs w:val="18"/>
        </w:rPr>
        <w:t xml:space="preserve">2.4 </w:t>
      </w:r>
      <w:r>
        <w:rPr>
          <w:color w:val="000000"/>
          <w:sz w:val="18"/>
          <w:szCs w:val="18"/>
        </w:rPr>
        <w:t>各种块大小情况下Cache的</w:t>
      </w:r>
      <w:r>
        <w:rPr>
          <w:rFonts w:hint="eastAsia"/>
          <w:color w:val="000000"/>
          <w:sz w:val="18"/>
          <w:szCs w:val="18"/>
        </w:rPr>
        <w:t>不命中</w:t>
      </w:r>
      <w:r>
        <w:rPr>
          <w:color w:val="000000"/>
          <w:sz w:val="18"/>
          <w:szCs w:val="18"/>
        </w:rPr>
        <w:t>率</w:t>
      </w:r>
    </w:p>
    <w:tbl>
      <w:tblPr>
        <w:tblStyle w:val="7"/>
        <w:tblW w:w="766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260"/>
        <w:gridCol w:w="1260"/>
        <w:gridCol w:w="1260"/>
        <w:gridCol w:w="126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  <w:jc w:val="center"/>
        </w:trPr>
        <w:tc>
          <w:tcPr>
            <w:tcW w:w="1368" w:type="dxa"/>
            <w:vMerge w:val="restart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块大小</w:t>
            </w:r>
          </w:p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（</w:t>
            </w:r>
            <w:r>
              <w:rPr>
                <w:rFonts w:hint="eastAsia"/>
                <w:color w:val="000000"/>
                <w:sz w:val="18"/>
                <w:szCs w:val="18"/>
              </w:rPr>
              <w:t>B</w:t>
            </w:r>
            <w:r>
              <w:rPr>
                <w:color w:val="000000"/>
                <w:sz w:val="18"/>
                <w:szCs w:val="18"/>
              </w:rPr>
              <w:t>）</w:t>
            </w:r>
          </w:p>
        </w:tc>
        <w:tc>
          <w:tcPr>
            <w:tcW w:w="6300" w:type="dxa"/>
            <w:gridSpan w:val="5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Cache容量（</w:t>
            </w:r>
            <w:r>
              <w:rPr>
                <w:rFonts w:hint="eastAsia"/>
                <w:color w:val="000000"/>
                <w:sz w:val="18"/>
                <w:szCs w:val="18"/>
              </w:rPr>
              <w:t>KB</w:t>
            </w:r>
            <w:r>
              <w:rPr>
                <w:color w:val="000000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  <w:jc w:val="center"/>
        </w:trPr>
        <w:tc>
          <w:tcPr>
            <w:tcW w:w="1368" w:type="dxa"/>
            <w:vMerge w:val="continue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  <w:jc w:val="center"/>
        </w:trPr>
        <w:tc>
          <w:tcPr>
            <w:tcW w:w="1368" w:type="dxa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  <w:jc w:val="center"/>
        </w:trPr>
        <w:tc>
          <w:tcPr>
            <w:tcW w:w="1368" w:type="dxa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  <w:jc w:val="center"/>
        </w:trPr>
        <w:tc>
          <w:tcPr>
            <w:tcW w:w="1368" w:type="dxa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  <w:jc w:val="center"/>
        </w:trPr>
        <w:tc>
          <w:tcPr>
            <w:tcW w:w="1368" w:type="dxa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128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  <w:jc w:val="center"/>
        </w:trPr>
        <w:tc>
          <w:tcPr>
            <w:tcW w:w="136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256</w:t>
            </w:r>
          </w:p>
        </w:tc>
        <w:tc>
          <w:tcPr>
            <w:tcW w:w="126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</w:tbl>
    <w:p>
      <w:pPr>
        <w:snapToGrid w:val="0"/>
        <w:rPr>
          <w:color w:val="000000"/>
        </w:rPr>
      </w:pPr>
    </w:p>
    <w:p>
      <w:pPr>
        <w:snapToGrid w:val="0"/>
        <w:rPr>
          <w:color w:val="000000"/>
        </w:rPr>
      </w:pPr>
      <w:r>
        <w:rPr>
          <w:rFonts w:hint="eastAsia"/>
          <w:color w:val="000000"/>
        </w:rPr>
        <w:t>地址流文件名：</w:t>
      </w:r>
      <w:r>
        <w:rPr>
          <w:rFonts w:hint="eastAsia"/>
          <w:color w:val="000000"/>
          <w:u w:val="single"/>
        </w:rPr>
        <w:t xml:space="preserve">                    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4.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分析</w:t>
      </w:r>
      <w:r>
        <w:rPr>
          <w:rFonts w:ascii="Times New Roman" w:hAnsi="Times New Roman" w:cs="Times New Roman"/>
          <w:szCs w:val="21"/>
        </w:rPr>
        <w:t>Cache</w:t>
      </w:r>
      <w:r>
        <w:rPr>
          <w:rFonts w:hint="eastAsia" w:ascii="Times New Roman" w:hAnsi="Times New Roman" w:cs="Times New Roman"/>
          <w:szCs w:val="21"/>
        </w:rPr>
        <w:t>块大小对不命中率的影响。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</w:p>
    <w:p>
      <w:pPr>
        <w:pStyle w:val="4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</w:rPr>
        <w:t>替换算法对不命中率的影响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1.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用鼠标单击“复位”按钮，把各参数设置为默认值。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2.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选择一个地址流文件。方法：选择“访问地址”→“地址流文件”选项，然后单击“浏览”按钮，从本模拟器所在的文件夹下的“地址流”文件夹中选取。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3.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对于不同的替换算法、Cache容量和相联度，分别执行模拟器（单击“执行到底”按钮即可执行），然后在表2.5中记录各种情况下的不命中率。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</w:p>
    <w:p>
      <w:pPr>
        <w:spacing w:line="312" w:lineRule="exact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表</w:t>
      </w:r>
      <w:r>
        <w:rPr>
          <w:rFonts w:hint="eastAsia"/>
          <w:color w:val="000000"/>
          <w:sz w:val="18"/>
          <w:szCs w:val="18"/>
        </w:rPr>
        <w:t xml:space="preserve">2.5 </w:t>
      </w:r>
      <w:r>
        <w:rPr>
          <w:color w:val="000000"/>
          <w:sz w:val="18"/>
          <w:szCs w:val="18"/>
        </w:rPr>
        <w:t xml:space="preserve"> LRU和随机替换法的</w:t>
      </w:r>
      <w:r>
        <w:rPr>
          <w:rFonts w:hint="eastAsia"/>
          <w:color w:val="000000"/>
          <w:sz w:val="18"/>
          <w:szCs w:val="18"/>
        </w:rPr>
        <w:t>不命中率的</w:t>
      </w:r>
      <w:r>
        <w:rPr>
          <w:color w:val="000000"/>
          <w:sz w:val="18"/>
          <w:szCs w:val="18"/>
        </w:rPr>
        <w:t>比较</w:t>
      </w:r>
    </w:p>
    <w:tbl>
      <w:tblPr>
        <w:tblStyle w:val="7"/>
        <w:tblW w:w="81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"/>
        <w:gridCol w:w="1197"/>
        <w:gridCol w:w="1197"/>
        <w:gridCol w:w="1197"/>
        <w:gridCol w:w="1197"/>
        <w:gridCol w:w="1197"/>
        <w:gridCol w:w="11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964" w:type="dxa"/>
            <w:vMerge w:val="restart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Cache</w:t>
            </w:r>
          </w:p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容量</w:t>
            </w:r>
          </w:p>
        </w:tc>
        <w:tc>
          <w:tcPr>
            <w:tcW w:w="7182" w:type="dxa"/>
            <w:gridSpan w:val="6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相  联  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964" w:type="dxa"/>
            <w:vMerge w:val="continue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394" w:type="dxa"/>
            <w:gridSpan w:val="2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路</w:t>
            </w:r>
          </w:p>
        </w:tc>
        <w:tc>
          <w:tcPr>
            <w:tcW w:w="2394" w:type="dxa"/>
            <w:gridSpan w:val="2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 路</w:t>
            </w:r>
          </w:p>
        </w:tc>
        <w:tc>
          <w:tcPr>
            <w:tcW w:w="2394" w:type="dxa"/>
            <w:gridSpan w:val="2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 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964" w:type="dxa"/>
            <w:vMerge w:val="continue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97" w:type="dxa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LRU</w:t>
            </w:r>
          </w:p>
        </w:tc>
        <w:tc>
          <w:tcPr>
            <w:tcW w:w="1197" w:type="dxa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随机</w:t>
            </w:r>
            <w:r>
              <w:rPr>
                <w:rFonts w:hint="eastAsia"/>
                <w:color w:val="000000"/>
                <w:sz w:val="18"/>
                <w:szCs w:val="18"/>
              </w:rPr>
              <w:t>算法</w:t>
            </w:r>
          </w:p>
        </w:tc>
        <w:tc>
          <w:tcPr>
            <w:tcW w:w="1197" w:type="dxa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LRU</w:t>
            </w:r>
          </w:p>
        </w:tc>
        <w:tc>
          <w:tcPr>
            <w:tcW w:w="1197" w:type="dxa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随机</w:t>
            </w:r>
            <w:r>
              <w:rPr>
                <w:rFonts w:hint="eastAsia"/>
                <w:color w:val="000000"/>
                <w:sz w:val="18"/>
                <w:szCs w:val="18"/>
              </w:rPr>
              <w:t>算法</w:t>
            </w:r>
          </w:p>
        </w:tc>
        <w:tc>
          <w:tcPr>
            <w:tcW w:w="1197" w:type="dxa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LRU</w:t>
            </w:r>
          </w:p>
        </w:tc>
        <w:tc>
          <w:tcPr>
            <w:tcW w:w="1197" w:type="dxa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随机</w:t>
            </w:r>
            <w:r>
              <w:rPr>
                <w:rFonts w:hint="eastAsia"/>
                <w:color w:val="000000"/>
                <w:sz w:val="18"/>
                <w:szCs w:val="18"/>
              </w:rPr>
              <w:t>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964" w:type="dxa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16KB</w:t>
            </w:r>
          </w:p>
        </w:tc>
        <w:tc>
          <w:tcPr>
            <w:tcW w:w="1197" w:type="dxa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97" w:type="dxa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97" w:type="dxa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97" w:type="dxa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97" w:type="dxa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97" w:type="dxa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964" w:type="dxa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64KB</w:t>
            </w:r>
          </w:p>
        </w:tc>
        <w:tc>
          <w:tcPr>
            <w:tcW w:w="1197" w:type="dxa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97" w:type="dxa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97" w:type="dxa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97" w:type="dxa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97" w:type="dxa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97" w:type="dxa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964" w:type="dxa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256KB</w:t>
            </w:r>
          </w:p>
        </w:tc>
        <w:tc>
          <w:tcPr>
            <w:tcW w:w="1197" w:type="dxa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97" w:type="dxa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97" w:type="dxa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97" w:type="dxa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97" w:type="dxa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97" w:type="dxa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964" w:type="dxa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1MB</w:t>
            </w:r>
          </w:p>
        </w:tc>
        <w:tc>
          <w:tcPr>
            <w:tcW w:w="1197" w:type="dxa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97" w:type="dxa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97" w:type="dxa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97" w:type="dxa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97" w:type="dxa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97" w:type="dxa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</w:tbl>
    <w:p>
      <w:pPr>
        <w:snapToGrid w:val="0"/>
      </w:pPr>
    </w:p>
    <w:p>
      <w:pPr>
        <w:snapToGrid w:val="0"/>
        <w:rPr>
          <w:color w:val="000000"/>
        </w:rPr>
      </w:pPr>
      <w:r>
        <w:rPr>
          <w:rFonts w:hint="eastAsia"/>
          <w:color w:val="000000"/>
        </w:rPr>
        <w:t>地址流文件名：</w:t>
      </w:r>
      <w:r>
        <w:rPr>
          <w:rFonts w:hint="eastAsia"/>
          <w:color w:val="000000"/>
          <w:u w:val="single"/>
        </w:rPr>
        <w:t xml:space="preserve">                    </w:t>
      </w:r>
    </w:p>
    <w:p/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4.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分析不同的替换算法对</w:t>
      </w:r>
      <w:r>
        <w:rPr>
          <w:rFonts w:ascii="Times New Roman" w:hAnsi="Times New Roman" w:cs="Times New Roman"/>
          <w:szCs w:val="21"/>
        </w:rPr>
        <w:t>Cache</w:t>
      </w:r>
      <w:r>
        <w:rPr>
          <w:rFonts w:hint="eastAsia" w:ascii="Times New Roman" w:hAnsi="Times New Roman" w:cs="Times New Roman"/>
          <w:szCs w:val="21"/>
        </w:rPr>
        <w:t>不命中率的影响。</w:t>
      </w:r>
    </w:p>
    <w:p>
      <w:pPr>
        <w:rPr>
          <w:color w:val="000000"/>
          <w:sz w:val="18"/>
          <w:szCs w:val="18"/>
        </w:rPr>
      </w:pPr>
    </w:p>
    <w:p>
      <w:pPr>
        <w:rPr>
          <w:color w:val="000000"/>
          <w:sz w:val="18"/>
          <w:szCs w:val="18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四、实验要求 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>（1）做好实验预习。了解</w:t>
      </w:r>
      <w:r>
        <w:rPr>
          <w:rFonts w:hint="eastAsia" w:ascii="Times New Roman" w:hAnsi="Times New Roman" w:cs="Times New Roman"/>
          <w:szCs w:val="21"/>
        </w:rPr>
        <w:t>Cache相关的基本概念、组织结构、工作原理，了解不同因素对Cache性能的影响</w:t>
      </w:r>
      <w:r>
        <w:rPr>
          <w:rFonts w:ascii="Times New Roman" w:hAnsi="Times New Roman" w:cs="Times New Roman"/>
          <w:szCs w:val="21"/>
        </w:rPr>
        <w:t>。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（2）完成实验内容。</w:t>
      </w:r>
      <w:r>
        <w:rPr>
          <w:rFonts w:hint="eastAsia" w:ascii="Times New Roman" w:hAnsi="Times New Roman" w:cs="Times New Roman"/>
          <w:szCs w:val="21"/>
        </w:rPr>
        <w:t>根据实验过程中的运行结果，填写上述表格，进行分析</w:t>
      </w:r>
      <w:r>
        <w:rPr>
          <w:rFonts w:ascii="Times New Roman" w:hAnsi="Times New Roman" w:cs="Times New Roman"/>
          <w:szCs w:val="21"/>
        </w:rPr>
        <w:t>。</w:t>
      </w:r>
    </w:p>
    <w:p>
      <w:pPr>
        <w:ind w:firstLine="420"/>
      </w:pPr>
      <w:r>
        <w:rPr>
          <w:rFonts w:ascii="Times New Roman" w:hAnsi="Times New Roman" w:cs="Times New Roman"/>
          <w:szCs w:val="21"/>
        </w:rPr>
        <w:t>（3）撰写实验报告。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25F30"/>
    <w:rsid w:val="00375439"/>
    <w:rsid w:val="003B1A00"/>
    <w:rsid w:val="004E4225"/>
    <w:rsid w:val="009778F6"/>
    <w:rsid w:val="00B24C52"/>
    <w:rsid w:val="00C25F30"/>
    <w:rsid w:val="2B6F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5" w:lineRule="auto"/>
      <w:jc w:val="center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2"/>
    <w:unhideWhenUsed/>
    <w:qFormat/>
    <w:uiPriority w:val="9"/>
    <w:pPr>
      <w:keepNext/>
      <w:keepLines/>
      <w:spacing w:line="480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1"/>
    <w:next w:val="1"/>
    <w:link w:val="13"/>
    <w:unhideWhenUsed/>
    <w:qFormat/>
    <w:uiPriority w:val="9"/>
    <w:pPr>
      <w:keepNext/>
      <w:keepLines/>
      <w:spacing w:line="360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标题 2 字符"/>
    <w:basedOn w:val="8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字符"/>
    <w:basedOn w:val="8"/>
    <w:link w:val="3"/>
    <w:uiPriority w:val="9"/>
    <w:rPr>
      <w:b/>
      <w:bCs/>
      <w:sz w:val="28"/>
      <w:szCs w:val="32"/>
    </w:rPr>
  </w:style>
  <w:style w:type="character" w:customStyle="1" w:styleId="13">
    <w:name w:val="标题 4 字符"/>
    <w:basedOn w:val="8"/>
    <w:link w:val="4"/>
    <w:qFormat/>
    <w:uiPriority w:val="9"/>
    <w:rPr>
      <w:rFonts w:asciiTheme="majorHAnsi" w:hAnsiTheme="majorHAnsi" w:eastAsiaTheme="majorEastAsia" w:cstheme="majorBidi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392</Words>
  <Characters>2238</Characters>
  <Lines>18</Lines>
  <Paragraphs>5</Paragraphs>
  <TotalTime>88</TotalTime>
  <ScaleCrop>false</ScaleCrop>
  <LinksUpToDate>false</LinksUpToDate>
  <CharactersWithSpaces>2625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2021-04-28T04:32:00Z</dcterms:created>
  <dc:creator>hex</dc:creator>
  <cp:lastModifiedBy>、禾页』</cp:lastModifiedBy>
  <dcterms:modified xsi:type="dcterms:W3CDTF">2021-05-17T16:45:15Z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E54BA45C45154EDDB12E19E47C315582</vt:lpwstr>
  </property>
</Properties>
</file>