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5F7DC" w14:textId="77777777" w:rsidR="00AA7E42" w:rsidRDefault="00AA7E42" w:rsidP="001103D5">
      <w:pPr>
        <w:jc w:val="center"/>
        <w:rPr>
          <w:b/>
          <w:sz w:val="96"/>
        </w:rPr>
      </w:pPr>
      <w:bookmarkStart w:id="0" w:name="_Hlk4091282"/>
      <w:bookmarkEnd w:id="0"/>
    </w:p>
    <w:p w14:paraId="0AE38E4B" w14:textId="77777777" w:rsidR="00AA7E42" w:rsidRDefault="00AA7E42" w:rsidP="001103D5">
      <w:pPr>
        <w:jc w:val="center"/>
        <w:rPr>
          <w:b/>
          <w:sz w:val="96"/>
        </w:rPr>
      </w:pPr>
    </w:p>
    <w:p w14:paraId="095F7530" w14:textId="433F6791" w:rsidR="001103D5" w:rsidRPr="0043209A" w:rsidRDefault="00F763D3" w:rsidP="001103D5">
      <w:pPr>
        <w:jc w:val="center"/>
        <w:rPr>
          <w:b/>
          <w:sz w:val="96"/>
        </w:rPr>
      </w:pPr>
      <w:r>
        <w:rPr>
          <w:b/>
          <w:sz w:val="96"/>
        </w:rPr>
        <w:t>HALL</w:t>
      </w:r>
      <w:r w:rsidR="00C071FE">
        <w:rPr>
          <w:b/>
          <w:sz w:val="96"/>
        </w:rPr>
        <w:t xml:space="preserve"> EFFECT</w:t>
      </w:r>
    </w:p>
    <w:p w14:paraId="2E1F6F5B" w14:textId="77777777" w:rsidR="001103D5" w:rsidRPr="0043209A" w:rsidRDefault="001103D5" w:rsidP="001103D5">
      <w:pPr>
        <w:jc w:val="center"/>
        <w:rPr>
          <w:sz w:val="24"/>
        </w:rPr>
      </w:pPr>
    </w:p>
    <w:p w14:paraId="06FFC363" w14:textId="0BB38CAA" w:rsidR="001103D5" w:rsidRPr="0043209A" w:rsidRDefault="001103D5" w:rsidP="001103D5">
      <w:pPr>
        <w:jc w:val="center"/>
        <w:rPr>
          <w:sz w:val="24"/>
        </w:rPr>
      </w:pPr>
    </w:p>
    <w:p w14:paraId="235CE855" w14:textId="77777777" w:rsidR="00C071FE" w:rsidRDefault="00C071FE" w:rsidP="001103D5">
      <w:pPr>
        <w:ind w:left="3150"/>
        <w:rPr>
          <w:sz w:val="24"/>
        </w:rPr>
      </w:pPr>
    </w:p>
    <w:p w14:paraId="311A9FBA" w14:textId="77777777" w:rsidR="00C071FE" w:rsidRDefault="00C071FE" w:rsidP="001103D5">
      <w:pPr>
        <w:ind w:left="3150"/>
        <w:rPr>
          <w:sz w:val="24"/>
        </w:rPr>
      </w:pPr>
    </w:p>
    <w:p w14:paraId="5862F3F0" w14:textId="77777777" w:rsidR="00C071FE" w:rsidRDefault="00C071FE" w:rsidP="001103D5">
      <w:pPr>
        <w:ind w:left="3150"/>
        <w:rPr>
          <w:sz w:val="24"/>
        </w:rPr>
      </w:pPr>
    </w:p>
    <w:p w14:paraId="7EDB68B0" w14:textId="77777777" w:rsidR="00C071FE" w:rsidRDefault="00C071FE" w:rsidP="001103D5">
      <w:pPr>
        <w:ind w:left="3150"/>
        <w:rPr>
          <w:sz w:val="24"/>
        </w:rPr>
      </w:pPr>
    </w:p>
    <w:p w14:paraId="7FAF732F" w14:textId="77777777" w:rsidR="00C071FE" w:rsidRDefault="00C071FE" w:rsidP="001103D5">
      <w:pPr>
        <w:ind w:left="3150"/>
        <w:rPr>
          <w:sz w:val="24"/>
        </w:rPr>
      </w:pPr>
    </w:p>
    <w:p w14:paraId="1CF771D4" w14:textId="32FF9781" w:rsidR="001103D5" w:rsidRPr="0043209A" w:rsidRDefault="00C071FE" w:rsidP="001103D5">
      <w:pPr>
        <w:ind w:left="3150"/>
        <w:rPr>
          <w:sz w:val="24"/>
        </w:rPr>
      </w:pPr>
      <w:r>
        <w:rPr>
          <w:sz w:val="24"/>
        </w:rPr>
        <w:softHyphen/>
      </w:r>
      <w:r>
        <w:rPr>
          <w:sz w:val="24"/>
        </w:rPr>
        <w:softHyphen/>
      </w:r>
      <w:r>
        <w:rPr>
          <w:sz w:val="24"/>
        </w:rPr>
        <w:softHyphen/>
      </w:r>
      <w:r w:rsidR="001103D5" w:rsidRPr="0043209A">
        <w:rPr>
          <w:sz w:val="24"/>
        </w:rPr>
        <w:t>Name-Surname: Zohra Shikhalizada</w:t>
      </w:r>
    </w:p>
    <w:p w14:paraId="5BD682B8" w14:textId="258CDE36" w:rsidR="001103D5" w:rsidRPr="0043209A" w:rsidRDefault="001103D5" w:rsidP="001103D5">
      <w:pPr>
        <w:ind w:left="3150"/>
        <w:rPr>
          <w:sz w:val="24"/>
        </w:rPr>
      </w:pPr>
      <w:r w:rsidRPr="0043209A">
        <w:rPr>
          <w:sz w:val="24"/>
        </w:rPr>
        <w:t xml:space="preserve">Date of the Experiment: </w:t>
      </w:r>
      <w:r w:rsidR="006F2B91">
        <w:rPr>
          <w:sz w:val="24"/>
        </w:rPr>
        <w:t>02</w:t>
      </w:r>
      <w:r w:rsidRPr="0043209A">
        <w:rPr>
          <w:sz w:val="24"/>
        </w:rPr>
        <w:t>.0</w:t>
      </w:r>
      <w:r w:rsidR="006F2B91">
        <w:rPr>
          <w:sz w:val="24"/>
        </w:rPr>
        <w:t>5</w:t>
      </w:r>
      <w:r w:rsidRPr="0043209A">
        <w:rPr>
          <w:sz w:val="24"/>
        </w:rPr>
        <w:t>.19</w:t>
      </w:r>
    </w:p>
    <w:p w14:paraId="4F61A93B" w14:textId="706DD306" w:rsidR="001103D5" w:rsidRPr="0043209A" w:rsidRDefault="001103D5" w:rsidP="001103D5">
      <w:pPr>
        <w:ind w:left="3150"/>
        <w:rPr>
          <w:sz w:val="24"/>
        </w:rPr>
      </w:pPr>
      <w:r w:rsidRPr="0043209A">
        <w:rPr>
          <w:sz w:val="24"/>
        </w:rPr>
        <w:t>Report Submission Date</w:t>
      </w:r>
      <w:r w:rsidRPr="009C1446">
        <w:rPr>
          <w:sz w:val="24"/>
        </w:rPr>
        <w:t xml:space="preserve">: </w:t>
      </w:r>
      <w:r w:rsidR="006F2B91">
        <w:rPr>
          <w:sz w:val="24"/>
        </w:rPr>
        <w:t>09</w:t>
      </w:r>
      <w:r w:rsidR="00173A42" w:rsidRPr="009C1446">
        <w:rPr>
          <w:sz w:val="24"/>
        </w:rPr>
        <w:t>.</w:t>
      </w:r>
      <w:r w:rsidRPr="009C1446">
        <w:rPr>
          <w:sz w:val="24"/>
        </w:rPr>
        <w:t>0</w:t>
      </w:r>
      <w:r w:rsidR="006F2B91">
        <w:rPr>
          <w:sz w:val="24"/>
        </w:rPr>
        <w:t>5</w:t>
      </w:r>
      <w:r w:rsidRPr="009C1446">
        <w:rPr>
          <w:sz w:val="24"/>
        </w:rPr>
        <w:t>.19</w:t>
      </w:r>
    </w:p>
    <w:p w14:paraId="70A614D9" w14:textId="6EBB8B0D" w:rsidR="001103D5" w:rsidRPr="0043209A" w:rsidRDefault="001103D5" w:rsidP="001103D5">
      <w:pPr>
        <w:ind w:left="3150"/>
        <w:rPr>
          <w:sz w:val="24"/>
        </w:rPr>
      </w:pPr>
      <w:r w:rsidRPr="0043209A">
        <w:rPr>
          <w:sz w:val="24"/>
        </w:rPr>
        <w:t>Group Member: Rafet Kavak</w:t>
      </w:r>
    </w:p>
    <w:p w14:paraId="2E7AAF8F" w14:textId="6147F176" w:rsidR="001103D5" w:rsidRPr="0043209A" w:rsidRDefault="001103D5" w:rsidP="001103D5">
      <w:pPr>
        <w:rPr>
          <w:sz w:val="24"/>
        </w:rPr>
      </w:pPr>
      <w:r w:rsidRPr="0043209A">
        <w:rPr>
          <w:sz w:val="24"/>
        </w:rPr>
        <w:br w:type="page"/>
      </w:r>
    </w:p>
    <w:p w14:paraId="39E38988" w14:textId="77777777" w:rsidR="00A80818" w:rsidRDefault="00A80818" w:rsidP="001103D5">
      <w:pPr>
        <w:rPr>
          <w:b/>
          <w:sz w:val="36"/>
          <w:lang w:val="en-GB"/>
        </w:rPr>
      </w:pPr>
    </w:p>
    <w:p w14:paraId="33ADDBFD" w14:textId="15B41DAF" w:rsidR="001103D5" w:rsidRPr="0043209A" w:rsidRDefault="001103D5" w:rsidP="001103D5">
      <w:pPr>
        <w:rPr>
          <w:b/>
          <w:sz w:val="36"/>
          <w:lang w:val="en-GB"/>
        </w:rPr>
      </w:pPr>
      <w:r w:rsidRPr="0043209A">
        <w:rPr>
          <w:b/>
          <w:sz w:val="36"/>
          <w:lang w:val="en-GB"/>
        </w:rPr>
        <w:t>Introduction</w:t>
      </w:r>
      <w:r w:rsidRPr="0043209A">
        <w:rPr>
          <w:b/>
          <w:sz w:val="36"/>
          <w:lang w:val="en-GB"/>
        </w:rPr>
        <w:tab/>
      </w:r>
      <w:r w:rsidRPr="0043209A">
        <w:rPr>
          <w:b/>
          <w:sz w:val="36"/>
          <w:lang w:val="en-GB"/>
        </w:rPr>
        <w:tab/>
      </w:r>
      <w:r w:rsidRPr="0043209A">
        <w:rPr>
          <w:b/>
          <w:sz w:val="36"/>
          <w:lang w:val="en-GB"/>
        </w:rPr>
        <w:tab/>
      </w:r>
    </w:p>
    <w:p w14:paraId="2DD2F7DD" w14:textId="63ECF9FA" w:rsidR="00A86155" w:rsidRDefault="00093FE7" w:rsidP="00DB7155">
      <w:pPr>
        <w:ind w:firstLine="720"/>
        <w:jc w:val="both"/>
        <w:rPr>
          <w:shd w:val="clear" w:color="auto" w:fill="FFFFFF"/>
        </w:rPr>
      </w:pPr>
      <w:r>
        <w:rPr>
          <w:shd w:val="clear" w:color="auto" w:fill="FFFFFF"/>
        </w:rPr>
        <w:t xml:space="preserve">Materials can be differentiated according to their conductivity as conductors, semiconductors and </w:t>
      </w:r>
      <w:r w:rsidRPr="00DB7155">
        <w:t xml:space="preserve">insulators. Conductivity is one of the fundamental properties of materials that shows </w:t>
      </w:r>
      <w:r w:rsidR="00B83ECA" w:rsidRPr="00DB7155">
        <w:t>the allowance of the current pass through the material.</w:t>
      </w:r>
      <w:r w:rsidR="00A86155" w:rsidRPr="00DB7155">
        <w:t xml:space="preserve"> Semiconductor has a conductivity between metals and insulators. While metals have a very high conductivity and insulators have lowest conductivity. </w:t>
      </w:r>
      <w:r w:rsidR="00B83ECA" w:rsidRPr="00DB7155">
        <w:t xml:space="preserve">One of the major factors determining conductivity is the band gap. </w:t>
      </w:r>
      <w:r w:rsidR="00A86155" w:rsidRPr="00DB7155">
        <w:t xml:space="preserve">It’s about the minimum energy that an electron requires to get excited and take place in conduction. The concept defining how quickly electron participates in conduction by moving through a metal or semiconductor in the presence of an electric field is called the electron mobility. </w:t>
      </w:r>
    </w:p>
    <w:p w14:paraId="153ECDC1" w14:textId="3D9AC43A" w:rsidR="0009208C" w:rsidRDefault="00571B4E" w:rsidP="00675776">
      <w:pPr>
        <w:jc w:val="both"/>
      </w:pPr>
      <w:r>
        <w:t>Conductivity of semiconductors can be changed by intr</w:t>
      </w:r>
      <w:r w:rsidR="00C4014A">
        <w:t>oducing impurities to it. The most widely used semiconductors are the 4</w:t>
      </w:r>
      <w:r w:rsidR="00C4014A" w:rsidRPr="00C4014A">
        <w:rPr>
          <w:vertAlign w:val="superscript"/>
        </w:rPr>
        <w:t>th</w:t>
      </w:r>
      <w:r w:rsidR="00C4014A">
        <w:t xml:space="preserve"> group elements such as Silicon and Germanium. These elements are doped with trivalent or pentavalent materials which results in change in conductivity and the number of charge carriers. When 4</w:t>
      </w:r>
      <w:r w:rsidR="00C4014A" w:rsidRPr="00C4014A">
        <w:rPr>
          <w:vertAlign w:val="superscript"/>
        </w:rPr>
        <w:t>th</w:t>
      </w:r>
      <w:r w:rsidR="00C4014A">
        <w:t xml:space="preserve"> group elements are doped with 5</w:t>
      </w:r>
      <w:r w:rsidR="00C4014A" w:rsidRPr="00C4014A">
        <w:rPr>
          <w:vertAlign w:val="superscript"/>
        </w:rPr>
        <w:t>th</w:t>
      </w:r>
      <w:r w:rsidR="00C4014A">
        <w:t xml:space="preserve"> group elements the additional electron of the pentavalent element contributes to conductivity increasing the number of electrons. Silicon resulting from pentavalent doping is called the n-type semiconductor</w:t>
      </w:r>
      <w:r w:rsidR="00DB7155">
        <w:t xml:space="preserve"> and the number of negative charge carriers outnumber the positive ones</w:t>
      </w:r>
      <w:r w:rsidR="00C4014A">
        <w:t>. On the other hand, when we dope silicon with a lower group element, due to the lack of electron a hole is created in the lattice therefore an electron is easily accepted by a hole. This is called a p-type semiconductor</w:t>
      </w:r>
      <w:r w:rsidR="00DB7155">
        <w:t xml:space="preserve"> and the main charge carriers of p-type semiconductors are holes</w:t>
      </w:r>
      <w:r w:rsidR="00C4014A">
        <w:rPr>
          <w:rStyle w:val="FootnoteReference"/>
        </w:rPr>
        <w:footnoteReference w:id="1"/>
      </w:r>
      <w:r w:rsidR="00C4014A">
        <w:t xml:space="preserve">. </w:t>
      </w:r>
      <w:r>
        <w:t xml:space="preserve"> </w:t>
      </w:r>
    </w:p>
    <w:p w14:paraId="7566BE1F" w14:textId="05512107" w:rsidR="00DB7155" w:rsidRDefault="00DB7155" w:rsidP="00675776">
      <w:pPr>
        <w:jc w:val="both"/>
        <w:rPr>
          <w:shd w:val="clear" w:color="auto" w:fill="FFFFFF"/>
        </w:rPr>
      </w:pPr>
      <w:r>
        <w:rPr>
          <w:shd w:val="clear" w:color="auto" w:fill="FFFFFF"/>
        </w:rPr>
        <w:tab/>
        <w:t>The type of the semiconductors can be identified by the Hall effect which was discovered in 1879 by Edwin Hall</w:t>
      </w:r>
      <w:r w:rsidR="00FA6F7C">
        <w:rPr>
          <w:rStyle w:val="FootnoteReference"/>
          <w:shd w:val="clear" w:color="auto" w:fill="FFFFFF"/>
        </w:rPr>
        <w:footnoteReference w:id="2"/>
      </w:r>
      <w:r>
        <w:rPr>
          <w:shd w:val="clear" w:color="auto" w:fill="FFFFFF"/>
        </w:rPr>
        <w:t>.</w:t>
      </w:r>
      <w:r w:rsidR="00FA6F7C">
        <w:rPr>
          <w:shd w:val="clear" w:color="auto" w:fill="FFFFFF"/>
        </w:rPr>
        <w:t xml:space="preserve"> He showed that when current passes through a conductor or a semiconductor in presence of a magnetic field a voltage difference is generated perpendicular to the direction of the current and the magnetic field. Charge carriers experience a magnetic force they are deflected  to either side of the semiconductor which results in the Hall </w:t>
      </w:r>
      <w:r w:rsidR="00675776">
        <w:rPr>
          <w:shd w:val="clear" w:color="auto" w:fill="FFFFFF"/>
        </w:rPr>
        <w:t>v</w:t>
      </w:r>
      <w:r w:rsidR="00FA6F7C">
        <w:rPr>
          <w:shd w:val="clear" w:color="auto" w:fill="FFFFFF"/>
        </w:rPr>
        <w:t xml:space="preserve">oltage. </w:t>
      </w:r>
      <w:r w:rsidR="00675776">
        <w:rPr>
          <w:shd w:val="clear" w:color="auto" w:fill="FFFFFF"/>
        </w:rPr>
        <w:t xml:space="preserve">The polarity of the Hall voltage can be used to determine the sign of the charge carriers. As the Lorentz force acting on the carriers must be balanced by the electrostatic force, an expression for the Hall voltage can be derived. </w:t>
      </w:r>
    </w:p>
    <w:p w14:paraId="146CAA24" w14:textId="1D72EDEA" w:rsidR="00675776" w:rsidRPr="00A31A28" w:rsidRDefault="00675776" w:rsidP="00675776">
      <w:pPr>
        <w:jc w:val="both"/>
        <w:rPr>
          <w:rFonts w:eastAsiaTheme="minorEastAsia"/>
          <w:shd w:val="clear" w:color="auto" w:fill="FFFFFF"/>
        </w:rPr>
      </w:pPr>
      <m:oMathPara>
        <m:oMath>
          <m:r>
            <w:rPr>
              <w:rFonts w:ascii="Cambria Math" w:hAnsi="Cambria Math"/>
              <w:shd w:val="clear" w:color="auto" w:fill="FFFFFF"/>
            </w:rPr>
            <m:t>qvB=q</m:t>
          </m:r>
          <m:sSub>
            <m:sSubPr>
              <m:ctrlPr>
                <w:rPr>
                  <w:rFonts w:ascii="Cambria Math" w:hAnsi="Cambria Math"/>
                  <w:i/>
                  <w:shd w:val="clear" w:color="auto" w:fill="FFFFFF"/>
                </w:rPr>
              </m:ctrlPr>
            </m:sSubPr>
            <m:e>
              <m:r>
                <w:rPr>
                  <w:rFonts w:ascii="Cambria Math" w:hAnsi="Cambria Math"/>
                  <w:shd w:val="clear" w:color="auto" w:fill="FFFFFF"/>
                </w:rPr>
                <m:t>E</m:t>
              </m:r>
            </m:e>
            <m:sub>
              <m:r>
                <w:rPr>
                  <w:rFonts w:ascii="Cambria Math" w:hAnsi="Cambria Math"/>
                  <w:shd w:val="clear" w:color="auto" w:fill="FFFFFF"/>
                </w:rPr>
                <m:t>H</m:t>
              </m:r>
            </m:sub>
          </m:sSub>
        </m:oMath>
      </m:oMathPara>
    </w:p>
    <w:p w14:paraId="5D1DF78F" w14:textId="77777777" w:rsidR="00A31A28" w:rsidRPr="00675776" w:rsidRDefault="00A31A28" w:rsidP="00675776">
      <w:pPr>
        <w:jc w:val="both"/>
        <w:rPr>
          <w:rFonts w:eastAsiaTheme="minorEastAsia"/>
          <w:shd w:val="clear" w:color="auto" w:fill="FFFFFF"/>
        </w:rPr>
      </w:pPr>
    </w:p>
    <w:p w14:paraId="65CB30B3" w14:textId="0B1583E0" w:rsidR="00675776" w:rsidRDefault="00FF04A6" w:rsidP="00675776">
      <w:pPr>
        <w:jc w:val="both"/>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E</m:t>
              </m:r>
            </m:e>
            <m:sub>
              <m:r>
                <w:rPr>
                  <w:rFonts w:ascii="Cambria Math" w:hAnsi="Cambria Math"/>
                  <w:shd w:val="clear" w:color="auto" w:fill="FFFFFF"/>
                </w:rPr>
                <m:t>H</m:t>
              </m:r>
            </m:sub>
          </m:sSub>
          <m:r>
            <w:rPr>
              <w:rFonts w:ascii="Cambria Math" w:hAnsi="Cambria Math"/>
              <w:shd w:val="clear" w:color="auto" w:fill="FFFFFF"/>
            </w:rPr>
            <m:t>=vB</m:t>
          </m:r>
        </m:oMath>
      </m:oMathPara>
    </w:p>
    <w:p w14:paraId="1207F130" w14:textId="77777777" w:rsidR="00A31A28" w:rsidRDefault="00A31A28" w:rsidP="00675776">
      <w:pPr>
        <w:jc w:val="both"/>
        <w:rPr>
          <w:rFonts w:eastAsiaTheme="minorEastAsia"/>
          <w:shd w:val="clear" w:color="auto" w:fill="FFFFFF"/>
        </w:rPr>
      </w:pPr>
    </w:p>
    <w:p w14:paraId="4F99BB0F" w14:textId="61AF02B6" w:rsidR="00A86155" w:rsidRPr="00A31A28" w:rsidRDefault="00FF04A6" w:rsidP="00675776">
      <w:pPr>
        <w:jc w:val="both"/>
        <w:rPr>
          <w:rFonts w:ascii="Arial" w:eastAsiaTheme="minorEastAsia" w:hAnsi="Arial" w:cs="Arial"/>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H</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E</m:t>
              </m:r>
            </m:e>
            <m:sub>
              <m:r>
                <w:rPr>
                  <w:rFonts w:ascii="Cambria Math" w:hAnsi="Cambria Math"/>
                  <w:shd w:val="clear" w:color="auto" w:fill="FFFFFF"/>
                </w:rPr>
                <m:t>H</m:t>
              </m:r>
            </m:sub>
          </m:sSub>
          <m:r>
            <w:rPr>
              <w:rFonts w:ascii="Cambria Math" w:hAnsi="Cambria Math"/>
              <w:shd w:val="clear" w:color="auto" w:fill="FFFFFF"/>
            </w:rPr>
            <m:t>s=vBs</m:t>
          </m:r>
        </m:oMath>
      </m:oMathPara>
    </w:p>
    <w:p w14:paraId="2AB5D9D8" w14:textId="77777777" w:rsidR="00A31A28" w:rsidRPr="00675776" w:rsidRDefault="00A31A28" w:rsidP="00675776">
      <w:pPr>
        <w:jc w:val="both"/>
        <w:rPr>
          <w:rFonts w:ascii="Arial" w:eastAsiaTheme="minorEastAsia" w:hAnsi="Arial" w:cs="Arial"/>
          <w:shd w:val="clear" w:color="auto" w:fill="FFFFFF"/>
        </w:rPr>
      </w:pPr>
    </w:p>
    <w:p w14:paraId="59797A45" w14:textId="57B86462" w:rsidR="00675776" w:rsidRDefault="00675776" w:rsidP="00675776">
      <w:pPr>
        <w:jc w:val="both"/>
        <w:rPr>
          <w:shd w:val="clear" w:color="auto" w:fill="FFFFFF"/>
        </w:rPr>
      </w:pPr>
      <w:r>
        <w:rPr>
          <w:shd w:val="clear" w:color="auto" w:fill="FFFFFF"/>
        </w:rPr>
        <w:t>Where s is the width of the sample. Furthermore, since velocity of the carriers is related to current where A=</w:t>
      </w:r>
      <w:proofErr w:type="spellStart"/>
      <w:r>
        <w:rPr>
          <w:shd w:val="clear" w:color="auto" w:fill="FFFFFF"/>
        </w:rPr>
        <w:t>sd</w:t>
      </w:r>
      <w:proofErr w:type="spellEnd"/>
      <w:r>
        <w:rPr>
          <w:shd w:val="clear" w:color="auto" w:fill="FFFFFF"/>
        </w:rPr>
        <w:t xml:space="preserve"> is the cross sectional are of the sample and d is the thickness, </w:t>
      </w:r>
    </w:p>
    <w:p w14:paraId="18249AA2" w14:textId="3A34CFB4" w:rsidR="00675776" w:rsidRPr="00675776" w:rsidRDefault="00675776" w:rsidP="00675776">
      <w:pPr>
        <w:jc w:val="both"/>
        <w:rPr>
          <w:rFonts w:eastAsiaTheme="minorEastAsia"/>
          <w:shd w:val="clear" w:color="auto" w:fill="FFFFFF"/>
        </w:rPr>
      </w:pPr>
      <m:oMathPara>
        <m:oMath>
          <m:r>
            <w:rPr>
              <w:rFonts w:ascii="Cambria Math" w:hAnsi="Cambria Math"/>
              <w:shd w:val="clear" w:color="auto" w:fill="FFFFFF"/>
            </w:rPr>
            <w:lastRenderedPageBreak/>
            <m:t>v=</m:t>
          </m:r>
          <m:f>
            <m:fPr>
              <m:ctrlPr>
                <w:rPr>
                  <w:rFonts w:ascii="Cambria Math" w:hAnsi="Cambria Math"/>
                  <w:i/>
                  <w:shd w:val="clear" w:color="auto" w:fill="FFFFFF"/>
                </w:rPr>
              </m:ctrlPr>
            </m:fPr>
            <m:num>
              <m:r>
                <w:rPr>
                  <w:rFonts w:ascii="Cambria Math" w:hAnsi="Cambria Math"/>
                  <w:shd w:val="clear" w:color="auto" w:fill="FFFFFF"/>
                </w:rPr>
                <m:t>I</m:t>
              </m:r>
            </m:num>
            <m:den>
              <m:r>
                <w:rPr>
                  <w:rFonts w:ascii="Cambria Math" w:hAnsi="Cambria Math"/>
                  <w:shd w:val="clear" w:color="auto" w:fill="FFFFFF"/>
                </w:rPr>
                <m:t>nqA</m:t>
              </m:r>
            </m:den>
          </m:f>
        </m:oMath>
      </m:oMathPara>
    </w:p>
    <w:p w14:paraId="1710EF3B" w14:textId="2A706E4F" w:rsidR="00675776" w:rsidRDefault="00FF04A6" w:rsidP="00675776">
      <w:pPr>
        <w:jc w:val="both"/>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H</m:t>
              </m:r>
            </m:sub>
          </m:sSub>
          <m:r>
            <w:rPr>
              <w:rFonts w:ascii="Cambria Math" w:hAnsi="Cambria Math"/>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nq</m:t>
              </m:r>
            </m:den>
          </m:f>
          <m:f>
            <m:fPr>
              <m:ctrlPr>
                <w:rPr>
                  <w:rFonts w:ascii="Cambria Math" w:hAnsi="Cambria Math"/>
                  <w:i/>
                  <w:shd w:val="clear" w:color="auto" w:fill="FFFFFF"/>
                </w:rPr>
              </m:ctrlPr>
            </m:fPr>
            <m:num>
              <m:r>
                <w:rPr>
                  <w:rFonts w:ascii="Cambria Math" w:hAnsi="Cambria Math"/>
                  <w:shd w:val="clear" w:color="auto" w:fill="FFFFFF"/>
                </w:rPr>
                <m:t>IB</m:t>
              </m:r>
            </m:num>
            <m:den>
              <m:r>
                <w:rPr>
                  <w:rFonts w:ascii="Cambria Math" w:hAnsi="Cambria Math"/>
                  <w:shd w:val="clear" w:color="auto" w:fill="FFFFFF"/>
                </w:rPr>
                <m:t>d</m:t>
              </m:r>
            </m:den>
          </m:f>
        </m:oMath>
      </m:oMathPara>
    </w:p>
    <w:p w14:paraId="5BB592DA" w14:textId="7DC2464A" w:rsidR="00675776" w:rsidRPr="00E12868" w:rsidRDefault="00E12868" w:rsidP="00675776">
      <w:pPr>
        <w:rPr>
          <w:shd w:val="clear" w:color="auto" w:fill="FFFFFF"/>
        </w:rPr>
      </w:pPr>
      <w:r>
        <w:rPr>
          <w:shd w:val="clear" w:color="auto" w:fill="FFFFFF"/>
        </w:rPr>
        <w:t>R</w:t>
      </w:r>
      <w:r>
        <w:rPr>
          <w:shd w:val="clear" w:color="auto" w:fill="FFFFFF"/>
          <w:vertAlign w:val="subscript"/>
        </w:rPr>
        <w:t>H</w:t>
      </w:r>
      <w:r>
        <w:rPr>
          <w:shd w:val="clear" w:color="auto" w:fill="FFFFFF"/>
        </w:rPr>
        <w:t xml:space="preserve">=1/nq is called the Hall coefficient and it dependent of the material and temperature. Its sign gives the sign of the charge carriers. </w:t>
      </w:r>
    </w:p>
    <w:p w14:paraId="3D6387C1" w14:textId="3D180978" w:rsidR="00675776" w:rsidRPr="00C11FA3" w:rsidRDefault="00C11FA3" w:rsidP="00C11FA3">
      <w:pPr>
        <w:rPr>
          <w:shd w:val="clear" w:color="auto" w:fill="FFFFFF"/>
          <w:lang w:val="en-GB"/>
        </w:rPr>
      </w:pPr>
      <w:r>
        <w:rPr>
          <w:shd w:val="clear" w:color="auto" w:fill="FFFFFF"/>
          <w:lang w:val="az-Latn-AZ"/>
        </w:rPr>
        <w:t xml:space="preserve">The conductivity of materials also depend on the temperature and the energy gap </w:t>
      </w:r>
      <w:r>
        <w:rPr>
          <w:shd w:val="clear" w:color="auto" w:fill="FFFFFF"/>
          <w:lang w:val="en-GB"/>
        </w:rPr>
        <w:t xml:space="preserve">which can be described as the following where </w:t>
      </w:r>
      <m:oMath>
        <m:sSub>
          <m:sSubPr>
            <m:ctrlPr>
              <w:rPr>
                <w:rFonts w:ascii="Cambria Math" w:hAnsi="Cambria Math"/>
                <w:i/>
                <w:shd w:val="clear" w:color="auto" w:fill="FFFFFF"/>
                <w:lang w:val="en-GB"/>
              </w:rPr>
            </m:ctrlPr>
          </m:sSubPr>
          <m:e>
            <m:r>
              <w:rPr>
                <w:rFonts w:ascii="Cambria Math" w:hAnsi="Cambria Math"/>
                <w:shd w:val="clear" w:color="auto" w:fill="FFFFFF"/>
                <w:lang w:val="en-GB"/>
              </w:rPr>
              <m:t>σ</m:t>
            </m:r>
          </m:e>
          <m:sub>
            <m:r>
              <w:rPr>
                <w:rFonts w:ascii="Cambria Math" w:hAnsi="Cambria Math"/>
                <w:shd w:val="clear" w:color="auto" w:fill="FFFFFF"/>
                <w:lang w:val="en-GB"/>
              </w:rPr>
              <m:t>0</m:t>
            </m:r>
          </m:sub>
        </m:sSub>
      </m:oMath>
      <w:r>
        <w:rPr>
          <w:rFonts w:eastAsiaTheme="minorEastAsia"/>
          <w:shd w:val="clear" w:color="auto" w:fill="FFFFFF"/>
          <w:lang w:val="en-GB"/>
        </w:rPr>
        <w:t xml:space="preserve"> is conductivity at 0 Kelvin,</w:t>
      </w:r>
      <w:r>
        <w:rPr>
          <w:shd w:val="clear" w:color="auto" w:fill="FFFFFF"/>
          <w:lang w:val="en-GB"/>
        </w:rPr>
        <w:t xml:space="preserve"> k is the </w:t>
      </w:r>
      <w:proofErr w:type="spellStart"/>
      <w:r>
        <w:rPr>
          <w:shd w:val="clear" w:color="auto" w:fill="FFFFFF"/>
          <w:lang w:val="en-GB"/>
        </w:rPr>
        <w:t>Boltzman’s</w:t>
      </w:r>
      <w:proofErr w:type="spellEnd"/>
      <w:r>
        <w:rPr>
          <w:shd w:val="clear" w:color="auto" w:fill="FFFFFF"/>
          <w:lang w:val="en-GB"/>
        </w:rPr>
        <w:t xml:space="preserve"> constant, </w:t>
      </w:r>
      <w:proofErr w:type="spellStart"/>
      <w:r>
        <w:rPr>
          <w:shd w:val="clear" w:color="auto" w:fill="FFFFFF"/>
          <w:lang w:val="en-GB"/>
        </w:rPr>
        <w:t>E</w:t>
      </w:r>
      <w:r>
        <w:rPr>
          <w:shd w:val="clear" w:color="auto" w:fill="FFFFFF"/>
          <w:vertAlign w:val="subscript"/>
          <w:lang w:val="en-GB"/>
        </w:rPr>
        <w:t>g</w:t>
      </w:r>
      <w:proofErr w:type="spellEnd"/>
      <w:r>
        <w:rPr>
          <w:shd w:val="clear" w:color="auto" w:fill="FFFFFF"/>
          <w:lang w:val="en-GB"/>
        </w:rPr>
        <w:t xml:space="preserve"> is the energy gap and T is the temperature,</w:t>
      </w:r>
    </w:p>
    <w:p w14:paraId="105D538D" w14:textId="769B285E" w:rsidR="00C11FA3" w:rsidRPr="00C11FA3" w:rsidRDefault="00C11FA3" w:rsidP="00C11FA3">
      <w:pPr>
        <w:rPr>
          <w:shd w:val="clear" w:color="auto" w:fill="FFFFFF"/>
          <w:lang w:val="en-GB"/>
        </w:rPr>
      </w:pPr>
      <m:oMathPara>
        <m:oMath>
          <m:r>
            <w:rPr>
              <w:rFonts w:ascii="Cambria Math" w:hAnsi="Cambria Math"/>
              <w:shd w:val="clear" w:color="auto" w:fill="FFFFFF"/>
              <w:lang w:val="en-GB"/>
            </w:rPr>
            <m:t>σ=</m:t>
          </m:r>
          <m:sSub>
            <m:sSubPr>
              <m:ctrlPr>
                <w:rPr>
                  <w:rFonts w:ascii="Cambria Math" w:hAnsi="Cambria Math"/>
                  <w:i/>
                  <w:shd w:val="clear" w:color="auto" w:fill="FFFFFF"/>
                  <w:lang w:val="en-GB"/>
                </w:rPr>
              </m:ctrlPr>
            </m:sSubPr>
            <m:e>
              <m:r>
                <w:rPr>
                  <w:rFonts w:ascii="Cambria Math" w:hAnsi="Cambria Math"/>
                  <w:shd w:val="clear" w:color="auto" w:fill="FFFFFF"/>
                  <w:lang w:val="en-GB"/>
                </w:rPr>
                <m:t>σ</m:t>
              </m:r>
            </m:e>
            <m:sub>
              <m:r>
                <w:rPr>
                  <w:rFonts w:ascii="Cambria Math" w:hAnsi="Cambria Math"/>
                  <w:shd w:val="clear" w:color="auto" w:fill="FFFFFF"/>
                  <w:lang w:val="en-GB"/>
                </w:rPr>
                <m:t>0</m:t>
              </m:r>
            </m:sub>
          </m:sSub>
          <m:r>
            <w:rPr>
              <w:rFonts w:ascii="Cambria Math" w:hAnsi="Cambria Math"/>
              <w:shd w:val="clear" w:color="auto" w:fill="FFFFFF"/>
              <w:lang w:val="en-GB"/>
            </w:rPr>
            <m:t>exp(-</m:t>
          </m:r>
          <m:f>
            <m:fPr>
              <m:ctrlPr>
                <w:rPr>
                  <w:rFonts w:ascii="Cambria Math" w:hAnsi="Cambria Math"/>
                  <w:i/>
                  <w:shd w:val="clear" w:color="auto" w:fill="FFFFFF"/>
                  <w:lang w:val="en-GB"/>
                </w:rPr>
              </m:ctrlPr>
            </m:fPr>
            <m:num>
              <m:sSub>
                <m:sSubPr>
                  <m:ctrlPr>
                    <w:rPr>
                      <w:rFonts w:ascii="Cambria Math" w:hAnsi="Cambria Math"/>
                      <w:i/>
                      <w:shd w:val="clear" w:color="auto" w:fill="FFFFFF"/>
                      <w:lang w:val="en-GB"/>
                    </w:rPr>
                  </m:ctrlPr>
                </m:sSubPr>
                <m:e>
                  <m:r>
                    <w:rPr>
                      <w:rFonts w:ascii="Cambria Math" w:hAnsi="Cambria Math"/>
                      <w:shd w:val="clear" w:color="auto" w:fill="FFFFFF"/>
                      <w:lang w:val="en-GB"/>
                    </w:rPr>
                    <m:t>E</m:t>
                  </m:r>
                </m:e>
                <m:sub>
                  <m:r>
                    <w:rPr>
                      <w:rFonts w:ascii="Cambria Math" w:hAnsi="Cambria Math"/>
                      <w:shd w:val="clear" w:color="auto" w:fill="FFFFFF"/>
                      <w:lang w:val="en-GB"/>
                    </w:rPr>
                    <m:t>g</m:t>
                  </m:r>
                </m:sub>
              </m:sSub>
            </m:num>
            <m:den>
              <m:r>
                <w:rPr>
                  <w:rFonts w:ascii="Cambria Math" w:hAnsi="Cambria Math"/>
                  <w:shd w:val="clear" w:color="auto" w:fill="FFFFFF"/>
                  <w:lang w:val="en-GB"/>
                </w:rPr>
                <m:t>2kT</m:t>
              </m:r>
            </m:den>
          </m:f>
          <m:r>
            <w:rPr>
              <w:rFonts w:ascii="Cambria Math" w:hAnsi="Cambria Math"/>
              <w:shd w:val="clear" w:color="auto" w:fill="FFFFFF"/>
              <w:lang w:val="en-GB"/>
            </w:rPr>
            <m:t>)</m:t>
          </m:r>
        </m:oMath>
      </m:oMathPara>
    </w:p>
    <w:p w14:paraId="134C53BD" w14:textId="75B7DCF5" w:rsidR="00675776" w:rsidRDefault="00C11FA3" w:rsidP="00C11FA3">
      <w:pPr>
        <w:rPr>
          <w:shd w:val="clear" w:color="auto" w:fill="FFFFFF"/>
        </w:rPr>
      </w:pPr>
      <w:r>
        <w:rPr>
          <w:shd w:val="clear" w:color="auto" w:fill="FFFFFF"/>
        </w:rPr>
        <w:t xml:space="preserve">Furthermore, we can describe the mobility which is defined as </w:t>
      </w:r>
    </w:p>
    <w:p w14:paraId="29A49280" w14:textId="134D1F98" w:rsidR="00C11FA3" w:rsidRDefault="00C11FA3" w:rsidP="00C11FA3">
      <w:pPr>
        <w:rPr>
          <w:shd w:val="clear" w:color="auto" w:fill="FFFFFF"/>
        </w:rPr>
      </w:pPr>
      <m:oMathPara>
        <m:oMath>
          <m:r>
            <w:rPr>
              <w:rFonts w:ascii="Cambria Math" w:hAnsi="Cambria Math"/>
              <w:shd w:val="clear" w:color="auto" w:fill="FFFFFF"/>
            </w:rPr>
            <m:t>μ=</m:t>
          </m:r>
          <m:f>
            <m:fPr>
              <m:ctrlPr>
                <w:rPr>
                  <w:rFonts w:ascii="Cambria Math" w:hAnsi="Cambria Math"/>
                  <w:i/>
                  <w:shd w:val="clear" w:color="auto" w:fill="FFFFFF"/>
                </w:rPr>
              </m:ctrlPr>
            </m:fPr>
            <m:num>
              <m:r>
                <w:rPr>
                  <w:rFonts w:ascii="Cambria Math" w:hAnsi="Cambria Math"/>
                  <w:shd w:val="clear" w:color="auto" w:fill="FFFFFF"/>
                </w:rPr>
                <m:t>v</m:t>
              </m:r>
            </m:num>
            <m:den>
              <m:sSub>
                <m:sSubPr>
                  <m:ctrlPr>
                    <w:rPr>
                      <w:rFonts w:ascii="Cambria Math" w:hAnsi="Cambria Math"/>
                      <w:i/>
                      <w:shd w:val="clear" w:color="auto" w:fill="FFFFFF"/>
                    </w:rPr>
                  </m:ctrlPr>
                </m:sSubPr>
                <m:e>
                  <m:r>
                    <w:rPr>
                      <w:rFonts w:ascii="Cambria Math" w:hAnsi="Cambria Math"/>
                      <w:shd w:val="clear" w:color="auto" w:fill="FFFFFF"/>
                    </w:rPr>
                    <m:t>E</m:t>
                  </m:r>
                </m:e>
                <m:sub>
                  <m:r>
                    <w:rPr>
                      <w:rFonts w:ascii="Cambria Math" w:hAnsi="Cambria Math"/>
                      <w:shd w:val="clear" w:color="auto" w:fill="FFFFFF"/>
                    </w:rPr>
                    <m:t>app</m:t>
                  </m:r>
                </m:sub>
              </m:sSub>
            </m:den>
          </m:f>
          <m:r>
            <w:rPr>
              <w:rFonts w:ascii="Cambria Math" w:hAnsi="Cambria Math"/>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I</m:t>
              </m:r>
            </m:num>
            <m:den>
              <m:r>
                <w:rPr>
                  <w:rFonts w:ascii="Cambria Math" w:hAnsi="Cambria Math"/>
                  <w:shd w:val="clear" w:color="auto" w:fill="FFFFFF"/>
                </w:rPr>
                <m:t>nqA</m:t>
              </m:r>
            </m:den>
          </m:f>
          <m:f>
            <m:fPr>
              <m:ctrlPr>
                <w:rPr>
                  <w:rFonts w:ascii="Cambria Math" w:hAnsi="Cambria Math"/>
                  <w:i/>
                  <w:shd w:val="clear" w:color="auto" w:fill="FFFFFF"/>
                </w:rPr>
              </m:ctrlPr>
            </m:fPr>
            <m:num>
              <m:r>
                <w:rPr>
                  <w:rFonts w:ascii="Cambria Math" w:hAnsi="Cambria Math"/>
                  <w:shd w:val="clear" w:color="auto" w:fill="FFFFFF"/>
                </w:rPr>
                <m:t>l</m:t>
              </m:r>
            </m:num>
            <m:den>
              <m:sSub>
                <m:sSubPr>
                  <m:ctrlPr>
                    <w:rPr>
                      <w:rFonts w:ascii="Cambria Math" w:hAnsi="Cambria Math"/>
                      <w:i/>
                      <w:shd w:val="clear" w:color="auto" w:fill="FFFFFF"/>
                    </w:rPr>
                  </m:ctrlPr>
                </m:sSubPr>
                <m:e>
                  <m:r>
                    <w:rPr>
                      <w:rFonts w:ascii="Cambria Math" w:hAnsi="Cambria Math"/>
                      <w:shd w:val="clear" w:color="auto" w:fill="FFFFFF"/>
                    </w:rPr>
                    <m:t>V</m:t>
                  </m:r>
                </m:e>
                <m:sub>
                  <m:r>
                    <w:rPr>
                      <w:rFonts w:ascii="Cambria Math" w:hAnsi="Cambria Math"/>
                      <w:shd w:val="clear" w:color="auto" w:fill="FFFFFF"/>
                    </w:rPr>
                    <m:t>app</m:t>
                  </m:r>
                </m:sub>
              </m:sSub>
            </m:den>
          </m:f>
          <m:r>
            <w:rPr>
              <w:rFonts w:ascii="Cambria Math" w:hAnsi="Cambria Math"/>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l</m:t>
              </m:r>
            </m:num>
            <m:den>
              <m:r>
                <w:rPr>
                  <w:rFonts w:ascii="Cambria Math" w:hAnsi="Cambria Math"/>
                  <w:shd w:val="clear" w:color="auto" w:fill="FFFFFF"/>
                </w:rPr>
                <m:t>nqA</m:t>
              </m:r>
            </m:den>
          </m:f>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R</m:t>
              </m:r>
            </m:den>
          </m:f>
        </m:oMath>
      </m:oMathPara>
    </w:p>
    <w:p w14:paraId="7E0B7E22" w14:textId="77777777" w:rsidR="00675776" w:rsidRDefault="00675776" w:rsidP="006F2B91">
      <w:pPr>
        <w:jc w:val="both"/>
        <w:rPr>
          <w:rFonts w:ascii="Arial" w:hAnsi="Arial" w:cs="Arial"/>
          <w:color w:val="000000"/>
          <w:shd w:val="clear" w:color="auto" w:fill="FFFFFF"/>
        </w:rPr>
      </w:pPr>
    </w:p>
    <w:p w14:paraId="59671209" w14:textId="77777777" w:rsidR="00D24805" w:rsidRDefault="00D24805" w:rsidP="00532980">
      <w:pPr>
        <w:jc w:val="both"/>
        <w:rPr>
          <w:b/>
          <w:sz w:val="36"/>
          <w:lang w:val="en-GB"/>
        </w:rPr>
      </w:pPr>
    </w:p>
    <w:p w14:paraId="5362977F" w14:textId="7788E285" w:rsidR="001103D5" w:rsidRDefault="001103D5" w:rsidP="00532980">
      <w:pPr>
        <w:jc w:val="both"/>
        <w:rPr>
          <w:b/>
          <w:sz w:val="36"/>
          <w:lang w:val="en-GB"/>
        </w:rPr>
      </w:pPr>
      <w:r w:rsidRPr="0043209A">
        <w:rPr>
          <w:b/>
          <w:sz w:val="36"/>
          <w:lang w:val="en-GB"/>
        </w:rPr>
        <w:t>Experimental Details</w:t>
      </w:r>
    </w:p>
    <w:p w14:paraId="569A441E" w14:textId="1E2E1865" w:rsidR="00AA2613" w:rsidRDefault="00F14D06" w:rsidP="00AA2613">
      <w:pPr>
        <w:jc w:val="both"/>
        <w:rPr>
          <w:lang w:val="en-GB"/>
        </w:rPr>
      </w:pPr>
      <w:r>
        <w:rPr>
          <w:lang w:val="en-GB"/>
        </w:rPr>
        <w:t xml:space="preserve"> </w:t>
      </w:r>
      <w:r w:rsidR="00F52638">
        <w:rPr>
          <w:lang w:val="en-GB"/>
        </w:rPr>
        <w:t xml:space="preserve">The experimental setup includes </w:t>
      </w:r>
      <w:r w:rsidR="00AA2613">
        <w:rPr>
          <w:lang w:val="en-GB"/>
        </w:rPr>
        <w:t>Hall effect module</w:t>
      </w:r>
      <w:r w:rsidR="00F52638">
        <w:rPr>
          <w:lang w:val="en-GB"/>
        </w:rPr>
        <w:t>,</w:t>
      </w:r>
      <w:r w:rsidR="00AA2613">
        <w:rPr>
          <w:lang w:val="en-GB"/>
        </w:rPr>
        <w:t xml:space="preserve"> Hall probe,</w:t>
      </w:r>
      <w:r w:rsidR="00F52638">
        <w:rPr>
          <w:lang w:val="en-GB"/>
        </w:rPr>
        <w:t xml:space="preserve"> semiconductor, electromagnet, power supply,</w:t>
      </w:r>
      <w:r w:rsidR="0023705C">
        <w:rPr>
          <w:lang w:val="en-GB"/>
        </w:rPr>
        <w:t xml:space="preserve"> personal computer</w:t>
      </w:r>
      <w:r w:rsidR="00F52638">
        <w:rPr>
          <w:lang w:val="en-GB"/>
        </w:rPr>
        <w:t xml:space="preserve"> </w:t>
      </w:r>
      <w:r w:rsidR="00AA2613">
        <w:rPr>
          <w:lang w:val="en-GB"/>
        </w:rPr>
        <w:t>and a control computer</w:t>
      </w:r>
      <w:r w:rsidR="00F52638">
        <w:rPr>
          <w:lang w:val="en-GB"/>
        </w:rPr>
        <w:t xml:space="preserve"> which can be seen from the figure below</w:t>
      </w:r>
      <w:r w:rsidR="003460BE">
        <w:rPr>
          <w:lang w:val="en-GB"/>
        </w:rPr>
        <w:t xml:space="preserve">. </w:t>
      </w:r>
      <w:r w:rsidR="00AA2613">
        <w:rPr>
          <w:lang w:val="en-GB"/>
        </w:rPr>
        <w:t xml:space="preserve"> </w:t>
      </w:r>
      <w:r w:rsidR="0023705C">
        <w:rPr>
          <w:lang w:val="en-GB"/>
        </w:rPr>
        <w:t xml:space="preserve">The power supply provides the necessary current to create the magnetic field for the electromagnet. The applied magnetic field is measured with the Hall probe. </w:t>
      </w:r>
      <w:r w:rsidR="00A31A28">
        <w:rPr>
          <w:lang w:val="en-GB"/>
        </w:rPr>
        <w:t xml:space="preserve">The values of current, Hall voltage, magnetic flux are measured by the help of the “Cobra 3 Basic Unit” interface on the personal computer. </w:t>
      </w:r>
    </w:p>
    <w:p w14:paraId="269F54E1" w14:textId="77777777" w:rsidR="00AA2613" w:rsidRDefault="00AA2613" w:rsidP="00AA2613">
      <w:pPr>
        <w:jc w:val="center"/>
        <w:rPr>
          <w:lang w:val="en-GB"/>
        </w:rPr>
      </w:pPr>
    </w:p>
    <w:p w14:paraId="68736C08" w14:textId="773425E9" w:rsidR="001D1187" w:rsidRDefault="00F52638" w:rsidP="00AA2613">
      <w:pPr>
        <w:jc w:val="center"/>
        <w:rPr>
          <w:lang w:val="en-GB"/>
        </w:rPr>
      </w:pPr>
      <w:r>
        <w:fldChar w:fldCharType="begin"/>
      </w:r>
      <w:r>
        <w:instrText xml:space="preserve"> INCLUDEPICTURE "https://www.vicontrols.com/g3magctl/mctrlp1.jpg" \* MERGEFORMATINET </w:instrText>
      </w:r>
      <w:r>
        <w:fldChar w:fldCharType="end"/>
      </w:r>
      <w:r>
        <w:rPr>
          <w:noProof/>
        </w:rPr>
        <w:drawing>
          <wp:inline distT="0" distB="0" distL="0" distR="0" wp14:anchorId="18C22CA4" wp14:editId="7D792201">
            <wp:extent cx="4293235" cy="1822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93235" cy="1822450"/>
                    </a:xfrm>
                    <a:prstGeom prst="rect">
                      <a:avLst/>
                    </a:prstGeom>
                    <a:noFill/>
                    <a:ln>
                      <a:noFill/>
                    </a:ln>
                  </pic:spPr>
                </pic:pic>
              </a:graphicData>
            </a:graphic>
          </wp:inline>
        </w:drawing>
      </w:r>
    </w:p>
    <w:p w14:paraId="54C33DE6" w14:textId="03362179" w:rsidR="001D1187" w:rsidRDefault="003460BE" w:rsidP="00AA2613">
      <w:pPr>
        <w:ind w:firstLine="720"/>
        <w:jc w:val="center"/>
        <w:rPr>
          <w:lang w:val="en-GB"/>
        </w:rPr>
      </w:pPr>
      <w:r>
        <w:rPr>
          <w:lang w:val="en-GB"/>
        </w:rPr>
        <w:t>Figure 1. Experimental setup for Hall effect</w:t>
      </w:r>
      <w:r>
        <w:rPr>
          <w:rStyle w:val="FootnoteReference"/>
          <w:lang w:val="en-GB"/>
        </w:rPr>
        <w:footnoteReference w:id="3"/>
      </w:r>
    </w:p>
    <w:p w14:paraId="39F7C958" w14:textId="0E3191A9" w:rsidR="00A31A28" w:rsidRDefault="003460BE" w:rsidP="002F5E31">
      <w:pPr>
        <w:ind w:firstLine="720"/>
        <w:jc w:val="both"/>
        <w:rPr>
          <w:lang w:val="en-GB"/>
        </w:rPr>
      </w:pPr>
      <w:r>
        <w:rPr>
          <w:lang w:val="en-GB"/>
        </w:rPr>
        <w:lastRenderedPageBreak/>
        <w:t>The experiment consists of 2 parts. In the first, part we keep the magnetic flux constant while changing the current with the increments of 10 and record the Hall voltage and the current values.</w:t>
      </w:r>
      <w:r w:rsidR="00624E2D">
        <w:rPr>
          <w:lang w:val="en-GB"/>
        </w:rPr>
        <w:t xml:space="preserve"> For the second part, the current is kept constant while the magnetic flux density is decreased with the increments of 50 from 300 to zero. </w:t>
      </w:r>
    </w:p>
    <w:p w14:paraId="75A0D89F" w14:textId="77777777" w:rsidR="00A31A28" w:rsidRDefault="001103D5" w:rsidP="00A31A28">
      <w:pPr>
        <w:jc w:val="both"/>
        <w:rPr>
          <w:b/>
          <w:sz w:val="36"/>
          <w:szCs w:val="36"/>
          <w:lang w:val="en-GB"/>
        </w:rPr>
      </w:pPr>
      <w:r w:rsidRPr="0043209A">
        <w:rPr>
          <w:b/>
          <w:sz w:val="36"/>
          <w:szCs w:val="36"/>
          <w:lang w:val="en-GB"/>
        </w:rPr>
        <w:t>Measurement &amp; Data Analysis</w:t>
      </w:r>
    </w:p>
    <w:p w14:paraId="66C5BCDB" w14:textId="540597E4" w:rsidR="00A06693" w:rsidRPr="00A31A28" w:rsidRDefault="00A06693" w:rsidP="00A31A28">
      <w:pPr>
        <w:jc w:val="both"/>
        <w:rPr>
          <w:b/>
          <w:sz w:val="36"/>
          <w:szCs w:val="36"/>
          <w:lang w:val="en-GB"/>
        </w:rPr>
      </w:pPr>
      <w:r w:rsidRPr="00A06693">
        <w:rPr>
          <w:i/>
          <w:u w:val="single"/>
          <w:lang w:val="en-GB"/>
        </w:rPr>
        <w:t>Data</w:t>
      </w:r>
      <w:r>
        <w:rPr>
          <w:i/>
          <w:u w:val="single"/>
          <w:lang w:val="en-GB"/>
        </w:rPr>
        <w:t>:</w:t>
      </w:r>
    </w:p>
    <w:tbl>
      <w:tblPr>
        <w:tblStyle w:val="TableGrid"/>
        <w:tblW w:w="0" w:type="auto"/>
        <w:tblLook w:val="04A0" w:firstRow="1" w:lastRow="0" w:firstColumn="1" w:lastColumn="0" w:noHBand="0" w:noVBand="1"/>
      </w:tblPr>
      <w:tblGrid>
        <w:gridCol w:w="3116"/>
        <w:gridCol w:w="3117"/>
        <w:gridCol w:w="3117"/>
      </w:tblGrid>
      <w:tr w:rsidR="004170E0" w14:paraId="0BC55558" w14:textId="77777777" w:rsidTr="004170E0">
        <w:tc>
          <w:tcPr>
            <w:tcW w:w="3116" w:type="dxa"/>
          </w:tcPr>
          <w:p w14:paraId="0E347207" w14:textId="45382A77" w:rsidR="004170E0" w:rsidRDefault="004170E0" w:rsidP="00532980">
            <w:pPr>
              <w:jc w:val="both"/>
              <w:rPr>
                <w:rFonts w:eastAsiaTheme="minorEastAsia"/>
                <w:lang w:val="en-GB"/>
              </w:rPr>
            </w:pPr>
            <w:r>
              <w:rPr>
                <w:rFonts w:eastAsiaTheme="minorEastAsia"/>
                <w:lang w:val="en-GB"/>
              </w:rPr>
              <w:t>Sample Current, Ip(mA)</w:t>
            </w:r>
          </w:p>
        </w:tc>
        <w:tc>
          <w:tcPr>
            <w:tcW w:w="3117" w:type="dxa"/>
          </w:tcPr>
          <w:p w14:paraId="0D073C28" w14:textId="61D4ACC2" w:rsidR="004170E0" w:rsidRPr="004170E0" w:rsidRDefault="004170E0" w:rsidP="00532980">
            <w:pPr>
              <w:jc w:val="both"/>
              <w:rPr>
                <w:rFonts w:eastAsiaTheme="minorEastAsia"/>
                <w:lang w:val="en-GB"/>
              </w:rPr>
            </w:pPr>
            <w:r>
              <w:rPr>
                <w:rFonts w:eastAsiaTheme="minorEastAsia"/>
                <w:lang w:val="en-GB"/>
              </w:rPr>
              <w:t>Hall Voltage U</w:t>
            </w:r>
            <w:r>
              <w:rPr>
                <w:rFonts w:eastAsiaTheme="minorEastAsia"/>
                <w:vertAlign w:val="subscript"/>
                <w:lang w:val="en-GB"/>
              </w:rPr>
              <w:t>H</w:t>
            </w:r>
            <w:r>
              <w:rPr>
                <w:rFonts w:eastAsiaTheme="minorEastAsia"/>
                <w:lang w:val="en-GB"/>
              </w:rPr>
              <w:t xml:space="preserve"> (mV)</w:t>
            </w:r>
          </w:p>
        </w:tc>
        <w:tc>
          <w:tcPr>
            <w:tcW w:w="3117" w:type="dxa"/>
          </w:tcPr>
          <w:p w14:paraId="699B7430" w14:textId="19F705A6" w:rsidR="004170E0" w:rsidRDefault="004170E0" w:rsidP="00532980">
            <w:pPr>
              <w:jc w:val="both"/>
              <w:rPr>
                <w:rFonts w:eastAsiaTheme="minorEastAsia"/>
                <w:lang w:val="en-GB"/>
              </w:rPr>
            </w:pPr>
            <w:r>
              <w:rPr>
                <w:rFonts w:eastAsiaTheme="minorEastAsia"/>
                <w:lang w:val="en-GB"/>
              </w:rPr>
              <w:t>Slope (mV/mA)</w:t>
            </w:r>
          </w:p>
        </w:tc>
      </w:tr>
      <w:tr w:rsidR="004170E0" w14:paraId="6DE0D81C" w14:textId="77777777" w:rsidTr="004170E0">
        <w:tc>
          <w:tcPr>
            <w:tcW w:w="3116" w:type="dxa"/>
          </w:tcPr>
          <w:p w14:paraId="2C67C6C5" w14:textId="74F8D9D0" w:rsidR="004170E0" w:rsidRDefault="004170E0" w:rsidP="00532980">
            <w:pPr>
              <w:jc w:val="both"/>
              <w:rPr>
                <w:rFonts w:eastAsiaTheme="minorEastAsia"/>
                <w:lang w:val="en-GB"/>
              </w:rPr>
            </w:pPr>
            <w:r>
              <w:rPr>
                <w:rFonts w:eastAsiaTheme="minorEastAsia"/>
                <w:lang w:val="en-GB"/>
              </w:rPr>
              <w:t>-30</w:t>
            </w:r>
          </w:p>
        </w:tc>
        <w:tc>
          <w:tcPr>
            <w:tcW w:w="3117" w:type="dxa"/>
          </w:tcPr>
          <w:p w14:paraId="24413714" w14:textId="6FF10FCD" w:rsidR="004170E0" w:rsidRDefault="004170E0" w:rsidP="00532980">
            <w:pPr>
              <w:jc w:val="both"/>
              <w:rPr>
                <w:rFonts w:eastAsiaTheme="minorEastAsia"/>
                <w:lang w:val="en-GB"/>
              </w:rPr>
            </w:pPr>
            <w:r>
              <w:rPr>
                <w:rFonts w:eastAsiaTheme="minorEastAsia"/>
                <w:lang w:val="en-GB"/>
              </w:rPr>
              <w:t>-62.5</w:t>
            </w:r>
          </w:p>
        </w:tc>
        <w:tc>
          <w:tcPr>
            <w:tcW w:w="3117" w:type="dxa"/>
            <w:vMerge w:val="restart"/>
          </w:tcPr>
          <w:p w14:paraId="32FA4089" w14:textId="77777777" w:rsidR="004170E0" w:rsidRDefault="004170E0" w:rsidP="00532980">
            <w:pPr>
              <w:jc w:val="both"/>
              <w:rPr>
                <w:rFonts w:eastAsiaTheme="minorEastAsia"/>
                <w:lang w:val="en-GB"/>
              </w:rPr>
            </w:pPr>
          </w:p>
          <w:p w14:paraId="726F4EF4" w14:textId="77777777" w:rsidR="004170E0" w:rsidRDefault="004170E0" w:rsidP="00532980">
            <w:pPr>
              <w:jc w:val="both"/>
              <w:rPr>
                <w:rFonts w:eastAsiaTheme="minorEastAsia"/>
                <w:lang w:val="en-GB"/>
              </w:rPr>
            </w:pPr>
          </w:p>
          <w:p w14:paraId="0D9D3442" w14:textId="77777777" w:rsidR="004170E0" w:rsidRDefault="004170E0" w:rsidP="00532980">
            <w:pPr>
              <w:jc w:val="both"/>
              <w:rPr>
                <w:rFonts w:eastAsiaTheme="minorEastAsia"/>
                <w:lang w:val="en-GB"/>
              </w:rPr>
            </w:pPr>
          </w:p>
          <w:p w14:paraId="74EAC6FD" w14:textId="7D017A25" w:rsidR="004170E0" w:rsidRDefault="004170E0" w:rsidP="004170E0">
            <w:pPr>
              <w:jc w:val="center"/>
              <w:rPr>
                <w:rFonts w:eastAsiaTheme="minorEastAsia"/>
                <w:lang w:val="en-GB"/>
              </w:rPr>
            </w:pPr>
            <w:r>
              <w:rPr>
                <w:rFonts w:eastAsiaTheme="minorEastAsia"/>
                <w:lang w:val="en-GB"/>
              </w:rPr>
              <w:t>m=2.021</w:t>
            </w:r>
          </w:p>
        </w:tc>
      </w:tr>
      <w:tr w:rsidR="004170E0" w14:paraId="078B2379" w14:textId="77777777" w:rsidTr="004170E0">
        <w:tc>
          <w:tcPr>
            <w:tcW w:w="3116" w:type="dxa"/>
          </w:tcPr>
          <w:p w14:paraId="65CFA248" w14:textId="727E7737" w:rsidR="004170E0" w:rsidRDefault="004170E0" w:rsidP="00532980">
            <w:pPr>
              <w:jc w:val="both"/>
              <w:rPr>
                <w:rFonts w:eastAsiaTheme="minorEastAsia"/>
                <w:lang w:val="en-GB"/>
              </w:rPr>
            </w:pPr>
            <w:r>
              <w:rPr>
                <w:rFonts w:eastAsiaTheme="minorEastAsia"/>
                <w:lang w:val="en-GB"/>
              </w:rPr>
              <w:t>-20</w:t>
            </w:r>
          </w:p>
        </w:tc>
        <w:tc>
          <w:tcPr>
            <w:tcW w:w="3117" w:type="dxa"/>
          </w:tcPr>
          <w:p w14:paraId="69918496" w14:textId="79DFCD86" w:rsidR="004170E0" w:rsidRDefault="004170E0" w:rsidP="00532980">
            <w:pPr>
              <w:jc w:val="both"/>
              <w:rPr>
                <w:rFonts w:eastAsiaTheme="minorEastAsia"/>
                <w:lang w:val="en-GB"/>
              </w:rPr>
            </w:pPr>
            <w:r>
              <w:rPr>
                <w:rFonts w:eastAsiaTheme="minorEastAsia"/>
                <w:lang w:val="en-GB"/>
              </w:rPr>
              <w:t>-41.8</w:t>
            </w:r>
          </w:p>
        </w:tc>
        <w:tc>
          <w:tcPr>
            <w:tcW w:w="3117" w:type="dxa"/>
            <w:vMerge/>
          </w:tcPr>
          <w:p w14:paraId="0E9865EE" w14:textId="77777777" w:rsidR="004170E0" w:rsidRDefault="004170E0" w:rsidP="00532980">
            <w:pPr>
              <w:jc w:val="both"/>
              <w:rPr>
                <w:rFonts w:eastAsiaTheme="minorEastAsia"/>
                <w:lang w:val="en-GB"/>
              </w:rPr>
            </w:pPr>
          </w:p>
        </w:tc>
      </w:tr>
      <w:tr w:rsidR="004170E0" w14:paraId="2A07739D" w14:textId="77777777" w:rsidTr="004170E0">
        <w:tc>
          <w:tcPr>
            <w:tcW w:w="3116" w:type="dxa"/>
          </w:tcPr>
          <w:p w14:paraId="7FDC7B6C" w14:textId="11D36FA8" w:rsidR="004170E0" w:rsidRDefault="004170E0" w:rsidP="00532980">
            <w:pPr>
              <w:jc w:val="both"/>
              <w:rPr>
                <w:rFonts w:eastAsiaTheme="minorEastAsia"/>
                <w:lang w:val="en-GB"/>
              </w:rPr>
            </w:pPr>
            <w:r>
              <w:rPr>
                <w:rFonts w:eastAsiaTheme="minorEastAsia"/>
                <w:lang w:val="en-GB"/>
              </w:rPr>
              <w:t>-10</w:t>
            </w:r>
          </w:p>
        </w:tc>
        <w:tc>
          <w:tcPr>
            <w:tcW w:w="3117" w:type="dxa"/>
          </w:tcPr>
          <w:p w14:paraId="4877CD5A" w14:textId="3E101492" w:rsidR="004170E0" w:rsidRDefault="004170E0" w:rsidP="00532980">
            <w:pPr>
              <w:jc w:val="both"/>
              <w:rPr>
                <w:rFonts w:eastAsiaTheme="minorEastAsia"/>
                <w:lang w:val="en-GB"/>
              </w:rPr>
            </w:pPr>
            <w:r>
              <w:rPr>
                <w:rFonts w:eastAsiaTheme="minorEastAsia"/>
                <w:lang w:val="en-GB"/>
              </w:rPr>
              <w:t>-22</w:t>
            </w:r>
          </w:p>
        </w:tc>
        <w:tc>
          <w:tcPr>
            <w:tcW w:w="3117" w:type="dxa"/>
            <w:vMerge/>
          </w:tcPr>
          <w:p w14:paraId="370DDDEC" w14:textId="77777777" w:rsidR="004170E0" w:rsidRDefault="004170E0" w:rsidP="00532980">
            <w:pPr>
              <w:jc w:val="both"/>
              <w:rPr>
                <w:rFonts w:eastAsiaTheme="minorEastAsia"/>
                <w:lang w:val="en-GB"/>
              </w:rPr>
            </w:pPr>
          </w:p>
        </w:tc>
      </w:tr>
      <w:tr w:rsidR="004170E0" w14:paraId="1E5DE0E0" w14:textId="77777777" w:rsidTr="004170E0">
        <w:tc>
          <w:tcPr>
            <w:tcW w:w="3116" w:type="dxa"/>
          </w:tcPr>
          <w:p w14:paraId="7AEB0F72" w14:textId="776F3A06" w:rsidR="004170E0" w:rsidRDefault="004170E0" w:rsidP="00532980">
            <w:pPr>
              <w:jc w:val="both"/>
              <w:rPr>
                <w:rFonts w:eastAsiaTheme="minorEastAsia"/>
                <w:lang w:val="en-GB"/>
              </w:rPr>
            </w:pPr>
            <w:r>
              <w:rPr>
                <w:rFonts w:eastAsiaTheme="minorEastAsia"/>
                <w:lang w:val="en-GB"/>
              </w:rPr>
              <w:t>0</w:t>
            </w:r>
          </w:p>
        </w:tc>
        <w:tc>
          <w:tcPr>
            <w:tcW w:w="3117" w:type="dxa"/>
          </w:tcPr>
          <w:p w14:paraId="26BC7835" w14:textId="216FACF7" w:rsidR="004170E0" w:rsidRDefault="004170E0" w:rsidP="00532980">
            <w:pPr>
              <w:jc w:val="both"/>
              <w:rPr>
                <w:rFonts w:eastAsiaTheme="minorEastAsia"/>
                <w:lang w:val="en-GB"/>
              </w:rPr>
            </w:pPr>
            <w:r>
              <w:rPr>
                <w:rFonts w:eastAsiaTheme="minorEastAsia"/>
                <w:lang w:val="en-GB"/>
              </w:rPr>
              <w:t>-0.3</w:t>
            </w:r>
          </w:p>
        </w:tc>
        <w:tc>
          <w:tcPr>
            <w:tcW w:w="3117" w:type="dxa"/>
            <w:vMerge/>
          </w:tcPr>
          <w:p w14:paraId="275C6365" w14:textId="77777777" w:rsidR="004170E0" w:rsidRDefault="004170E0" w:rsidP="00532980">
            <w:pPr>
              <w:jc w:val="both"/>
              <w:rPr>
                <w:rFonts w:eastAsiaTheme="minorEastAsia"/>
                <w:lang w:val="en-GB"/>
              </w:rPr>
            </w:pPr>
          </w:p>
        </w:tc>
      </w:tr>
      <w:tr w:rsidR="004170E0" w14:paraId="3A925DDA" w14:textId="77777777" w:rsidTr="004170E0">
        <w:tc>
          <w:tcPr>
            <w:tcW w:w="3116" w:type="dxa"/>
          </w:tcPr>
          <w:p w14:paraId="1288BA49" w14:textId="2716F482" w:rsidR="004170E0" w:rsidRDefault="004170E0" w:rsidP="00532980">
            <w:pPr>
              <w:jc w:val="both"/>
              <w:rPr>
                <w:rFonts w:eastAsiaTheme="minorEastAsia"/>
                <w:lang w:val="en-GB"/>
              </w:rPr>
            </w:pPr>
            <w:r>
              <w:rPr>
                <w:rFonts w:eastAsiaTheme="minorEastAsia"/>
                <w:lang w:val="en-GB"/>
              </w:rPr>
              <w:t>10</w:t>
            </w:r>
          </w:p>
        </w:tc>
        <w:tc>
          <w:tcPr>
            <w:tcW w:w="3117" w:type="dxa"/>
          </w:tcPr>
          <w:p w14:paraId="225F2BE2" w14:textId="29E9489B" w:rsidR="004170E0" w:rsidRDefault="004170E0" w:rsidP="00532980">
            <w:pPr>
              <w:jc w:val="both"/>
              <w:rPr>
                <w:rFonts w:eastAsiaTheme="minorEastAsia"/>
                <w:lang w:val="en-GB"/>
              </w:rPr>
            </w:pPr>
            <w:r>
              <w:rPr>
                <w:rFonts w:eastAsiaTheme="minorEastAsia"/>
                <w:lang w:val="en-GB"/>
              </w:rPr>
              <w:t>20.6</w:t>
            </w:r>
          </w:p>
        </w:tc>
        <w:tc>
          <w:tcPr>
            <w:tcW w:w="3117" w:type="dxa"/>
            <w:vMerge/>
          </w:tcPr>
          <w:p w14:paraId="38233AC5" w14:textId="77777777" w:rsidR="004170E0" w:rsidRDefault="004170E0" w:rsidP="00532980">
            <w:pPr>
              <w:jc w:val="both"/>
              <w:rPr>
                <w:rFonts w:eastAsiaTheme="minorEastAsia"/>
                <w:lang w:val="en-GB"/>
              </w:rPr>
            </w:pPr>
          </w:p>
        </w:tc>
      </w:tr>
      <w:tr w:rsidR="004170E0" w14:paraId="3C88294C" w14:textId="77777777" w:rsidTr="004170E0">
        <w:tc>
          <w:tcPr>
            <w:tcW w:w="3116" w:type="dxa"/>
          </w:tcPr>
          <w:p w14:paraId="1C273636" w14:textId="70065053" w:rsidR="004170E0" w:rsidRDefault="004170E0" w:rsidP="00532980">
            <w:pPr>
              <w:jc w:val="both"/>
              <w:rPr>
                <w:rFonts w:eastAsiaTheme="minorEastAsia"/>
                <w:lang w:val="en-GB"/>
              </w:rPr>
            </w:pPr>
            <w:r>
              <w:rPr>
                <w:rFonts w:eastAsiaTheme="minorEastAsia"/>
                <w:lang w:val="en-GB"/>
              </w:rPr>
              <w:t>20</w:t>
            </w:r>
          </w:p>
        </w:tc>
        <w:tc>
          <w:tcPr>
            <w:tcW w:w="3117" w:type="dxa"/>
          </w:tcPr>
          <w:p w14:paraId="27576A12" w14:textId="0C61613B" w:rsidR="004170E0" w:rsidRDefault="004170E0" w:rsidP="00532980">
            <w:pPr>
              <w:jc w:val="both"/>
              <w:rPr>
                <w:rFonts w:eastAsiaTheme="minorEastAsia"/>
                <w:lang w:val="en-GB"/>
              </w:rPr>
            </w:pPr>
            <w:r>
              <w:rPr>
                <w:rFonts w:eastAsiaTheme="minorEastAsia"/>
                <w:lang w:val="en-GB"/>
              </w:rPr>
              <w:t>38.9</w:t>
            </w:r>
          </w:p>
        </w:tc>
        <w:tc>
          <w:tcPr>
            <w:tcW w:w="3117" w:type="dxa"/>
            <w:vMerge/>
          </w:tcPr>
          <w:p w14:paraId="5F8CEDB5" w14:textId="77777777" w:rsidR="004170E0" w:rsidRDefault="004170E0" w:rsidP="00532980">
            <w:pPr>
              <w:jc w:val="both"/>
              <w:rPr>
                <w:rFonts w:eastAsiaTheme="minorEastAsia"/>
                <w:lang w:val="en-GB"/>
              </w:rPr>
            </w:pPr>
          </w:p>
        </w:tc>
      </w:tr>
      <w:tr w:rsidR="004170E0" w14:paraId="02458D9A" w14:textId="77777777" w:rsidTr="004170E0">
        <w:tc>
          <w:tcPr>
            <w:tcW w:w="3116" w:type="dxa"/>
          </w:tcPr>
          <w:p w14:paraId="4EA51BB4" w14:textId="03FAC30E" w:rsidR="004170E0" w:rsidRDefault="004170E0" w:rsidP="00532980">
            <w:pPr>
              <w:jc w:val="both"/>
              <w:rPr>
                <w:rFonts w:eastAsiaTheme="minorEastAsia"/>
                <w:lang w:val="en-GB"/>
              </w:rPr>
            </w:pPr>
            <w:r>
              <w:rPr>
                <w:rFonts w:eastAsiaTheme="minorEastAsia"/>
                <w:lang w:val="en-GB"/>
              </w:rPr>
              <w:t>30</w:t>
            </w:r>
          </w:p>
        </w:tc>
        <w:tc>
          <w:tcPr>
            <w:tcW w:w="3117" w:type="dxa"/>
          </w:tcPr>
          <w:p w14:paraId="2F24B317" w14:textId="2A98D54A" w:rsidR="004170E0" w:rsidRDefault="004170E0" w:rsidP="00532980">
            <w:pPr>
              <w:jc w:val="both"/>
              <w:rPr>
                <w:rFonts w:eastAsiaTheme="minorEastAsia"/>
                <w:lang w:val="en-GB"/>
              </w:rPr>
            </w:pPr>
            <w:r>
              <w:rPr>
                <w:rFonts w:eastAsiaTheme="minorEastAsia"/>
                <w:lang w:val="en-GB"/>
              </w:rPr>
              <w:t>58.1</w:t>
            </w:r>
          </w:p>
        </w:tc>
        <w:tc>
          <w:tcPr>
            <w:tcW w:w="3117" w:type="dxa"/>
            <w:vMerge/>
          </w:tcPr>
          <w:p w14:paraId="2DF74602" w14:textId="77777777" w:rsidR="004170E0" w:rsidRDefault="004170E0" w:rsidP="00532980">
            <w:pPr>
              <w:jc w:val="both"/>
              <w:rPr>
                <w:rFonts w:eastAsiaTheme="minorEastAsia"/>
                <w:lang w:val="en-GB"/>
              </w:rPr>
            </w:pPr>
          </w:p>
        </w:tc>
      </w:tr>
    </w:tbl>
    <w:p w14:paraId="1ADF29DF" w14:textId="5E8F78A6" w:rsidR="00507F7E" w:rsidRDefault="00B849DE" w:rsidP="00532980">
      <w:pPr>
        <w:jc w:val="both"/>
        <w:rPr>
          <w:rFonts w:eastAsiaTheme="minorEastAsia"/>
          <w:lang w:val="en-GB"/>
        </w:rPr>
      </w:pPr>
      <w:r w:rsidRPr="00B849DE">
        <w:rPr>
          <w:rFonts w:eastAsiaTheme="minorEastAsia"/>
          <w:lang w:val="en-GB"/>
        </w:rPr>
        <w:t xml:space="preserve">Table 1: </w:t>
      </w:r>
      <w:r w:rsidR="004170E0">
        <w:rPr>
          <w:rFonts w:eastAsiaTheme="minorEastAsia"/>
          <w:lang w:val="en-GB"/>
        </w:rPr>
        <w:t xml:space="preserve">Hall Voltage corresponding to Sample Current </w:t>
      </w:r>
    </w:p>
    <w:p w14:paraId="35AC8C22" w14:textId="77777777" w:rsidR="00F70025" w:rsidRDefault="00F70025" w:rsidP="00532980">
      <w:pPr>
        <w:jc w:val="both"/>
        <w:rPr>
          <w:rFonts w:eastAsiaTheme="minorEastAsia"/>
          <w:lang w:val="en-GB"/>
        </w:rPr>
      </w:pPr>
    </w:p>
    <w:p w14:paraId="2E3D1959" w14:textId="5E35167C" w:rsidR="00B849DE" w:rsidRDefault="003D1543" w:rsidP="00532980">
      <w:pPr>
        <w:jc w:val="both"/>
        <w:rPr>
          <w:rFonts w:eastAsiaTheme="minorEastAsia"/>
          <w:lang w:val="en-GB"/>
        </w:rPr>
      </w:pPr>
      <w:r>
        <w:rPr>
          <w:rFonts w:eastAsiaTheme="minorEastAsia"/>
          <w:lang w:val="en-GB"/>
        </w:rPr>
        <w:t xml:space="preserve">Table 1 describes </w:t>
      </w:r>
      <w:r w:rsidR="00894D78">
        <w:rPr>
          <w:rFonts w:eastAsiaTheme="minorEastAsia"/>
          <w:lang w:val="en-GB"/>
        </w:rPr>
        <w:t xml:space="preserve">the relation between the current passing through the semiconductor and the Hall voltage created on it. We can see that the value of the Hall voltage is proportional to the </w:t>
      </w:r>
      <w:r w:rsidR="00D10949">
        <w:rPr>
          <w:rFonts w:eastAsiaTheme="minorEastAsia"/>
          <w:lang w:val="en-GB"/>
        </w:rPr>
        <w:t>sample current.</w:t>
      </w:r>
    </w:p>
    <w:p w14:paraId="59050606" w14:textId="30C4EEEB" w:rsidR="00F70025" w:rsidRDefault="00F70025" w:rsidP="00532980">
      <w:pPr>
        <w:jc w:val="both"/>
        <w:rPr>
          <w:rFonts w:eastAsiaTheme="minorEastAsia"/>
          <w:lang w:val="en-GB"/>
        </w:rPr>
      </w:pPr>
    </w:p>
    <w:p w14:paraId="0E0E85F1" w14:textId="77777777" w:rsidR="00F70025" w:rsidRDefault="00F70025" w:rsidP="00532980">
      <w:pPr>
        <w:jc w:val="both"/>
        <w:rPr>
          <w:rFonts w:eastAsiaTheme="minorEastAsia"/>
          <w:lang w:val="en-GB"/>
        </w:rPr>
      </w:pPr>
    </w:p>
    <w:tbl>
      <w:tblPr>
        <w:tblStyle w:val="TableGrid"/>
        <w:tblW w:w="0" w:type="auto"/>
        <w:tblLayout w:type="fixed"/>
        <w:tblLook w:val="04A0" w:firstRow="1" w:lastRow="0" w:firstColumn="1" w:lastColumn="0" w:noHBand="0" w:noVBand="1"/>
      </w:tblPr>
      <w:tblGrid>
        <w:gridCol w:w="3116"/>
        <w:gridCol w:w="3117"/>
        <w:gridCol w:w="3117"/>
      </w:tblGrid>
      <w:tr w:rsidR="004170E0" w14:paraId="65E14A6E" w14:textId="77777777" w:rsidTr="004170E0">
        <w:tc>
          <w:tcPr>
            <w:tcW w:w="3116" w:type="dxa"/>
          </w:tcPr>
          <w:p w14:paraId="33F28FD2" w14:textId="046A721F" w:rsidR="004170E0" w:rsidRDefault="004170E0" w:rsidP="009C4ABD">
            <w:pPr>
              <w:jc w:val="both"/>
              <w:rPr>
                <w:rFonts w:eastAsiaTheme="minorEastAsia"/>
                <w:lang w:val="en-GB"/>
              </w:rPr>
            </w:pPr>
            <w:r>
              <w:rPr>
                <w:rFonts w:eastAsiaTheme="minorEastAsia"/>
                <w:lang w:val="en-GB"/>
              </w:rPr>
              <w:t>Flux density, B(mT)</w:t>
            </w:r>
          </w:p>
        </w:tc>
        <w:tc>
          <w:tcPr>
            <w:tcW w:w="3117" w:type="dxa"/>
          </w:tcPr>
          <w:p w14:paraId="7B84364A" w14:textId="77777777" w:rsidR="004170E0" w:rsidRPr="004170E0" w:rsidRDefault="004170E0" w:rsidP="009C4ABD">
            <w:pPr>
              <w:jc w:val="both"/>
              <w:rPr>
                <w:rFonts w:eastAsiaTheme="minorEastAsia"/>
                <w:lang w:val="en-GB"/>
              </w:rPr>
            </w:pPr>
            <w:r>
              <w:rPr>
                <w:rFonts w:eastAsiaTheme="minorEastAsia"/>
                <w:lang w:val="en-GB"/>
              </w:rPr>
              <w:t>Hall Voltage U</w:t>
            </w:r>
            <w:r>
              <w:rPr>
                <w:rFonts w:eastAsiaTheme="minorEastAsia"/>
                <w:vertAlign w:val="subscript"/>
                <w:lang w:val="en-GB"/>
              </w:rPr>
              <w:t>H</w:t>
            </w:r>
            <w:r>
              <w:rPr>
                <w:rFonts w:eastAsiaTheme="minorEastAsia"/>
                <w:lang w:val="en-GB"/>
              </w:rPr>
              <w:t xml:space="preserve"> (mV)</w:t>
            </w:r>
          </w:p>
        </w:tc>
        <w:tc>
          <w:tcPr>
            <w:tcW w:w="3117" w:type="dxa"/>
          </w:tcPr>
          <w:p w14:paraId="1A23AE45" w14:textId="24210576" w:rsidR="004170E0" w:rsidRPr="004170E0" w:rsidRDefault="004170E0" w:rsidP="009C4ABD">
            <w:pPr>
              <w:jc w:val="both"/>
              <w:rPr>
                <w:rFonts w:eastAsiaTheme="minorEastAsia"/>
                <w:lang w:val="en-GB"/>
              </w:rPr>
            </w:pPr>
            <w:r>
              <w:rPr>
                <w:rFonts w:eastAsiaTheme="minorEastAsia"/>
                <w:lang w:val="en-GB"/>
              </w:rPr>
              <w:t>Sample Voltage U</w:t>
            </w:r>
            <w:r>
              <w:rPr>
                <w:rFonts w:eastAsiaTheme="minorEastAsia"/>
                <w:vertAlign w:val="subscript"/>
                <w:lang w:val="en-GB"/>
              </w:rPr>
              <w:t>p</w:t>
            </w:r>
            <w:r>
              <w:rPr>
                <w:rFonts w:eastAsiaTheme="minorEastAsia"/>
                <w:lang w:val="en-GB"/>
              </w:rPr>
              <w:t xml:space="preserve"> (mV)</w:t>
            </w:r>
          </w:p>
        </w:tc>
      </w:tr>
      <w:tr w:rsidR="004170E0" w14:paraId="74EA87A8" w14:textId="77777777" w:rsidTr="004170E0">
        <w:tc>
          <w:tcPr>
            <w:tcW w:w="3116" w:type="dxa"/>
          </w:tcPr>
          <w:p w14:paraId="0EF1551A" w14:textId="390D2B66" w:rsidR="004170E0" w:rsidRDefault="004170E0" w:rsidP="009C4ABD">
            <w:pPr>
              <w:jc w:val="both"/>
              <w:rPr>
                <w:rFonts w:eastAsiaTheme="minorEastAsia"/>
                <w:lang w:val="en-GB"/>
              </w:rPr>
            </w:pPr>
            <w:r>
              <w:rPr>
                <w:rFonts w:eastAsiaTheme="minorEastAsia"/>
                <w:lang w:val="en-GB"/>
              </w:rPr>
              <w:t>300</w:t>
            </w:r>
          </w:p>
        </w:tc>
        <w:tc>
          <w:tcPr>
            <w:tcW w:w="3117" w:type="dxa"/>
          </w:tcPr>
          <w:p w14:paraId="5B5A7294" w14:textId="13E0084D" w:rsidR="004170E0" w:rsidRDefault="004170E0" w:rsidP="009C4ABD">
            <w:pPr>
              <w:jc w:val="both"/>
              <w:rPr>
                <w:rFonts w:eastAsiaTheme="minorEastAsia"/>
                <w:lang w:val="en-GB"/>
              </w:rPr>
            </w:pPr>
            <w:r>
              <w:rPr>
                <w:rFonts w:eastAsiaTheme="minorEastAsia"/>
                <w:lang w:val="en-GB"/>
              </w:rPr>
              <w:t>58.0</w:t>
            </w:r>
          </w:p>
        </w:tc>
        <w:tc>
          <w:tcPr>
            <w:tcW w:w="3117" w:type="dxa"/>
          </w:tcPr>
          <w:p w14:paraId="662D5A35" w14:textId="5D2D3A74" w:rsidR="004170E0" w:rsidRDefault="004170E0" w:rsidP="004170E0">
            <w:pPr>
              <w:rPr>
                <w:rFonts w:eastAsiaTheme="minorEastAsia"/>
                <w:lang w:val="en-GB"/>
              </w:rPr>
            </w:pPr>
            <w:r>
              <w:rPr>
                <w:rFonts w:eastAsiaTheme="minorEastAsia"/>
                <w:lang w:val="en-GB"/>
              </w:rPr>
              <w:t>1.54</w:t>
            </w:r>
          </w:p>
        </w:tc>
      </w:tr>
      <w:tr w:rsidR="004170E0" w14:paraId="6FF62035" w14:textId="77777777" w:rsidTr="004170E0">
        <w:tc>
          <w:tcPr>
            <w:tcW w:w="3116" w:type="dxa"/>
          </w:tcPr>
          <w:p w14:paraId="64632127" w14:textId="3EF8F6DB" w:rsidR="004170E0" w:rsidRDefault="004170E0" w:rsidP="009C4ABD">
            <w:pPr>
              <w:jc w:val="both"/>
              <w:rPr>
                <w:rFonts w:eastAsiaTheme="minorEastAsia"/>
                <w:lang w:val="en-GB"/>
              </w:rPr>
            </w:pPr>
            <w:r>
              <w:rPr>
                <w:rFonts w:eastAsiaTheme="minorEastAsia"/>
                <w:lang w:val="en-GB"/>
              </w:rPr>
              <w:t>250</w:t>
            </w:r>
          </w:p>
        </w:tc>
        <w:tc>
          <w:tcPr>
            <w:tcW w:w="3117" w:type="dxa"/>
          </w:tcPr>
          <w:p w14:paraId="49FBCF60" w14:textId="39BCC6C6" w:rsidR="004170E0" w:rsidRDefault="004170E0" w:rsidP="009C4ABD">
            <w:pPr>
              <w:jc w:val="both"/>
              <w:rPr>
                <w:rFonts w:eastAsiaTheme="minorEastAsia"/>
                <w:lang w:val="en-GB"/>
              </w:rPr>
            </w:pPr>
            <w:r>
              <w:rPr>
                <w:rFonts w:eastAsiaTheme="minorEastAsia"/>
                <w:lang w:val="en-GB"/>
              </w:rPr>
              <w:t>50.1</w:t>
            </w:r>
          </w:p>
        </w:tc>
        <w:tc>
          <w:tcPr>
            <w:tcW w:w="3117" w:type="dxa"/>
          </w:tcPr>
          <w:p w14:paraId="5C4F7987" w14:textId="5312E33C" w:rsidR="004170E0" w:rsidRDefault="004170E0" w:rsidP="009C4ABD">
            <w:pPr>
              <w:jc w:val="both"/>
              <w:rPr>
                <w:rFonts w:eastAsiaTheme="minorEastAsia"/>
                <w:lang w:val="en-GB"/>
              </w:rPr>
            </w:pPr>
            <w:r>
              <w:rPr>
                <w:rFonts w:eastAsiaTheme="minorEastAsia"/>
                <w:lang w:val="en-GB"/>
              </w:rPr>
              <w:t>1.53</w:t>
            </w:r>
          </w:p>
        </w:tc>
      </w:tr>
      <w:tr w:rsidR="004170E0" w14:paraId="1AA7022B" w14:textId="77777777" w:rsidTr="004170E0">
        <w:tc>
          <w:tcPr>
            <w:tcW w:w="3116" w:type="dxa"/>
          </w:tcPr>
          <w:p w14:paraId="503E8E3C" w14:textId="1B7A644E" w:rsidR="004170E0" w:rsidRDefault="004170E0" w:rsidP="009C4ABD">
            <w:pPr>
              <w:jc w:val="both"/>
              <w:rPr>
                <w:rFonts w:eastAsiaTheme="minorEastAsia"/>
                <w:lang w:val="en-GB"/>
              </w:rPr>
            </w:pPr>
            <w:r>
              <w:rPr>
                <w:rFonts w:eastAsiaTheme="minorEastAsia"/>
                <w:lang w:val="en-GB"/>
              </w:rPr>
              <w:t>200</w:t>
            </w:r>
          </w:p>
        </w:tc>
        <w:tc>
          <w:tcPr>
            <w:tcW w:w="3117" w:type="dxa"/>
          </w:tcPr>
          <w:p w14:paraId="0AE36CBE" w14:textId="20DB122C" w:rsidR="004170E0" w:rsidRDefault="004170E0" w:rsidP="009C4ABD">
            <w:pPr>
              <w:jc w:val="both"/>
              <w:rPr>
                <w:rFonts w:eastAsiaTheme="minorEastAsia"/>
                <w:lang w:val="en-GB"/>
              </w:rPr>
            </w:pPr>
            <w:r>
              <w:rPr>
                <w:rFonts w:eastAsiaTheme="minorEastAsia"/>
                <w:lang w:val="en-GB"/>
              </w:rPr>
              <w:t>41.5</w:t>
            </w:r>
          </w:p>
        </w:tc>
        <w:tc>
          <w:tcPr>
            <w:tcW w:w="3117" w:type="dxa"/>
          </w:tcPr>
          <w:p w14:paraId="51CF5970" w14:textId="17BF744F" w:rsidR="004170E0" w:rsidRDefault="004170E0" w:rsidP="009C4ABD">
            <w:pPr>
              <w:jc w:val="both"/>
              <w:rPr>
                <w:rFonts w:eastAsiaTheme="minorEastAsia"/>
                <w:lang w:val="en-GB"/>
              </w:rPr>
            </w:pPr>
            <w:r>
              <w:rPr>
                <w:rFonts w:eastAsiaTheme="minorEastAsia"/>
                <w:lang w:val="en-GB"/>
              </w:rPr>
              <w:t>1.51</w:t>
            </w:r>
          </w:p>
        </w:tc>
      </w:tr>
      <w:tr w:rsidR="004170E0" w14:paraId="19D32B50" w14:textId="77777777" w:rsidTr="004170E0">
        <w:tc>
          <w:tcPr>
            <w:tcW w:w="3116" w:type="dxa"/>
          </w:tcPr>
          <w:p w14:paraId="140AF55B" w14:textId="0BCA25E4" w:rsidR="004170E0" w:rsidRDefault="004170E0" w:rsidP="009C4ABD">
            <w:pPr>
              <w:jc w:val="both"/>
              <w:rPr>
                <w:rFonts w:eastAsiaTheme="minorEastAsia"/>
                <w:lang w:val="en-GB"/>
              </w:rPr>
            </w:pPr>
            <w:r>
              <w:rPr>
                <w:rFonts w:eastAsiaTheme="minorEastAsia"/>
                <w:lang w:val="en-GB"/>
              </w:rPr>
              <w:t>150</w:t>
            </w:r>
          </w:p>
        </w:tc>
        <w:tc>
          <w:tcPr>
            <w:tcW w:w="3117" w:type="dxa"/>
          </w:tcPr>
          <w:p w14:paraId="03734D59" w14:textId="3DDDEB42" w:rsidR="004170E0" w:rsidRDefault="004170E0" w:rsidP="009C4ABD">
            <w:pPr>
              <w:jc w:val="both"/>
              <w:rPr>
                <w:rFonts w:eastAsiaTheme="minorEastAsia"/>
                <w:lang w:val="en-GB"/>
              </w:rPr>
            </w:pPr>
            <w:r>
              <w:rPr>
                <w:rFonts w:eastAsiaTheme="minorEastAsia"/>
                <w:lang w:val="en-GB"/>
              </w:rPr>
              <w:t>32.0</w:t>
            </w:r>
          </w:p>
        </w:tc>
        <w:tc>
          <w:tcPr>
            <w:tcW w:w="3117" w:type="dxa"/>
          </w:tcPr>
          <w:p w14:paraId="796B0607" w14:textId="594948DB" w:rsidR="004170E0" w:rsidRDefault="004170E0" w:rsidP="009C4ABD">
            <w:pPr>
              <w:jc w:val="both"/>
              <w:rPr>
                <w:rFonts w:eastAsiaTheme="minorEastAsia"/>
                <w:lang w:val="en-GB"/>
              </w:rPr>
            </w:pPr>
            <w:r>
              <w:rPr>
                <w:rFonts w:eastAsiaTheme="minorEastAsia"/>
                <w:lang w:val="en-GB"/>
              </w:rPr>
              <w:t>1.51</w:t>
            </w:r>
          </w:p>
        </w:tc>
      </w:tr>
      <w:tr w:rsidR="004170E0" w14:paraId="7FA91FD1" w14:textId="77777777" w:rsidTr="004170E0">
        <w:tc>
          <w:tcPr>
            <w:tcW w:w="3116" w:type="dxa"/>
          </w:tcPr>
          <w:p w14:paraId="55315DC6" w14:textId="651C5D3D" w:rsidR="004170E0" w:rsidRDefault="004170E0" w:rsidP="009C4ABD">
            <w:pPr>
              <w:jc w:val="both"/>
              <w:rPr>
                <w:rFonts w:eastAsiaTheme="minorEastAsia"/>
                <w:lang w:val="en-GB"/>
              </w:rPr>
            </w:pPr>
            <w:r>
              <w:rPr>
                <w:rFonts w:eastAsiaTheme="minorEastAsia"/>
                <w:lang w:val="en-GB"/>
              </w:rPr>
              <w:t>100</w:t>
            </w:r>
          </w:p>
        </w:tc>
        <w:tc>
          <w:tcPr>
            <w:tcW w:w="3117" w:type="dxa"/>
          </w:tcPr>
          <w:p w14:paraId="61E75A3B" w14:textId="643E1A18" w:rsidR="004170E0" w:rsidRDefault="004170E0" w:rsidP="009C4ABD">
            <w:pPr>
              <w:jc w:val="both"/>
              <w:rPr>
                <w:rFonts w:eastAsiaTheme="minorEastAsia"/>
                <w:lang w:val="en-GB"/>
              </w:rPr>
            </w:pPr>
            <w:r>
              <w:rPr>
                <w:rFonts w:eastAsiaTheme="minorEastAsia"/>
                <w:lang w:val="en-GB"/>
              </w:rPr>
              <w:t>22.0</w:t>
            </w:r>
          </w:p>
        </w:tc>
        <w:tc>
          <w:tcPr>
            <w:tcW w:w="3117" w:type="dxa"/>
          </w:tcPr>
          <w:p w14:paraId="037D7975" w14:textId="65E7B274" w:rsidR="004170E0" w:rsidRDefault="004170E0" w:rsidP="009C4ABD">
            <w:pPr>
              <w:jc w:val="both"/>
              <w:rPr>
                <w:rFonts w:eastAsiaTheme="minorEastAsia"/>
                <w:lang w:val="en-GB"/>
              </w:rPr>
            </w:pPr>
            <w:r>
              <w:rPr>
                <w:rFonts w:eastAsiaTheme="minorEastAsia"/>
                <w:lang w:val="en-GB"/>
              </w:rPr>
              <w:t>1.50</w:t>
            </w:r>
          </w:p>
        </w:tc>
      </w:tr>
      <w:tr w:rsidR="004170E0" w14:paraId="11700B02" w14:textId="77777777" w:rsidTr="004170E0">
        <w:tc>
          <w:tcPr>
            <w:tcW w:w="3116" w:type="dxa"/>
          </w:tcPr>
          <w:p w14:paraId="16369C79" w14:textId="41F5EA29" w:rsidR="004170E0" w:rsidRDefault="004170E0" w:rsidP="009C4ABD">
            <w:pPr>
              <w:jc w:val="both"/>
              <w:rPr>
                <w:rFonts w:eastAsiaTheme="minorEastAsia"/>
                <w:lang w:val="en-GB"/>
              </w:rPr>
            </w:pPr>
            <w:r>
              <w:rPr>
                <w:rFonts w:eastAsiaTheme="minorEastAsia"/>
                <w:lang w:val="en-GB"/>
              </w:rPr>
              <w:t>50</w:t>
            </w:r>
          </w:p>
        </w:tc>
        <w:tc>
          <w:tcPr>
            <w:tcW w:w="3117" w:type="dxa"/>
          </w:tcPr>
          <w:p w14:paraId="481D9810" w14:textId="0D563364" w:rsidR="004170E0" w:rsidRDefault="004170E0" w:rsidP="009C4ABD">
            <w:pPr>
              <w:jc w:val="both"/>
              <w:rPr>
                <w:rFonts w:eastAsiaTheme="minorEastAsia"/>
                <w:lang w:val="en-GB"/>
              </w:rPr>
            </w:pPr>
            <w:r>
              <w:rPr>
                <w:rFonts w:eastAsiaTheme="minorEastAsia"/>
                <w:lang w:val="en-GB"/>
              </w:rPr>
              <w:t>11.6</w:t>
            </w:r>
          </w:p>
        </w:tc>
        <w:tc>
          <w:tcPr>
            <w:tcW w:w="3117" w:type="dxa"/>
          </w:tcPr>
          <w:p w14:paraId="325F69F1" w14:textId="69B98221" w:rsidR="004170E0" w:rsidRDefault="004170E0" w:rsidP="009C4ABD">
            <w:pPr>
              <w:jc w:val="both"/>
              <w:rPr>
                <w:rFonts w:eastAsiaTheme="minorEastAsia"/>
                <w:lang w:val="en-GB"/>
              </w:rPr>
            </w:pPr>
            <w:r>
              <w:rPr>
                <w:rFonts w:eastAsiaTheme="minorEastAsia"/>
                <w:lang w:val="en-GB"/>
              </w:rPr>
              <w:t>1.50</w:t>
            </w:r>
          </w:p>
        </w:tc>
      </w:tr>
      <w:tr w:rsidR="004170E0" w14:paraId="15048ABC" w14:textId="77777777" w:rsidTr="004170E0">
        <w:tc>
          <w:tcPr>
            <w:tcW w:w="3116" w:type="dxa"/>
          </w:tcPr>
          <w:p w14:paraId="12631802" w14:textId="3B607400" w:rsidR="004170E0" w:rsidRDefault="004170E0" w:rsidP="009C4ABD">
            <w:pPr>
              <w:jc w:val="both"/>
              <w:rPr>
                <w:rFonts w:eastAsiaTheme="minorEastAsia"/>
                <w:lang w:val="en-GB"/>
              </w:rPr>
            </w:pPr>
            <w:r>
              <w:rPr>
                <w:rFonts w:eastAsiaTheme="minorEastAsia"/>
                <w:lang w:val="en-GB"/>
              </w:rPr>
              <w:t>0.2</w:t>
            </w:r>
          </w:p>
        </w:tc>
        <w:tc>
          <w:tcPr>
            <w:tcW w:w="3117" w:type="dxa"/>
          </w:tcPr>
          <w:p w14:paraId="7E9CB4C1" w14:textId="62F4226D" w:rsidR="004170E0" w:rsidRDefault="004170E0" w:rsidP="009C4ABD">
            <w:pPr>
              <w:jc w:val="both"/>
              <w:rPr>
                <w:rFonts w:eastAsiaTheme="minorEastAsia"/>
                <w:lang w:val="en-GB"/>
              </w:rPr>
            </w:pPr>
            <w:r>
              <w:rPr>
                <w:rFonts w:eastAsiaTheme="minorEastAsia"/>
                <w:lang w:val="en-GB"/>
              </w:rPr>
              <w:t>1.1</w:t>
            </w:r>
          </w:p>
        </w:tc>
        <w:tc>
          <w:tcPr>
            <w:tcW w:w="3117" w:type="dxa"/>
          </w:tcPr>
          <w:p w14:paraId="5CCF3A83" w14:textId="1A59E3B1" w:rsidR="004170E0" w:rsidRDefault="004170E0" w:rsidP="009C4ABD">
            <w:pPr>
              <w:jc w:val="both"/>
              <w:rPr>
                <w:rFonts w:eastAsiaTheme="minorEastAsia"/>
                <w:lang w:val="en-GB"/>
              </w:rPr>
            </w:pPr>
            <w:r>
              <w:rPr>
                <w:rFonts w:eastAsiaTheme="minorEastAsia"/>
                <w:lang w:val="en-GB"/>
              </w:rPr>
              <w:t>1.49</w:t>
            </w:r>
          </w:p>
        </w:tc>
      </w:tr>
    </w:tbl>
    <w:p w14:paraId="2C94D955" w14:textId="099ADA54" w:rsidR="00B849DE" w:rsidRPr="00D62427" w:rsidRDefault="00B849DE" w:rsidP="00532980">
      <w:pPr>
        <w:jc w:val="both"/>
        <w:rPr>
          <w:rFonts w:eastAsiaTheme="minorEastAsia"/>
        </w:rPr>
      </w:pPr>
      <w:r w:rsidRPr="00D62427">
        <w:rPr>
          <w:rFonts w:eastAsiaTheme="minorEastAsia"/>
        </w:rPr>
        <w:t xml:space="preserve">Table 2: Currents vs voltages </w:t>
      </w:r>
      <w:r w:rsidR="002114E3" w:rsidRPr="00D62427">
        <w:rPr>
          <w:rFonts w:eastAsiaTheme="minorEastAsia"/>
        </w:rPr>
        <w:t xml:space="preserve">in at constant </w:t>
      </w:r>
      <w:r w:rsidRPr="00D62427">
        <w:rPr>
          <w:rFonts w:eastAsiaTheme="minorEastAsia"/>
        </w:rPr>
        <w:t xml:space="preserve">intensity (aperture diameter 4mm) </w:t>
      </w:r>
      <w:r w:rsidR="002114E3" w:rsidRPr="00D62427">
        <w:rPr>
          <w:rFonts w:eastAsiaTheme="minorEastAsia"/>
        </w:rPr>
        <w:t>for</w:t>
      </w:r>
      <w:r w:rsidRPr="00D62427">
        <w:rPr>
          <w:rFonts w:eastAsiaTheme="minorEastAsia"/>
        </w:rPr>
        <w:t xml:space="preserve"> dif</w:t>
      </w:r>
      <w:r w:rsidR="002114E3" w:rsidRPr="00D62427">
        <w:rPr>
          <w:rFonts w:eastAsiaTheme="minorEastAsia"/>
        </w:rPr>
        <w:t>f</w:t>
      </w:r>
      <w:r w:rsidRPr="00D62427">
        <w:rPr>
          <w:rFonts w:eastAsiaTheme="minorEastAsia"/>
        </w:rPr>
        <w:t>erent wavelengths</w:t>
      </w:r>
    </w:p>
    <w:p w14:paraId="171FD256" w14:textId="3788BC35" w:rsidR="00D24805" w:rsidRDefault="00B61F56" w:rsidP="00D24805">
      <w:pPr>
        <w:jc w:val="both"/>
        <w:rPr>
          <w:rFonts w:eastAsiaTheme="minorEastAsia"/>
          <w:i/>
          <w:u w:val="single"/>
          <w:lang w:val="en-GB"/>
        </w:rPr>
      </w:pPr>
      <w:r w:rsidRPr="00D62427">
        <w:rPr>
          <w:rFonts w:eastAsiaTheme="minorEastAsia"/>
        </w:rPr>
        <w:t>From Table 2 we can see the</w:t>
      </w:r>
      <w:r w:rsidR="00894D78" w:rsidRPr="00D62427">
        <w:rPr>
          <w:rFonts w:eastAsiaTheme="minorEastAsia"/>
        </w:rPr>
        <w:t xml:space="preserve"> decrease in the Hall Voltage as the flux density decreases</w:t>
      </w:r>
      <w:r w:rsidR="003803B1">
        <w:rPr>
          <w:rFonts w:eastAsiaTheme="minorEastAsia"/>
        </w:rPr>
        <w:t>. We also observe a slight change in sample voltage even though  sam</w:t>
      </w:r>
      <w:bookmarkStart w:id="1" w:name="_GoBack"/>
      <w:bookmarkEnd w:id="1"/>
      <w:r w:rsidR="003803B1">
        <w:rPr>
          <w:rFonts w:eastAsiaTheme="minorEastAsia"/>
        </w:rPr>
        <w:t xml:space="preserve">ple current doesn’t change. </w:t>
      </w:r>
      <w:r w:rsidR="00894D78" w:rsidRPr="00D62427">
        <w:rPr>
          <w:rFonts w:eastAsiaTheme="minorEastAsia"/>
        </w:rPr>
        <w:t xml:space="preserve"> </w:t>
      </w:r>
    </w:p>
    <w:p w14:paraId="419E782B" w14:textId="77777777" w:rsidR="00F70025" w:rsidRDefault="00F70025" w:rsidP="00D24805">
      <w:pPr>
        <w:jc w:val="both"/>
        <w:rPr>
          <w:rFonts w:eastAsiaTheme="minorEastAsia"/>
          <w:i/>
          <w:u w:val="single"/>
          <w:lang w:val="en-GB"/>
        </w:rPr>
      </w:pPr>
    </w:p>
    <w:p w14:paraId="62B01D4E" w14:textId="77777777" w:rsidR="00F70025" w:rsidRDefault="00F70025" w:rsidP="00D24805">
      <w:pPr>
        <w:jc w:val="both"/>
        <w:rPr>
          <w:rFonts w:eastAsiaTheme="minorEastAsia"/>
          <w:i/>
          <w:u w:val="single"/>
          <w:lang w:val="en-GB"/>
        </w:rPr>
      </w:pPr>
    </w:p>
    <w:p w14:paraId="0A76D761" w14:textId="78655663" w:rsidR="00D24805" w:rsidRDefault="00A06693" w:rsidP="00D24805">
      <w:pPr>
        <w:jc w:val="both"/>
        <w:rPr>
          <w:rFonts w:eastAsiaTheme="minorEastAsia"/>
          <w:i/>
          <w:u w:val="single"/>
          <w:lang w:val="en-GB"/>
        </w:rPr>
      </w:pPr>
      <w:r w:rsidRPr="00A06693">
        <w:rPr>
          <w:rFonts w:eastAsiaTheme="minorEastAsia"/>
          <w:i/>
          <w:u w:val="single"/>
          <w:lang w:val="en-GB"/>
        </w:rPr>
        <w:t>Plots:</w:t>
      </w:r>
    </w:p>
    <w:p w14:paraId="32CE529C" w14:textId="481C85D5" w:rsidR="00D62427" w:rsidRDefault="00D62427" w:rsidP="0000578E">
      <w:pPr>
        <w:jc w:val="center"/>
        <w:rPr>
          <w:rFonts w:eastAsiaTheme="minorEastAsia"/>
          <w:lang w:val="en-GB"/>
        </w:rPr>
      </w:pPr>
      <w:r>
        <w:rPr>
          <w:noProof/>
        </w:rPr>
        <w:lastRenderedPageBreak/>
        <w:drawing>
          <wp:inline distT="0" distB="0" distL="0" distR="0" wp14:anchorId="487A8FE0" wp14:editId="7ADD3326">
            <wp:extent cx="3871913"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1913" cy="2581275"/>
                    </a:xfrm>
                    <a:prstGeom prst="rect">
                      <a:avLst/>
                    </a:prstGeom>
                    <a:noFill/>
                    <a:ln>
                      <a:noFill/>
                    </a:ln>
                  </pic:spPr>
                </pic:pic>
              </a:graphicData>
            </a:graphic>
          </wp:inline>
        </w:drawing>
      </w:r>
    </w:p>
    <w:p w14:paraId="74DBA379" w14:textId="6222B3FF" w:rsidR="00D62427" w:rsidRDefault="00D62427" w:rsidP="00D62427">
      <w:pPr>
        <w:jc w:val="center"/>
        <w:rPr>
          <w:rFonts w:eastAsiaTheme="minorEastAsia"/>
          <w:lang w:val="en-GB"/>
        </w:rPr>
      </w:pPr>
      <w:r>
        <w:rPr>
          <w:rFonts w:eastAsiaTheme="minorEastAsia"/>
          <w:lang w:val="en-GB"/>
        </w:rPr>
        <w:t xml:space="preserve">Figure </w:t>
      </w:r>
      <w:r w:rsidR="00F70025">
        <w:rPr>
          <w:rFonts w:eastAsiaTheme="minorEastAsia"/>
          <w:lang w:val="en-GB"/>
        </w:rPr>
        <w:t>2</w:t>
      </w:r>
      <w:r>
        <w:rPr>
          <w:rFonts w:eastAsiaTheme="minorEastAsia"/>
          <w:lang w:val="en-GB"/>
        </w:rPr>
        <w:t xml:space="preserve">. </w:t>
      </w:r>
      <w:r w:rsidRPr="00B849DE">
        <w:rPr>
          <w:rFonts w:eastAsiaTheme="minorEastAsia"/>
          <w:lang w:val="en-GB"/>
        </w:rPr>
        <w:t xml:space="preserve">: </w:t>
      </w:r>
      <w:r>
        <w:rPr>
          <w:rFonts w:eastAsiaTheme="minorEastAsia"/>
          <w:lang w:val="en-GB"/>
        </w:rPr>
        <w:t xml:space="preserve">Hall Voltage corresponding to Sample Current </w:t>
      </w:r>
    </w:p>
    <w:p w14:paraId="1E6F9202" w14:textId="5A045896" w:rsidR="00A06693" w:rsidRDefault="00D62427" w:rsidP="00D62427">
      <w:pPr>
        <w:jc w:val="both"/>
        <w:rPr>
          <w:rFonts w:eastAsiaTheme="minorEastAsia"/>
          <w:lang w:val="en-GB"/>
        </w:rPr>
      </w:pPr>
      <w:r>
        <w:rPr>
          <w:rFonts w:eastAsiaTheme="minorEastAsia"/>
          <w:lang w:val="en-GB"/>
        </w:rPr>
        <w:t xml:space="preserve">Figure </w:t>
      </w:r>
      <w:r w:rsidR="00F70025">
        <w:rPr>
          <w:rFonts w:eastAsiaTheme="minorEastAsia"/>
          <w:lang w:val="en-GB"/>
        </w:rPr>
        <w:t>2.</w:t>
      </w:r>
      <w:r>
        <w:rPr>
          <w:rFonts w:eastAsiaTheme="minorEastAsia"/>
          <w:lang w:val="en-GB"/>
        </w:rPr>
        <w:t xml:space="preserve"> corresponds to the Table 1 in Data part. The slope of the graph equals to 2.02 mV/mA</w:t>
      </w:r>
    </w:p>
    <w:p w14:paraId="73C759E4" w14:textId="77777777" w:rsidR="00F70025" w:rsidRPr="00A06693" w:rsidRDefault="00F70025" w:rsidP="00D62427">
      <w:pPr>
        <w:jc w:val="both"/>
        <w:rPr>
          <w:rFonts w:eastAsiaTheme="minorEastAsia"/>
          <w:lang w:val="en-GB"/>
        </w:rPr>
      </w:pPr>
    </w:p>
    <w:p w14:paraId="38B89A0F" w14:textId="05EA513E" w:rsidR="00A06693" w:rsidRPr="005F1627" w:rsidRDefault="00D62427" w:rsidP="005F1627">
      <w:pPr>
        <w:jc w:val="center"/>
        <w:rPr>
          <w:rFonts w:eastAsiaTheme="minorEastAsia"/>
          <w:lang w:val="en-GB"/>
        </w:rPr>
      </w:pPr>
      <w:r>
        <w:rPr>
          <w:noProof/>
        </w:rPr>
        <w:drawing>
          <wp:inline distT="0" distB="0" distL="0" distR="0" wp14:anchorId="250662CF" wp14:editId="093B6B01">
            <wp:extent cx="3757613"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019" cy="2508679"/>
                    </a:xfrm>
                    <a:prstGeom prst="rect">
                      <a:avLst/>
                    </a:prstGeom>
                    <a:noFill/>
                    <a:ln>
                      <a:noFill/>
                    </a:ln>
                  </pic:spPr>
                </pic:pic>
              </a:graphicData>
            </a:graphic>
          </wp:inline>
        </w:drawing>
      </w:r>
    </w:p>
    <w:p w14:paraId="64A5364C" w14:textId="355113A8" w:rsidR="00A06693" w:rsidRDefault="005F1627" w:rsidP="00D54FE3">
      <w:pPr>
        <w:ind w:firstLine="720"/>
        <w:jc w:val="center"/>
        <w:rPr>
          <w:lang w:val="en-GB"/>
        </w:rPr>
      </w:pPr>
      <w:r>
        <w:rPr>
          <w:lang w:val="en-GB"/>
        </w:rPr>
        <w:t xml:space="preserve">Figure </w:t>
      </w:r>
      <w:r w:rsidR="00F70025">
        <w:rPr>
          <w:lang w:val="en-GB"/>
        </w:rPr>
        <w:t>3</w:t>
      </w:r>
      <w:r>
        <w:rPr>
          <w:lang w:val="en-GB"/>
        </w:rPr>
        <w:t xml:space="preserve">. </w:t>
      </w:r>
      <w:r w:rsidR="00D62427">
        <w:rPr>
          <w:lang w:val="en-GB"/>
        </w:rPr>
        <w:t>Plot of Hall voltage dependence on flux density</w:t>
      </w:r>
    </w:p>
    <w:p w14:paraId="55E88CEE" w14:textId="20DE82EC" w:rsidR="00A06693" w:rsidRDefault="005F1627" w:rsidP="005F1627">
      <w:pPr>
        <w:jc w:val="both"/>
        <w:rPr>
          <w:lang w:val="en-GB"/>
        </w:rPr>
      </w:pPr>
      <w:r>
        <w:rPr>
          <w:lang w:val="en-GB"/>
        </w:rPr>
        <w:t xml:space="preserve">Figure </w:t>
      </w:r>
      <w:r w:rsidR="00F70025">
        <w:rPr>
          <w:lang w:val="en-GB"/>
        </w:rPr>
        <w:t>3</w:t>
      </w:r>
      <w:r>
        <w:rPr>
          <w:lang w:val="en-GB"/>
        </w:rPr>
        <w:t xml:space="preserve"> corresponds to the Table </w:t>
      </w:r>
      <w:r w:rsidR="00D62427">
        <w:rPr>
          <w:lang w:val="en-GB"/>
        </w:rPr>
        <w:t>2</w:t>
      </w:r>
      <w:r>
        <w:rPr>
          <w:lang w:val="en-GB"/>
        </w:rPr>
        <w:t xml:space="preserve">. </w:t>
      </w:r>
      <w:r w:rsidR="00D62427">
        <w:rPr>
          <w:lang w:val="en-GB"/>
        </w:rPr>
        <w:t>The slope of the plot is 0.19 mV/mT.</w:t>
      </w:r>
    </w:p>
    <w:p w14:paraId="3063E450" w14:textId="39539F1B" w:rsidR="001B102E" w:rsidRDefault="00A06693" w:rsidP="00532980">
      <w:pPr>
        <w:jc w:val="both"/>
        <w:rPr>
          <w:rFonts w:eastAsiaTheme="minorEastAsia"/>
          <w:i/>
          <w:u w:val="single"/>
          <w:lang w:val="en-GB"/>
        </w:rPr>
      </w:pPr>
      <w:r w:rsidRPr="00A06693">
        <w:rPr>
          <w:rFonts w:eastAsiaTheme="minorEastAsia"/>
          <w:i/>
          <w:u w:val="single"/>
          <w:lang w:val="en-GB"/>
        </w:rPr>
        <w:t>Calculations:</w:t>
      </w:r>
    </w:p>
    <w:p w14:paraId="381EA9EA" w14:textId="0D363B32" w:rsidR="001D1187" w:rsidRPr="009570B1" w:rsidRDefault="00FF04A6" w:rsidP="00D24805">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H</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nq</m:t>
              </m:r>
            </m:den>
          </m:f>
          <m:f>
            <m:fPr>
              <m:ctrlPr>
                <w:rPr>
                  <w:rFonts w:ascii="Cambria Math" w:hAnsi="Cambria Math"/>
                  <w:i/>
                  <w:lang w:val="en-GB"/>
                </w:rPr>
              </m:ctrlPr>
            </m:fPr>
            <m:num>
              <m:r>
                <w:rPr>
                  <w:rFonts w:ascii="Cambria Math" w:hAnsi="Cambria Math"/>
                  <w:lang w:val="en-GB"/>
                </w:rPr>
                <m:t>IB</m:t>
              </m:r>
            </m:num>
            <m:den>
              <m:r>
                <w:rPr>
                  <w:rFonts w:ascii="Cambria Math" w:hAnsi="Cambria Math"/>
                  <w:lang w:val="en-GB"/>
                </w:rPr>
                <m:t>d</m:t>
              </m:r>
            </m:den>
          </m:f>
        </m:oMath>
      </m:oMathPara>
    </w:p>
    <w:p w14:paraId="02F4D1B4" w14:textId="60ED1E84" w:rsidR="0000578E" w:rsidRDefault="0000578E" w:rsidP="00D24805">
      <w:pPr>
        <w:jc w:val="both"/>
        <w:rPr>
          <w:rFonts w:eastAsiaTheme="minorEastAsia"/>
          <w:lang w:val="en-GB"/>
        </w:rPr>
      </w:pPr>
      <w:r>
        <w:rPr>
          <w:rFonts w:eastAsiaTheme="minorEastAsia"/>
          <w:lang w:val="en-GB"/>
        </w:rPr>
        <w:t xml:space="preserve">For the first part: </w:t>
      </w:r>
    </w:p>
    <w:p w14:paraId="03B8962F" w14:textId="2B34C9FD" w:rsidR="003803B1" w:rsidRDefault="000F7141" w:rsidP="00D24805">
      <w:pPr>
        <w:jc w:val="both"/>
        <w:rPr>
          <w:rFonts w:eastAsiaTheme="minorEastAsia"/>
          <w:lang w:val="en-GB"/>
        </w:rPr>
      </w:pPr>
      <w:r>
        <w:rPr>
          <w:rFonts w:eastAsiaTheme="minorEastAsia"/>
          <w:lang w:val="en-GB"/>
        </w:rPr>
        <w:t xml:space="preserve">d=0.001 m, B=300 </w:t>
      </w:r>
      <w:proofErr w:type="spellStart"/>
      <w:r>
        <w:rPr>
          <w:rFonts w:eastAsiaTheme="minorEastAsia"/>
          <w:lang w:val="en-GB"/>
        </w:rPr>
        <w:t>mT</w:t>
      </w:r>
      <w:proofErr w:type="spellEnd"/>
      <w:r>
        <w:rPr>
          <w:rFonts w:eastAsiaTheme="minorEastAsia"/>
          <w:lang w:val="en-GB"/>
        </w:rPr>
        <w:t>, q=1.602*10</w:t>
      </w:r>
      <w:r>
        <w:rPr>
          <w:rFonts w:eastAsiaTheme="minorEastAsia"/>
          <w:vertAlign w:val="superscript"/>
          <w:lang w:val="en-GB"/>
        </w:rPr>
        <w:t>-19</w:t>
      </w:r>
      <w:r>
        <w:rPr>
          <w:rFonts w:eastAsiaTheme="minorEastAsia"/>
          <w:lang w:val="en-GB"/>
        </w:rPr>
        <w:t xml:space="preserve">, </w:t>
      </w:r>
      <m:oMath>
        <m:f>
          <m:fPr>
            <m:ctrlPr>
              <w:rPr>
                <w:rFonts w:ascii="Cambria Math" w:hAnsi="Cambria Math"/>
                <w:i/>
                <w:lang w:val="en-GB"/>
              </w:rPr>
            </m:ctrlPr>
          </m:fPr>
          <m:num>
            <m:r>
              <w:rPr>
                <w:rFonts w:ascii="Cambria Math" w:hAnsi="Cambria Math"/>
                <w:lang w:val="en-GB"/>
              </w:rPr>
              <m:t>I</m:t>
            </m: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H</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2.02 mV/mA</m:t>
            </m:r>
          </m:den>
        </m:f>
      </m:oMath>
    </w:p>
    <w:p w14:paraId="748995A0" w14:textId="16933EB9" w:rsidR="009570B1" w:rsidRPr="000F7141" w:rsidRDefault="009570B1" w:rsidP="00D24805">
      <w:pPr>
        <w:jc w:val="both"/>
        <w:rPr>
          <w:rFonts w:eastAsiaTheme="minorEastAsia"/>
          <w:lang w:val="en-GB"/>
        </w:rPr>
      </w:pPr>
      <m:oMathPara>
        <m:oMath>
          <m:r>
            <w:rPr>
              <w:rFonts w:ascii="Cambria Math" w:hAnsi="Cambria Math"/>
              <w:lang w:val="en-GB"/>
            </w:rPr>
            <w:lastRenderedPageBreak/>
            <m:t>n=</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H</m:t>
                  </m:r>
                </m:sub>
              </m:sSub>
              <m:r>
                <w:rPr>
                  <w:rFonts w:ascii="Cambria Math" w:hAnsi="Cambria Math"/>
                  <w:lang w:val="en-GB"/>
                </w:rPr>
                <m:t>/I</m:t>
              </m:r>
            </m:den>
          </m:f>
          <m:f>
            <m:fPr>
              <m:ctrlPr>
                <w:rPr>
                  <w:rFonts w:ascii="Cambria Math" w:hAnsi="Cambria Math"/>
                  <w:i/>
                  <w:lang w:val="en-GB"/>
                </w:rPr>
              </m:ctrlPr>
            </m:fPr>
            <m:num>
              <m:r>
                <w:rPr>
                  <w:rFonts w:ascii="Cambria Math" w:hAnsi="Cambria Math"/>
                  <w:lang w:val="en-GB"/>
                </w:rPr>
                <m:t>B</m:t>
              </m:r>
            </m:num>
            <m:den>
              <m:r>
                <w:rPr>
                  <w:rFonts w:ascii="Cambria Math" w:hAnsi="Cambria Math"/>
                  <w:lang w:val="en-GB"/>
                </w:rPr>
                <m:t>qd</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 xml:space="preserve">300 mT </m:t>
              </m:r>
            </m:num>
            <m:den>
              <m:r>
                <w:rPr>
                  <w:rFonts w:ascii="Cambria Math" w:hAnsi="Cambria Math"/>
                  <w:lang w:val="en-GB"/>
                </w:rPr>
                <m:t>2.02 mV/mA 1.602.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-19</m:t>
                  </m:r>
                </m:sup>
              </m:sSup>
              <m:r>
                <w:rPr>
                  <w:rFonts w:ascii="Cambria Math" w:hAnsi="Cambria Math"/>
                  <w:lang w:val="en-GB"/>
                </w:rPr>
                <m:t xml:space="preserve">C </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r>
                <w:rPr>
                  <w:rFonts w:ascii="Cambria Math" w:hAnsi="Cambria Math"/>
                  <w:lang w:val="en-GB"/>
                </w:rPr>
                <m:t xml:space="preserve">m </m:t>
              </m:r>
            </m:den>
          </m:f>
          <m:r>
            <w:rPr>
              <w:rFonts w:ascii="Cambria Math" w:eastAsiaTheme="minorEastAsia" w:hAnsi="Cambria Math"/>
              <w:lang w:val="en-GB"/>
            </w:rPr>
            <m:t>=9.27*</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20</m:t>
              </m:r>
            </m:sup>
          </m:sSup>
          <m:r>
            <w:rPr>
              <w:rFonts w:ascii="Cambria Math" w:eastAsiaTheme="minorEastAsia" w:hAnsi="Cambria Math"/>
              <w:lang w:val="en-GB"/>
            </w:rPr>
            <m:t xml:space="preserve"> # per cm cube</m:t>
          </m:r>
        </m:oMath>
      </m:oMathPara>
    </w:p>
    <w:p w14:paraId="61CD9AA3" w14:textId="050E135B" w:rsidR="000F7141" w:rsidRPr="00877F61" w:rsidRDefault="00FF04A6" w:rsidP="00D24805">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vertAlign w:val="subscript"/>
                  <w:lang w:val="en-GB"/>
                </w:rPr>
                <m:t>H</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nq</m:t>
              </m:r>
            </m:den>
          </m:f>
          <m:r>
            <w:rPr>
              <w:rFonts w:ascii="Cambria Math" w:eastAsiaTheme="minorEastAsia" w:hAnsi="Cambria Math"/>
              <w:lang w:val="en-GB"/>
            </w:rPr>
            <m:t>=0.0067</m:t>
          </m:r>
        </m:oMath>
      </m:oMathPara>
    </w:p>
    <w:p w14:paraId="5ACE4A77" w14:textId="076CD076" w:rsidR="00F70025" w:rsidRDefault="00F70025" w:rsidP="00D24805">
      <w:pPr>
        <w:jc w:val="both"/>
        <w:rPr>
          <w:rFonts w:eastAsiaTheme="minorEastAsia"/>
          <w:lang w:val="en-GB"/>
        </w:rPr>
      </w:pPr>
      <w:r>
        <w:rPr>
          <w:rFonts w:eastAsiaTheme="minorEastAsia"/>
          <w:lang w:val="en-GB"/>
        </w:rPr>
        <w:t>For the second part:</w:t>
      </w:r>
    </w:p>
    <w:p w14:paraId="080949AD" w14:textId="064D33F1" w:rsidR="00877F61" w:rsidRDefault="00877F61" w:rsidP="00D24805">
      <w:pPr>
        <w:jc w:val="both"/>
        <w:rPr>
          <w:rFonts w:eastAsiaTheme="minorEastAsia"/>
          <w:lang w:val="en-GB"/>
        </w:rPr>
      </w:pPr>
      <w:r>
        <w:rPr>
          <w:rFonts w:eastAsiaTheme="minorEastAsia"/>
          <w:lang w:val="en-GB"/>
        </w:rPr>
        <w:t xml:space="preserve">From the slope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H</m:t>
                </m:r>
              </m:sub>
            </m:sSub>
          </m:num>
          <m:den>
            <m:r>
              <w:rPr>
                <w:rFonts w:ascii="Cambria Math" w:hAnsi="Cambria Math"/>
                <w:lang w:val="en-GB"/>
              </w:rPr>
              <m:t>B</m:t>
            </m:r>
          </m:den>
        </m:f>
        <m:r>
          <w:rPr>
            <w:rFonts w:ascii="Cambria Math" w:hAnsi="Cambria Math"/>
            <w:lang w:val="en-GB"/>
          </w:rPr>
          <m:t>=0.19</m:t>
        </m:r>
      </m:oMath>
    </w:p>
    <w:p w14:paraId="564A04BA" w14:textId="61825387" w:rsidR="00877F61" w:rsidRDefault="00877F61" w:rsidP="00D24805">
      <w:pPr>
        <w:jc w:val="both"/>
        <w:rPr>
          <w:rFonts w:eastAsiaTheme="minorEastAsia"/>
          <w:lang w:val="en-GB"/>
        </w:rPr>
      </w:pPr>
      <m:oMathPara>
        <m:oMath>
          <m:r>
            <w:rPr>
              <w:rFonts w:ascii="Cambria Math" w:hAnsi="Cambria Math"/>
              <w:lang w:val="en-GB"/>
            </w:rPr>
            <m:t>n=</m:t>
          </m:r>
          <m:f>
            <m:fPr>
              <m:ctrlPr>
                <w:rPr>
                  <w:rFonts w:ascii="Cambria Math" w:hAnsi="Cambria Math"/>
                  <w:i/>
                  <w:lang w:val="en-GB"/>
                </w:rPr>
              </m:ctrlPr>
            </m:fPr>
            <m:num>
              <m:r>
                <w:rPr>
                  <w:rFonts w:ascii="Cambria Math" w:hAnsi="Cambria Math"/>
                  <w:lang w:val="en-GB"/>
                </w:rPr>
                <m:t>B</m:t>
              </m: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H</m:t>
                  </m:r>
                </m:sub>
              </m:sSub>
            </m:den>
          </m:f>
          <m:f>
            <m:fPr>
              <m:ctrlPr>
                <w:rPr>
                  <w:rFonts w:ascii="Cambria Math" w:hAnsi="Cambria Math"/>
                  <w:i/>
                  <w:lang w:val="en-GB"/>
                </w:rPr>
              </m:ctrlPr>
            </m:fPr>
            <m:num>
              <m:r>
                <w:rPr>
                  <w:rFonts w:ascii="Cambria Math" w:hAnsi="Cambria Math"/>
                  <w:lang w:val="en-GB"/>
                </w:rPr>
                <m:t>I</m:t>
              </m:r>
            </m:num>
            <m:den>
              <m:r>
                <w:rPr>
                  <w:rFonts w:ascii="Cambria Math" w:hAnsi="Cambria Math"/>
                  <w:lang w:val="en-GB"/>
                </w:rPr>
                <m:t>qd</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 xml:space="preserve"> 30mA</m:t>
              </m:r>
            </m:num>
            <m:den>
              <m:r>
                <w:rPr>
                  <w:rFonts w:ascii="Cambria Math" w:hAnsi="Cambria Math"/>
                  <w:lang w:val="en-GB"/>
                </w:rPr>
                <m:t>0.191 mV/mT 1.602.</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-19</m:t>
                  </m:r>
                </m:sup>
              </m:sSup>
              <m:r>
                <w:rPr>
                  <w:rFonts w:ascii="Cambria Math" w:hAnsi="Cambria Math"/>
                  <w:lang w:val="en-GB"/>
                </w:rPr>
                <m:t xml:space="preserve">C </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r>
                <w:rPr>
                  <w:rFonts w:ascii="Cambria Math" w:hAnsi="Cambria Math"/>
                  <w:lang w:val="en-GB"/>
                </w:rPr>
                <m:t>m</m:t>
              </m:r>
            </m:den>
          </m:f>
          <m:r>
            <w:rPr>
              <w:rFonts w:ascii="Cambria Math" w:hAnsi="Cambria Math"/>
              <w:lang w:val="en-GB"/>
            </w:rPr>
            <m:t>=9.85*</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20</m:t>
              </m:r>
            </m:sup>
          </m:sSup>
        </m:oMath>
      </m:oMathPara>
    </w:p>
    <w:p w14:paraId="7E0AD384" w14:textId="4E5ADC77" w:rsidR="00877F61" w:rsidRPr="00877F61" w:rsidRDefault="00FF04A6" w:rsidP="00D24805">
      <w:pPr>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vertAlign w:val="subscript"/>
                  <w:lang w:val="en-GB"/>
                </w:rPr>
                <m:t>H</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nq</m:t>
              </m:r>
            </m:den>
          </m:f>
          <m:r>
            <w:rPr>
              <w:rFonts w:ascii="Cambria Math" w:eastAsiaTheme="minorEastAsia" w:hAnsi="Cambria Math"/>
              <w:lang w:val="en-GB"/>
            </w:rPr>
            <m:t>=0.0063</m:t>
          </m:r>
        </m:oMath>
      </m:oMathPara>
    </w:p>
    <w:p w14:paraId="7F8722B4" w14:textId="49222C16" w:rsidR="001D1187" w:rsidRDefault="001103D5" w:rsidP="00532980">
      <w:pPr>
        <w:jc w:val="both"/>
        <w:rPr>
          <w:b/>
          <w:sz w:val="36"/>
          <w:szCs w:val="36"/>
          <w:lang w:val="en-GB"/>
        </w:rPr>
      </w:pPr>
      <w:r w:rsidRPr="0043209A">
        <w:rPr>
          <w:b/>
          <w:sz w:val="36"/>
          <w:szCs w:val="36"/>
          <w:lang w:val="en-GB"/>
        </w:rPr>
        <w:t>Results and Discussion</w:t>
      </w:r>
    </w:p>
    <w:p w14:paraId="339927E2" w14:textId="0FA87E17" w:rsidR="00360ADA" w:rsidRDefault="00360ADA" w:rsidP="00532980">
      <w:pPr>
        <w:jc w:val="both"/>
        <w:rPr>
          <w:i/>
          <w:sz w:val="24"/>
          <w:szCs w:val="36"/>
          <w:u w:val="single"/>
          <w:lang w:val="en-GB"/>
        </w:rPr>
      </w:pPr>
      <w:r w:rsidRPr="00360ADA">
        <w:rPr>
          <w:i/>
          <w:sz w:val="24"/>
          <w:szCs w:val="36"/>
          <w:u w:val="single"/>
          <w:lang w:val="en-GB"/>
        </w:rPr>
        <w:t>Comments</w:t>
      </w:r>
      <w:r>
        <w:rPr>
          <w:i/>
          <w:sz w:val="24"/>
          <w:szCs w:val="36"/>
          <w:u w:val="single"/>
          <w:lang w:val="en-GB"/>
        </w:rPr>
        <w:t>:</w:t>
      </w:r>
    </w:p>
    <w:p w14:paraId="219ABA57" w14:textId="47045A97" w:rsidR="0072095C" w:rsidRDefault="0057226D" w:rsidP="000C4364">
      <w:pPr>
        <w:jc w:val="both"/>
        <w:rPr>
          <w:sz w:val="24"/>
          <w:szCs w:val="36"/>
          <w:lang w:val="en-GB"/>
        </w:rPr>
      </w:pPr>
      <w:r>
        <w:rPr>
          <w:sz w:val="24"/>
          <w:szCs w:val="36"/>
          <w:lang w:val="en-GB"/>
        </w:rPr>
        <w:t>In the experiment we measured the Hall voltage of the sample</w:t>
      </w:r>
      <w:r w:rsidR="00F70025">
        <w:rPr>
          <w:sz w:val="24"/>
          <w:szCs w:val="36"/>
          <w:lang w:val="en-GB"/>
        </w:rPr>
        <w:t xml:space="preserve"> and the number of the charge carriers. From the Tab</w:t>
      </w:r>
      <w:r w:rsidR="0072095C">
        <w:rPr>
          <w:sz w:val="24"/>
          <w:szCs w:val="36"/>
          <w:lang w:val="en-GB"/>
        </w:rPr>
        <w:t>l</w:t>
      </w:r>
      <w:r w:rsidR="00F70025">
        <w:rPr>
          <w:sz w:val="24"/>
          <w:szCs w:val="36"/>
          <w:lang w:val="en-GB"/>
        </w:rPr>
        <w:t xml:space="preserve">e 1 and Figure 2 we observed that Hall Voltage was proportional to the current passing through the sample. </w:t>
      </w:r>
      <w:r w:rsidR="00845600">
        <w:rPr>
          <w:sz w:val="24"/>
          <w:szCs w:val="36"/>
          <w:lang w:val="en-GB"/>
        </w:rPr>
        <w:t>From the sign of the R</w:t>
      </w:r>
      <w:r w:rsidR="00845600">
        <w:rPr>
          <w:sz w:val="24"/>
          <w:szCs w:val="36"/>
          <w:vertAlign w:val="subscript"/>
          <w:lang w:val="en-GB"/>
        </w:rPr>
        <w:t>H</w:t>
      </w:r>
      <w:r w:rsidR="00845600">
        <w:rPr>
          <w:sz w:val="24"/>
          <w:szCs w:val="36"/>
          <w:lang w:val="en-GB"/>
        </w:rPr>
        <w:t xml:space="preserve"> it’s concluded that the G</w:t>
      </w:r>
      <w:r w:rsidR="003927E1">
        <w:rPr>
          <w:sz w:val="24"/>
          <w:szCs w:val="36"/>
          <w:lang w:val="en-GB"/>
        </w:rPr>
        <w:t xml:space="preserve">ermanium used in the experiment is p-type. </w:t>
      </w:r>
      <w:r w:rsidR="0072095C">
        <w:rPr>
          <w:sz w:val="24"/>
          <w:szCs w:val="36"/>
          <w:lang w:val="en-GB"/>
        </w:rPr>
        <w:t>In the second part of the experiment, as we can see from the Figure 3, we observed an increase in the sample voltage while the current was held constant. It can be explained with magnetoresistance</w:t>
      </w:r>
      <w:r w:rsidR="00323D67">
        <w:rPr>
          <w:sz w:val="24"/>
          <w:szCs w:val="36"/>
          <w:lang w:val="en-GB"/>
        </w:rPr>
        <w:t xml:space="preserve"> due to the fact that mean free path decreases with increasing magnetic field. </w:t>
      </w:r>
    </w:p>
    <w:p w14:paraId="0D14243B" w14:textId="0C6EE547" w:rsidR="00271A1B" w:rsidRPr="0072095C" w:rsidRDefault="00271A1B" w:rsidP="000C4364">
      <w:pPr>
        <w:jc w:val="both"/>
        <w:rPr>
          <w:sz w:val="24"/>
          <w:szCs w:val="36"/>
          <w:lang w:val="en-GB"/>
        </w:rPr>
      </w:pPr>
      <w:r>
        <w:rPr>
          <w:sz w:val="24"/>
          <w:szCs w:val="36"/>
          <w:lang w:val="en-GB"/>
        </w:rPr>
        <w:t xml:space="preserve">The Hall effect has many applications one of which is to determine if the given material is an insulator or a semiconductor. It is also used as a magnetometer which helps to determine the magnetic field present, in position sensing sensor, and so on. </w:t>
      </w:r>
    </w:p>
    <w:p w14:paraId="634947CB" w14:textId="2702B722" w:rsidR="0040723D" w:rsidRDefault="000C4364" w:rsidP="00532980">
      <w:pPr>
        <w:jc w:val="both"/>
        <w:rPr>
          <w:i/>
          <w:sz w:val="24"/>
          <w:szCs w:val="36"/>
          <w:u w:val="single"/>
          <w:lang w:val="en-GB"/>
        </w:rPr>
      </w:pPr>
      <w:r>
        <w:rPr>
          <w:i/>
          <w:sz w:val="24"/>
          <w:szCs w:val="36"/>
          <w:u w:val="single"/>
          <w:lang w:val="en-GB"/>
        </w:rPr>
        <w:t>Error</w:t>
      </w:r>
      <w:r w:rsidR="00631D74">
        <w:rPr>
          <w:i/>
          <w:sz w:val="24"/>
          <w:szCs w:val="36"/>
          <w:u w:val="single"/>
          <w:lang w:val="en-GB"/>
        </w:rPr>
        <w:t>s</w:t>
      </w:r>
      <w:r>
        <w:rPr>
          <w:i/>
          <w:sz w:val="24"/>
          <w:szCs w:val="36"/>
          <w:u w:val="single"/>
          <w:lang w:val="en-GB"/>
        </w:rPr>
        <w:t>:</w:t>
      </w:r>
    </w:p>
    <w:p w14:paraId="24EC16F8" w14:textId="307C6AF5" w:rsidR="003927E1" w:rsidRDefault="00661F9A" w:rsidP="00532980">
      <w:pPr>
        <w:jc w:val="both"/>
        <w:rPr>
          <w:sz w:val="24"/>
          <w:szCs w:val="36"/>
          <w:lang w:val="en-GB"/>
        </w:rPr>
      </w:pPr>
      <w:r>
        <w:rPr>
          <w:sz w:val="24"/>
          <w:szCs w:val="36"/>
          <w:lang w:val="en-GB"/>
        </w:rPr>
        <w:t>There’s a mild error in the value of Hall coefficient which can be due to the fact that the readings in the second part were not exactly as same as in the table. The magnetic flux was not constant and was constantly changing.</w:t>
      </w:r>
      <w:r w:rsidR="00323D67">
        <w:rPr>
          <w:sz w:val="24"/>
          <w:szCs w:val="36"/>
          <w:lang w:val="en-GB"/>
        </w:rPr>
        <w:t xml:space="preserve"> </w:t>
      </w:r>
    </w:p>
    <w:p w14:paraId="18866C3F" w14:textId="77777777" w:rsidR="003927E1" w:rsidRPr="003927E1" w:rsidRDefault="003927E1" w:rsidP="00532980">
      <w:pPr>
        <w:jc w:val="both"/>
        <w:rPr>
          <w:i/>
          <w:sz w:val="24"/>
          <w:szCs w:val="36"/>
          <w:u w:val="single"/>
          <w:lang w:val="en-GB"/>
        </w:rPr>
      </w:pPr>
    </w:p>
    <w:p w14:paraId="157C244B" w14:textId="2F18BE4C" w:rsidR="00AA7E42" w:rsidRPr="00AA7E42" w:rsidRDefault="00AA7E42" w:rsidP="00532980">
      <w:pPr>
        <w:jc w:val="both"/>
        <w:rPr>
          <w:b/>
          <w:sz w:val="28"/>
          <w:szCs w:val="36"/>
          <w:lang w:val="en-GB"/>
        </w:rPr>
      </w:pPr>
      <w:r w:rsidRPr="00AA7E42">
        <w:rPr>
          <w:b/>
          <w:sz w:val="28"/>
          <w:szCs w:val="36"/>
          <w:lang w:val="en-GB"/>
        </w:rPr>
        <w:t>Reference:</w:t>
      </w:r>
    </w:p>
    <w:p w14:paraId="51D3E622" w14:textId="48241552" w:rsidR="00FB70E3" w:rsidRDefault="00926BEB" w:rsidP="008A7E27">
      <w:pPr>
        <w:rPr>
          <w:sz w:val="24"/>
          <w:szCs w:val="24"/>
        </w:rPr>
      </w:pPr>
      <w:r w:rsidRPr="00FB70E3">
        <w:t>[</w:t>
      </w:r>
      <w:r w:rsidR="00E71828" w:rsidRPr="00FB70E3">
        <w:t>1</w:t>
      </w:r>
      <w:r w:rsidRPr="00FB70E3">
        <w:t>]</w:t>
      </w:r>
      <w:r w:rsidR="008A7E27">
        <w:t xml:space="preserve"> </w:t>
      </w:r>
      <w:r w:rsidR="007964AE">
        <w:t xml:space="preserve">The website of </w:t>
      </w:r>
      <w:proofErr w:type="spellStart"/>
      <w:r w:rsidR="007964AE">
        <w:t>Wikibooks</w:t>
      </w:r>
      <w:proofErr w:type="spellEnd"/>
      <w:r w:rsidR="007964AE">
        <w:t xml:space="preserve">, </w:t>
      </w:r>
      <w:r w:rsidR="008A7E27" w:rsidRPr="008A7E27">
        <w:rPr>
          <w:i/>
        </w:rPr>
        <w:t>“</w:t>
      </w:r>
      <w:r w:rsidR="007964AE" w:rsidRPr="007964AE">
        <w:rPr>
          <w:i/>
        </w:rPr>
        <w:t>Semiconductor Electronics/Semiconductor/Doping</w:t>
      </w:r>
      <w:r w:rsidR="008A7E27" w:rsidRPr="008A7E27">
        <w:rPr>
          <w:i/>
        </w:rPr>
        <w:t>”</w:t>
      </w:r>
      <w:r w:rsidR="007964AE">
        <w:rPr>
          <w:i/>
        </w:rPr>
        <w:t xml:space="preserve"> </w:t>
      </w:r>
      <w:r w:rsidR="007964AE">
        <w:rPr>
          <w:shd w:val="clear" w:color="auto" w:fill="FFFFFF"/>
        </w:rPr>
        <w:t>(Accessed May 9, 2019)</w:t>
      </w:r>
    </w:p>
    <w:p w14:paraId="0425065D" w14:textId="64FF2253" w:rsidR="00507F7E" w:rsidRPr="008A7E27" w:rsidRDefault="00FB70E3" w:rsidP="008A7E27">
      <w:r>
        <w:rPr>
          <w:lang w:val="en-GB"/>
        </w:rPr>
        <w:t xml:space="preserve">[2] </w:t>
      </w:r>
      <w:r w:rsidR="008A7E27">
        <w:rPr>
          <w:shd w:val="clear" w:color="auto" w:fill="FFFFFF"/>
        </w:rPr>
        <w:t>Wikipedia: The Free Encyclopedia,</w:t>
      </w:r>
      <w:r w:rsidR="008A7E27" w:rsidRPr="008A7E27">
        <w:rPr>
          <w:i/>
          <w:shd w:val="clear" w:color="auto" w:fill="FFFFFF"/>
        </w:rPr>
        <w:t>”</w:t>
      </w:r>
      <w:r w:rsidR="008A7E27" w:rsidRPr="008A7E27">
        <w:rPr>
          <w:i/>
        </w:rPr>
        <w:t xml:space="preserve"> </w:t>
      </w:r>
      <w:r w:rsidR="00DB7155">
        <w:rPr>
          <w:i/>
          <w:shd w:val="clear" w:color="auto" w:fill="FFFFFF"/>
        </w:rPr>
        <w:t>Hall</w:t>
      </w:r>
      <w:r w:rsidR="008A7E27" w:rsidRPr="008A7E27">
        <w:rPr>
          <w:i/>
          <w:shd w:val="clear" w:color="auto" w:fill="FFFFFF"/>
        </w:rPr>
        <w:t xml:space="preserve"> effect”</w:t>
      </w:r>
      <w:r w:rsidR="008A7E27">
        <w:rPr>
          <w:shd w:val="clear" w:color="auto" w:fill="FFFFFF"/>
        </w:rPr>
        <w:t xml:space="preserve"> (Accessed </w:t>
      </w:r>
      <w:r w:rsidR="00DB7155">
        <w:rPr>
          <w:shd w:val="clear" w:color="auto" w:fill="FFFFFF"/>
        </w:rPr>
        <w:t>May</w:t>
      </w:r>
      <w:r w:rsidR="008A7E27">
        <w:rPr>
          <w:shd w:val="clear" w:color="auto" w:fill="FFFFFF"/>
        </w:rPr>
        <w:t xml:space="preserve"> </w:t>
      </w:r>
      <w:r w:rsidR="00DB7155">
        <w:rPr>
          <w:shd w:val="clear" w:color="auto" w:fill="FFFFFF"/>
        </w:rPr>
        <w:t>9</w:t>
      </w:r>
      <w:r w:rsidR="008A7E27">
        <w:rPr>
          <w:shd w:val="clear" w:color="auto" w:fill="FFFFFF"/>
        </w:rPr>
        <w:t>, 2019)</w:t>
      </w:r>
    </w:p>
    <w:p w14:paraId="3E336D3B" w14:textId="6BFC73D3" w:rsidR="00CE4833" w:rsidRDefault="00FB70E3" w:rsidP="008A7E27">
      <w:r>
        <w:t xml:space="preserve">[3] </w:t>
      </w:r>
      <w:r w:rsidR="00981A2E">
        <w:t>(</w:t>
      </w:r>
      <w:r w:rsidR="00981A2E" w:rsidRPr="00C92E0C">
        <w:t>201</w:t>
      </w:r>
      <w:r w:rsidR="00981A2E">
        <w:t xml:space="preserve">0).“The Photoelectric Effect”  </w:t>
      </w:r>
      <w:r w:rsidR="00631D74" w:rsidRPr="00C92E0C">
        <w:t>METU Department of Physics: Applied Modern Physics Laboratory Manual and Workbook</w:t>
      </w:r>
      <w:r w:rsidR="00C92E0C">
        <w:t xml:space="preserve">. </w:t>
      </w:r>
      <w:r w:rsidR="00631D74" w:rsidRPr="00C92E0C">
        <w:t>Ankara</w:t>
      </w:r>
    </w:p>
    <w:sectPr w:rsidR="00CE48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4AC44" w14:textId="77777777" w:rsidR="00FF04A6" w:rsidRDefault="00FF04A6" w:rsidP="00572A61">
      <w:pPr>
        <w:spacing w:after="0" w:line="240" w:lineRule="auto"/>
      </w:pPr>
      <w:r>
        <w:separator/>
      </w:r>
    </w:p>
  </w:endnote>
  <w:endnote w:type="continuationSeparator" w:id="0">
    <w:p w14:paraId="59E37FAD" w14:textId="77777777" w:rsidR="00FF04A6" w:rsidRDefault="00FF04A6" w:rsidP="00572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068FB" w14:textId="77777777" w:rsidR="00FF04A6" w:rsidRDefault="00FF04A6" w:rsidP="00572A61">
      <w:pPr>
        <w:spacing w:after="0" w:line="240" w:lineRule="auto"/>
      </w:pPr>
      <w:r>
        <w:separator/>
      </w:r>
    </w:p>
  </w:footnote>
  <w:footnote w:type="continuationSeparator" w:id="0">
    <w:p w14:paraId="61C17EBF" w14:textId="77777777" w:rsidR="00FF04A6" w:rsidRDefault="00FF04A6" w:rsidP="00572A61">
      <w:pPr>
        <w:spacing w:after="0" w:line="240" w:lineRule="auto"/>
      </w:pPr>
      <w:r>
        <w:continuationSeparator/>
      </w:r>
    </w:p>
  </w:footnote>
  <w:footnote w:id="1">
    <w:p w14:paraId="36AEB685" w14:textId="38968526" w:rsidR="00C4014A" w:rsidRPr="00C4014A" w:rsidRDefault="00C4014A">
      <w:pPr>
        <w:pStyle w:val="FootnoteText"/>
        <w:rPr>
          <w:lang w:val="en-GB"/>
        </w:rPr>
      </w:pPr>
      <w:r>
        <w:rPr>
          <w:rStyle w:val="FootnoteReference"/>
        </w:rPr>
        <w:footnoteRef/>
      </w:r>
      <w:r w:rsidR="00DB7155">
        <w:t xml:space="preserve"> </w:t>
      </w:r>
      <w:hyperlink r:id="rId1" w:history="1">
        <w:r w:rsidR="007964AE" w:rsidRPr="00354B00">
          <w:rPr>
            <w:rStyle w:val="Hyperlink"/>
          </w:rPr>
          <w:t>https://en.wikibooks.org/wiki/Semiconductor_Electronics/Semiconductor/Doping</w:t>
        </w:r>
      </w:hyperlink>
    </w:p>
  </w:footnote>
  <w:footnote w:id="2">
    <w:p w14:paraId="7FA398AF" w14:textId="49605145" w:rsidR="00FA6F7C" w:rsidRPr="00FA6F7C" w:rsidRDefault="00FA6F7C">
      <w:pPr>
        <w:pStyle w:val="FootnoteText"/>
        <w:rPr>
          <w:lang w:val="en-GB"/>
        </w:rPr>
      </w:pPr>
      <w:r>
        <w:rPr>
          <w:rStyle w:val="FootnoteReference"/>
        </w:rPr>
        <w:footnoteRef/>
      </w:r>
      <w:r>
        <w:t xml:space="preserve"> </w:t>
      </w:r>
      <w:hyperlink r:id="rId2" w:anchor="cite_note-1" w:history="1">
        <w:r>
          <w:rPr>
            <w:rStyle w:val="Hyperlink"/>
          </w:rPr>
          <w:t>https://en.wikipedia.org/wiki/Hall_effect#cite_note-1</w:t>
        </w:r>
      </w:hyperlink>
    </w:p>
  </w:footnote>
  <w:footnote w:id="3">
    <w:p w14:paraId="4EAEC193" w14:textId="0BDC2B1E" w:rsidR="003460BE" w:rsidRPr="003460BE" w:rsidRDefault="003460BE">
      <w:pPr>
        <w:pStyle w:val="FootnoteText"/>
        <w:rPr>
          <w:lang w:val="en-GB"/>
        </w:rPr>
      </w:pPr>
      <w:r>
        <w:rPr>
          <w:rStyle w:val="FootnoteReference"/>
        </w:rPr>
        <w:footnoteRef/>
      </w:r>
      <w:r>
        <w:t xml:space="preserve"> </w:t>
      </w:r>
      <w:hyperlink r:id="rId3" w:history="1">
        <w:r>
          <w:rPr>
            <w:rStyle w:val="Hyperlink"/>
          </w:rPr>
          <w:t>https://www.vicontrols.com/g3magctl/g3magctl.htm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63D8"/>
    <w:multiLevelType w:val="hybridMultilevel"/>
    <w:tmpl w:val="61EE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B5E25"/>
    <w:multiLevelType w:val="hybridMultilevel"/>
    <w:tmpl w:val="EC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518DC"/>
    <w:multiLevelType w:val="hybridMultilevel"/>
    <w:tmpl w:val="06BCAE14"/>
    <w:lvl w:ilvl="0" w:tplc="55BEB1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5B"/>
    <w:rsid w:val="00000659"/>
    <w:rsid w:val="0000578E"/>
    <w:rsid w:val="000139FE"/>
    <w:rsid w:val="0002055B"/>
    <w:rsid w:val="00021DC0"/>
    <w:rsid w:val="00084C6B"/>
    <w:rsid w:val="0009208C"/>
    <w:rsid w:val="00093FE7"/>
    <w:rsid w:val="000A6090"/>
    <w:rsid w:val="000A6589"/>
    <w:rsid w:val="000C4364"/>
    <w:rsid w:val="000F7141"/>
    <w:rsid w:val="001103D5"/>
    <w:rsid w:val="00163C52"/>
    <w:rsid w:val="00171745"/>
    <w:rsid w:val="001734C3"/>
    <w:rsid w:val="00173A42"/>
    <w:rsid w:val="001B102E"/>
    <w:rsid w:val="001D1187"/>
    <w:rsid w:val="001E19F8"/>
    <w:rsid w:val="001F5FA1"/>
    <w:rsid w:val="002114E3"/>
    <w:rsid w:val="00214D36"/>
    <w:rsid w:val="00216956"/>
    <w:rsid w:val="0023705C"/>
    <w:rsid w:val="00254330"/>
    <w:rsid w:val="0025744C"/>
    <w:rsid w:val="00262E92"/>
    <w:rsid w:val="00271A1B"/>
    <w:rsid w:val="00277322"/>
    <w:rsid w:val="002F5E31"/>
    <w:rsid w:val="00323D67"/>
    <w:rsid w:val="00343ED5"/>
    <w:rsid w:val="003460BE"/>
    <w:rsid w:val="0036084B"/>
    <w:rsid w:val="00360ADA"/>
    <w:rsid w:val="00372FC9"/>
    <w:rsid w:val="003803B1"/>
    <w:rsid w:val="003927E1"/>
    <w:rsid w:val="003B40F4"/>
    <w:rsid w:val="003C4B86"/>
    <w:rsid w:val="003D1543"/>
    <w:rsid w:val="003F04C0"/>
    <w:rsid w:val="004068CC"/>
    <w:rsid w:val="0040723D"/>
    <w:rsid w:val="004170E0"/>
    <w:rsid w:val="00445B25"/>
    <w:rsid w:val="00454102"/>
    <w:rsid w:val="004708AE"/>
    <w:rsid w:val="00491446"/>
    <w:rsid w:val="004B1F69"/>
    <w:rsid w:val="004C3D63"/>
    <w:rsid w:val="004C472D"/>
    <w:rsid w:val="004E159C"/>
    <w:rsid w:val="004F04A0"/>
    <w:rsid w:val="00507F7E"/>
    <w:rsid w:val="00532980"/>
    <w:rsid w:val="00540BDF"/>
    <w:rsid w:val="0055208B"/>
    <w:rsid w:val="00567547"/>
    <w:rsid w:val="00571B4E"/>
    <w:rsid w:val="0057226D"/>
    <w:rsid w:val="00572A61"/>
    <w:rsid w:val="00580B79"/>
    <w:rsid w:val="00593489"/>
    <w:rsid w:val="005A29BE"/>
    <w:rsid w:val="005B1EDC"/>
    <w:rsid w:val="005D00D3"/>
    <w:rsid w:val="005D5C76"/>
    <w:rsid w:val="005E6232"/>
    <w:rsid w:val="005F075A"/>
    <w:rsid w:val="005F0C4F"/>
    <w:rsid w:val="005F1627"/>
    <w:rsid w:val="00616E85"/>
    <w:rsid w:val="00624E2D"/>
    <w:rsid w:val="00631D74"/>
    <w:rsid w:val="006416C9"/>
    <w:rsid w:val="00661F9A"/>
    <w:rsid w:val="00675776"/>
    <w:rsid w:val="006936B7"/>
    <w:rsid w:val="00697580"/>
    <w:rsid w:val="006A2EEA"/>
    <w:rsid w:val="006B67AF"/>
    <w:rsid w:val="006C1AB5"/>
    <w:rsid w:val="006F2B91"/>
    <w:rsid w:val="00703470"/>
    <w:rsid w:val="0072095C"/>
    <w:rsid w:val="00744A5A"/>
    <w:rsid w:val="007511FE"/>
    <w:rsid w:val="00751452"/>
    <w:rsid w:val="00762E8B"/>
    <w:rsid w:val="007826ED"/>
    <w:rsid w:val="007964AE"/>
    <w:rsid w:val="007C3232"/>
    <w:rsid w:val="007D1137"/>
    <w:rsid w:val="007D6F0C"/>
    <w:rsid w:val="007F039F"/>
    <w:rsid w:val="00845600"/>
    <w:rsid w:val="00857845"/>
    <w:rsid w:val="00871140"/>
    <w:rsid w:val="00877F61"/>
    <w:rsid w:val="00887A74"/>
    <w:rsid w:val="00894D78"/>
    <w:rsid w:val="008A7E27"/>
    <w:rsid w:val="008D2938"/>
    <w:rsid w:val="008E4BD0"/>
    <w:rsid w:val="00926BEB"/>
    <w:rsid w:val="00927862"/>
    <w:rsid w:val="00956BDA"/>
    <w:rsid w:val="009570B1"/>
    <w:rsid w:val="00964494"/>
    <w:rsid w:val="009666E2"/>
    <w:rsid w:val="00981A2E"/>
    <w:rsid w:val="009C1446"/>
    <w:rsid w:val="009C4ABD"/>
    <w:rsid w:val="009E5A40"/>
    <w:rsid w:val="009F5169"/>
    <w:rsid w:val="00A0073D"/>
    <w:rsid w:val="00A01D77"/>
    <w:rsid w:val="00A03FBE"/>
    <w:rsid w:val="00A04354"/>
    <w:rsid w:val="00A04E2C"/>
    <w:rsid w:val="00A06693"/>
    <w:rsid w:val="00A21DDA"/>
    <w:rsid w:val="00A268DF"/>
    <w:rsid w:val="00A31A28"/>
    <w:rsid w:val="00A80818"/>
    <w:rsid w:val="00A83581"/>
    <w:rsid w:val="00A86155"/>
    <w:rsid w:val="00AA2613"/>
    <w:rsid w:val="00AA7E42"/>
    <w:rsid w:val="00AB7732"/>
    <w:rsid w:val="00B007FA"/>
    <w:rsid w:val="00B25136"/>
    <w:rsid w:val="00B354F0"/>
    <w:rsid w:val="00B36ACC"/>
    <w:rsid w:val="00B61F56"/>
    <w:rsid w:val="00B83ECA"/>
    <w:rsid w:val="00B849DE"/>
    <w:rsid w:val="00B954E3"/>
    <w:rsid w:val="00BC7B4B"/>
    <w:rsid w:val="00BE2BAE"/>
    <w:rsid w:val="00BE4C09"/>
    <w:rsid w:val="00C0528F"/>
    <w:rsid w:val="00C071FE"/>
    <w:rsid w:val="00C11768"/>
    <w:rsid w:val="00C11FA3"/>
    <w:rsid w:val="00C4014A"/>
    <w:rsid w:val="00C52097"/>
    <w:rsid w:val="00C549AD"/>
    <w:rsid w:val="00C92E0C"/>
    <w:rsid w:val="00CB484F"/>
    <w:rsid w:val="00CB7E32"/>
    <w:rsid w:val="00CE3D8F"/>
    <w:rsid w:val="00CE4833"/>
    <w:rsid w:val="00CF09BA"/>
    <w:rsid w:val="00D10949"/>
    <w:rsid w:val="00D24805"/>
    <w:rsid w:val="00D54FE3"/>
    <w:rsid w:val="00D600BF"/>
    <w:rsid w:val="00D62427"/>
    <w:rsid w:val="00D86389"/>
    <w:rsid w:val="00D91ED2"/>
    <w:rsid w:val="00DB4E72"/>
    <w:rsid w:val="00DB7155"/>
    <w:rsid w:val="00DC064C"/>
    <w:rsid w:val="00DC4B01"/>
    <w:rsid w:val="00DD3E13"/>
    <w:rsid w:val="00E12868"/>
    <w:rsid w:val="00E27211"/>
    <w:rsid w:val="00E63D1A"/>
    <w:rsid w:val="00E71828"/>
    <w:rsid w:val="00E85AAB"/>
    <w:rsid w:val="00EB3ACB"/>
    <w:rsid w:val="00F118FA"/>
    <w:rsid w:val="00F14D06"/>
    <w:rsid w:val="00F25A12"/>
    <w:rsid w:val="00F52638"/>
    <w:rsid w:val="00F570A8"/>
    <w:rsid w:val="00F62675"/>
    <w:rsid w:val="00F70025"/>
    <w:rsid w:val="00F763D3"/>
    <w:rsid w:val="00F93482"/>
    <w:rsid w:val="00F962CF"/>
    <w:rsid w:val="00FA6F7C"/>
    <w:rsid w:val="00FA7390"/>
    <w:rsid w:val="00FB70E3"/>
    <w:rsid w:val="00FB77E0"/>
    <w:rsid w:val="00FE7B74"/>
    <w:rsid w:val="00FF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37B31"/>
  <w15:chartTrackingRefBased/>
  <w15:docId w15:val="{E7635BBD-66F8-4F31-9734-DC5CEAC2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08AE"/>
    <w:rPr>
      <w:color w:val="808080"/>
    </w:rPr>
  </w:style>
  <w:style w:type="paragraph" w:styleId="BalloonText">
    <w:name w:val="Balloon Text"/>
    <w:basedOn w:val="Normal"/>
    <w:link w:val="BalloonTextChar"/>
    <w:uiPriority w:val="99"/>
    <w:semiHidden/>
    <w:unhideWhenUsed/>
    <w:rsid w:val="00A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E42"/>
    <w:rPr>
      <w:rFonts w:ascii="Segoe UI" w:hAnsi="Segoe UI" w:cs="Segoe UI"/>
      <w:sz w:val="18"/>
      <w:szCs w:val="18"/>
    </w:rPr>
  </w:style>
  <w:style w:type="character" w:styleId="Hyperlink">
    <w:name w:val="Hyperlink"/>
    <w:basedOn w:val="DefaultParagraphFont"/>
    <w:uiPriority w:val="99"/>
    <w:unhideWhenUsed/>
    <w:rsid w:val="006936B7"/>
    <w:rPr>
      <w:color w:val="0563C1" w:themeColor="hyperlink"/>
      <w:u w:val="single"/>
    </w:rPr>
  </w:style>
  <w:style w:type="character" w:styleId="UnresolvedMention">
    <w:name w:val="Unresolved Mention"/>
    <w:basedOn w:val="DefaultParagraphFont"/>
    <w:uiPriority w:val="99"/>
    <w:semiHidden/>
    <w:unhideWhenUsed/>
    <w:rsid w:val="006936B7"/>
    <w:rPr>
      <w:color w:val="605E5C"/>
      <w:shd w:val="clear" w:color="auto" w:fill="E1DFDD"/>
    </w:rPr>
  </w:style>
  <w:style w:type="paragraph" w:styleId="Header">
    <w:name w:val="header"/>
    <w:basedOn w:val="Normal"/>
    <w:link w:val="HeaderChar"/>
    <w:uiPriority w:val="99"/>
    <w:unhideWhenUsed/>
    <w:rsid w:val="00572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A61"/>
  </w:style>
  <w:style w:type="paragraph" w:styleId="Footer">
    <w:name w:val="footer"/>
    <w:basedOn w:val="Normal"/>
    <w:link w:val="FooterChar"/>
    <w:uiPriority w:val="99"/>
    <w:unhideWhenUsed/>
    <w:rsid w:val="00572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A61"/>
  </w:style>
  <w:style w:type="paragraph" w:styleId="NoSpacing">
    <w:name w:val="No Spacing"/>
    <w:uiPriority w:val="1"/>
    <w:qFormat/>
    <w:rsid w:val="00C549AD"/>
    <w:pPr>
      <w:spacing w:after="0" w:line="240" w:lineRule="auto"/>
    </w:pPr>
  </w:style>
  <w:style w:type="paragraph" w:styleId="ListParagraph">
    <w:name w:val="List Paragraph"/>
    <w:basedOn w:val="Normal"/>
    <w:uiPriority w:val="34"/>
    <w:qFormat/>
    <w:rsid w:val="00D86389"/>
    <w:pPr>
      <w:ind w:left="720"/>
      <w:contextualSpacing/>
    </w:pPr>
  </w:style>
  <w:style w:type="paragraph" w:styleId="FootnoteText">
    <w:name w:val="footnote text"/>
    <w:basedOn w:val="Normal"/>
    <w:link w:val="FootnoteTextChar"/>
    <w:uiPriority w:val="99"/>
    <w:semiHidden/>
    <w:unhideWhenUsed/>
    <w:rsid w:val="008A7E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E27"/>
    <w:rPr>
      <w:sz w:val="20"/>
      <w:szCs w:val="20"/>
    </w:rPr>
  </w:style>
  <w:style w:type="character" w:styleId="FootnoteReference">
    <w:name w:val="footnote reference"/>
    <w:basedOn w:val="DefaultParagraphFont"/>
    <w:uiPriority w:val="99"/>
    <w:semiHidden/>
    <w:unhideWhenUsed/>
    <w:rsid w:val="008A7E27"/>
    <w:rPr>
      <w:vertAlign w:val="superscript"/>
    </w:rPr>
  </w:style>
  <w:style w:type="character" w:styleId="Strong">
    <w:name w:val="Strong"/>
    <w:basedOn w:val="DefaultParagraphFont"/>
    <w:uiPriority w:val="22"/>
    <w:qFormat/>
    <w:rsid w:val="00894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758322">
      <w:bodyDiv w:val="1"/>
      <w:marLeft w:val="0"/>
      <w:marRight w:val="0"/>
      <w:marTop w:val="0"/>
      <w:marBottom w:val="0"/>
      <w:divBdr>
        <w:top w:val="none" w:sz="0" w:space="0" w:color="auto"/>
        <w:left w:val="none" w:sz="0" w:space="0" w:color="auto"/>
        <w:bottom w:val="none" w:sz="0" w:space="0" w:color="auto"/>
        <w:right w:val="none" w:sz="0" w:space="0" w:color="auto"/>
      </w:divBdr>
    </w:div>
    <w:div w:id="653795553">
      <w:bodyDiv w:val="1"/>
      <w:marLeft w:val="0"/>
      <w:marRight w:val="0"/>
      <w:marTop w:val="0"/>
      <w:marBottom w:val="0"/>
      <w:divBdr>
        <w:top w:val="none" w:sz="0" w:space="0" w:color="auto"/>
        <w:left w:val="none" w:sz="0" w:space="0" w:color="auto"/>
        <w:bottom w:val="none" w:sz="0" w:space="0" w:color="auto"/>
        <w:right w:val="none" w:sz="0" w:space="0" w:color="auto"/>
      </w:divBdr>
      <w:divsChild>
        <w:div w:id="1259482157">
          <w:marLeft w:val="0"/>
          <w:marRight w:val="0"/>
          <w:marTop w:val="0"/>
          <w:marBottom w:val="0"/>
          <w:divBdr>
            <w:top w:val="none" w:sz="0" w:space="0" w:color="auto"/>
            <w:left w:val="none" w:sz="0" w:space="0" w:color="auto"/>
            <w:bottom w:val="none" w:sz="0" w:space="0" w:color="auto"/>
            <w:right w:val="none" w:sz="0" w:space="0" w:color="auto"/>
          </w:divBdr>
        </w:div>
        <w:div w:id="1366633978">
          <w:marLeft w:val="0"/>
          <w:marRight w:val="0"/>
          <w:marTop w:val="0"/>
          <w:marBottom w:val="0"/>
          <w:divBdr>
            <w:top w:val="none" w:sz="0" w:space="0" w:color="auto"/>
            <w:left w:val="none" w:sz="0" w:space="0" w:color="auto"/>
            <w:bottom w:val="none" w:sz="0" w:space="0" w:color="auto"/>
            <w:right w:val="none" w:sz="0" w:space="0" w:color="auto"/>
          </w:divBdr>
        </w:div>
        <w:div w:id="1997873593">
          <w:marLeft w:val="0"/>
          <w:marRight w:val="0"/>
          <w:marTop w:val="0"/>
          <w:marBottom w:val="0"/>
          <w:divBdr>
            <w:top w:val="none" w:sz="0" w:space="0" w:color="auto"/>
            <w:left w:val="none" w:sz="0" w:space="0" w:color="auto"/>
            <w:bottom w:val="none" w:sz="0" w:space="0" w:color="auto"/>
            <w:right w:val="none" w:sz="0" w:space="0" w:color="auto"/>
          </w:divBdr>
        </w:div>
        <w:div w:id="1163735324">
          <w:marLeft w:val="0"/>
          <w:marRight w:val="0"/>
          <w:marTop w:val="0"/>
          <w:marBottom w:val="0"/>
          <w:divBdr>
            <w:top w:val="none" w:sz="0" w:space="0" w:color="auto"/>
            <w:left w:val="none" w:sz="0" w:space="0" w:color="auto"/>
            <w:bottom w:val="none" w:sz="0" w:space="0" w:color="auto"/>
            <w:right w:val="none" w:sz="0" w:space="0" w:color="auto"/>
          </w:divBdr>
        </w:div>
        <w:div w:id="640384599">
          <w:marLeft w:val="0"/>
          <w:marRight w:val="0"/>
          <w:marTop w:val="0"/>
          <w:marBottom w:val="0"/>
          <w:divBdr>
            <w:top w:val="none" w:sz="0" w:space="0" w:color="auto"/>
            <w:left w:val="none" w:sz="0" w:space="0" w:color="auto"/>
            <w:bottom w:val="none" w:sz="0" w:space="0" w:color="auto"/>
            <w:right w:val="none" w:sz="0" w:space="0" w:color="auto"/>
          </w:divBdr>
        </w:div>
        <w:div w:id="69472762">
          <w:marLeft w:val="0"/>
          <w:marRight w:val="0"/>
          <w:marTop w:val="0"/>
          <w:marBottom w:val="0"/>
          <w:divBdr>
            <w:top w:val="none" w:sz="0" w:space="0" w:color="auto"/>
            <w:left w:val="none" w:sz="0" w:space="0" w:color="auto"/>
            <w:bottom w:val="none" w:sz="0" w:space="0" w:color="auto"/>
            <w:right w:val="none" w:sz="0" w:space="0" w:color="auto"/>
          </w:divBdr>
        </w:div>
      </w:divsChild>
    </w:div>
    <w:div w:id="870724043">
      <w:bodyDiv w:val="1"/>
      <w:marLeft w:val="0"/>
      <w:marRight w:val="0"/>
      <w:marTop w:val="0"/>
      <w:marBottom w:val="0"/>
      <w:divBdr>
        <w:top w:val="none" w:sz="0" w:space="0" w:color="auto"/>
        <w:left w:val="none" w:sz="0" w:space="0" w:color="auto"/>
        <w:bottom w:val="none" w:sz="0" w:space="0" w:color="auto"/>
        <w:right w:val="none" w:sz="0" w:space="0" w:color="auto"/>
      </w:divBdr>
      <w:divsChild>
        <w:div w:id="1943998391">
          <w:marLeft w:val="0"/>
          <w:marRight w:val="0"/>
          <w:marTop w:val="0"/>
          <w:marBottom w:val="0"/>
          <w:divBdr>
            <w:top w:val="none" w:sz="0" w:space="0" w:color="auto"/>
            <w:left w:val="none" w:sz="0" w:space="0" w:color="auto"/>
            <w:bottom w:val="none" w:sz="0" w:space="0" w:color="auto"/>
            <w:right w:val="none" w:sz="0" w:space="0" w:color="auto"/>
          </w:divBdr>
        </w:div>
        <w:div w:id="2103648277">
          <w:marLeft w:val="0"/>
          <w:marRight w:val="0"/>
          <w:marTop w:val="0"/>
          <w:marBottom w:val="0"/>
          <w:divBdr>
            <w:top w:val="none" w:sz="0" w:space="0" w:color="auto"/>
            <w:left w:val="none" w:sz="0" w:space="0" w:color="auto"/>
            <w:bottom w:val="none" w:sz="0" w:space="0" w:color="auto"/>
            <w:right w:val="none" w:sz="0" w:space="0" w:color="auto"/>
          </w:divBdr>
        </w:div>
        <w:div w:id="1144466764">
          <w:marLeft w:val="0"/>
          <w:marRight w:val="0"/>
          <w:marTop w:val="0"/>
          <w:marBottom w:val="0"/>
          <w:divBdr>
            <w:top w:val="none" w:sz="0" w:space="0" w:color="auto"/>
            <w:left w:val="none" w:sz="0" w:space="0" w:color="auto"/>
            <w:bottom w:val="none" w:sz="0" w:space="0" w:color="auto"/>
            <w:right w:val="none" w:sz="0" w:space="0" w:color="auto"/>
          </w:divBdr>
        </w:div>
        <w:div w:id="1141851172">
          <w:marLeft w:val="0"/>
          <w:marRight w:val="0"/>
          <w:marTop w:val="0"/>
          <w:marBottom w:val="0"/>
          <w:divBdr>
            <w:top w:val="none" w:sz="0" w:space="0" w:color="auto"/>
            <w:left w:val="none" w:sz="0" w:space="0" w:color="auto"/>
            <w:bottom w:val="none" w:sz="0" w:space="0" w:color="auto"/>
            <w:right w:val="none" w:sz="0" w:space="0" w:color="auto"/>
          </w:divBdr>
        </w:div>
      </w:divsChild>
    </w:div>
    <w:div w:id="880484937">
      <w:bodyDiv w:val="1"/>
      <w:marLeft w:val="0"/>
      <w:marRight w:val="0"/>
      <w:marTop w:val="0"/>
      <w:marBottom w:val="0"/>
      <w:divBdr>
        <w:top w:val="none" w:sz="0" w:space="0" w:color="auto"/>
        <w:left w:val="none" w:sz="0" w:space="0" w:color="auto"/>
        <w:bottom w:val="none" w:sz="0" w:space="0" w:color="auto"/>
        <w:right w:val="none" w:sz="0" w:space="0" w:color="auto"/>
      </w:divBdr>
    </w:div>
    <w:div w:id="1182167468">
      <w:bodyDiv w:val="1"/>
      <w:marLeft w:val="0"/>
      <w:marRight w:val="0"/>
      <w:marTop w:val="0"/>
      <w:marBottom w:val="0"/>
      <w:divBdr>
        <w:top w:val="none" w:sz="0" w:space="0" w:color="auto"/>
        <w:left w:val="none" w:sz="0" w:space="0" w:color="auto"/>
        <w:bottom w:val="none" w:sz="0" w:space="0" w:color="auto"/>
        <w:right w:val="none" w:sz="0" w:space="0" w:color="auto"/>
      </w:divBdr>
    </w:div>
    <w:div w:id="1441333752">
      <w:bodyDiv w:val="1"/>
      <w:marLeft w:val="0"/>
      <w:marRight w:val="0"/>
      <w:marTop w:val="0"/>
      <w:marBottom w:val="0"/>
      <w:divBdr>
        <w:top w:val="none" w:sz="0" w:space="0" w:color="auto"/>
        <w:left w:val="none" w:sz="0" w:space="0" w:color="auto"/>
        <w:bottom w:val="none" w:sz="0" w:space="0" w:color="auto"/>
        <w:right w:val="none" w:sz="0" w:space="0" w:color="auto"/>
      </w:divBdr>
    </w:div>
    <w:div w:id="1498884885">
      <w:bodyDiv w:val="1"/>
      <w:marLeft w:val="0"/>
      <w:marRight w:val="0"/>
      <w:marTop w:val="0"/>
      <w:marBottom w:val="0"/>
      <w:divBdr>
        <w:top w:val="none" w:sz="0" w:space="0" w:color="auto"/>
        <w:left w:val="none" w:sz="0" w:space="0" w:color="auto"/>
        <w:bottom w:val="none" w:sz="0" w:space="0" w:color="auto"/>
        <w:right w:val="none" w:sz="0" w:space="0" w:color="auto"/>
      </w:divBdr>
      <w:divsChild>
        <w:div w:id="850802515">
          <w:marLeft w:val="0"/>
          <w:marRight w:val="0"/>
          <w:marTop w:val="0"/>
          <w:marBottom w:val="0"/>
          <w:divBdr>
            <w:top w:val="none" w:sz="0" w:space="0" w:color="auto"/>
            <w:left w:val="none" w:sz="0" w:space="0" w:color="auto"/>
            <w:bottom w:val="none" w:sz="0" w:space="0" w:color="auto"/>
            <w:right w:val="none" w:sz="0" w:space="0" w:color="auto"/>
          </w:divBdr>
        </w:div>
        <w:div w:id="57243224">
          <w:marLeft w:val="0"/>
          <w:marRight w:val="0"/>
          <w:marTop w:val="0"/>
          <w:marBottom w:val="0"/>
          <w:divBdr>
            <w:top w:val="none" w:sz="0" w:space="0" w:color="auto"/>
            <w:left w:val="none" w:sz="0" w:space="0" w:color="auto"/>
            <w:bottom w:val="none" w:sz="0" w:space="0" w:color="auto"/>
            <w:right w:val="none" w:sz="0" w:space="0" w:color="auto"/>
          </w:divBdr>
        </w:div>
        <w:div w:id="1063258477">
          <w:marLeft w:val="0"/>
          <w:marRight w:val="0"/>
          <w:marTop w:val="0"/>
          <w:marBottom w:val="0"/>
          <w:divBdr>
            <w:top w:val="none" w:sz="0" w:space="0" w:color="auto"/>
            <w:left w:val="none" w:sz="0" w:space="0" w:color="auto"/>
            <w:bottom w:val="none" w:sz="0" w:space="0" w:color="auto"/>
            <w:right w:val="none" w:sz="0" w:space="0" w:color="auto"/>
          </w:divBdr>
        </w:div>
        <w:div w:id="848449922">
          <w:marLeft w:val="0"/>
          <w:marRight w:val="0"/>
          <w:marTop w:val="0"/>
          <w:marBottom w:val="0"/>
          <w:divBdr>
            <w:top w:val="none" w:sz="0" w:space="0" w:color="auto"/>
            <w:left w:val="none" w:sz="0" w:space="0" w:color="auto"/>
            <w:bottom w:val="none" w:sz="0" w:space="0" w:color="auto"/>
            <w:right w:val="none" w:sz="0" w:space="0" w:color="auto"/>
          </w:divBdr>
        </w:div>
        <w:div w:id="2117944464">
          <w:marLeft w:val="0"/>
          <w:marRight w:val="0"/>
          <w:marTop w:val="0"/>
          <w:marBottom w:val="0"/>
          <w:divBdr>
            <w:top w:val="none" w:sz="0" w:space="0" w:color="auto"/>
            <w:left w:val="none" w:sz="0" w:space="0" w:color="auto"/>
            <w:bottom w:val="none" w:sz="0" w:space="0" w:color="auto"/>
            <w:right w:val="none" w:sz="0" w:space="0" w:color="auto"/>
          </w:divBdr>
        </w:div>
        <w:div w:id="1777404099">
          <w:marLeft w:val="0"/>
          <w:marRight w:val="0"/>
          <w:marTop w:val="0"/>
          <w:marBottom w:val="0"/>
          <w:divBdr>
            <w:top w:val="none" w:sz="0" w:space="0" w:color="auto"/>
            <w:left w:val="none" w:sz="0" w:space="0" w:color="auto"/>
            <w:bottom w:val="none" w:sz="0" w:space="0" w:color="auto"/>
            <w:right w:val="none" w:sz="0" w:space="0" w:color="auto"/>
          </w:divBdr>
        </w:div>
        <w:div w:id="744109781">
          <w:marLeft w:val="0"/>
          <w:marRight w:val="0"/>
          <w:marTop w:val="0"/>
          <w:marBottom w:val="0"/>
          <w:divBdr>
            <w:top w:val="none" w:sz="0" w:space="0" w:color="auto"/>
            <w:left w:val="none" w:sz="0" w:space="0" w:color="auto"/>
            <w:bottom w:val="none" w:sz="0" w:space="0" w:color="auto"/>
            <w:right w:val="none" w:sz="0" w:space="0" w:color="auto"/>
          </w:divBdr>
        </w:div>
        <w:div w:id="800153141">
          <w:marLeft w:val="0"/>
          <w:marRight w:val="0"/>
          <w:marTop w:val="0"/>
          <w:marBottom w:val="0"/>
          <w:divBdr>
            <w:top w:val="none" w:sz="0" w:space="0" w:color="auto"/>
            <w:left w:val="none" w:sz="0" w:space="0" w:color="auto"/>
            <w:bottom w:val="none" w:sz="0" w:space="0" w:color="auto"/>
            <w:right w:val="none" w:sz="0" w:space="0" w:color="auto"/>
          </w:divBdr>
        </w:div>
        <w:div w:id="1284921472">
          <w:marLeft w:val="0"/>
          <w:marRight w:val="0"/>
          <w:marTop w:val="0"/>
          <w:marBottom w:val="0"/>
          <w:divBdr>
            <w:top w:val="none" w:sz="0" w:space="0" w:color="auto"/>
            <w:left w:val="none" w:sz="0" w:space="0" w:color="auto"/>
            <w:bottom w:val="none" w:sz="0" w:space="0" w:color="auto"/>
            <w:right w:val="none" w:sz="0" w:space="0" w:color="auto"/>
          </w:divBdr>
        </w:div>
        <w:div w:id="1172842391">
          <w:marLeft w:val="0"/>
          <w:marRight w:val="0"/>
          <w:marTop w:val="0"/>
          <w:marBottom w:val="0"/>
          <w:divBdr>
            <w:top w:val="none" w:sz="0" w:space="0" w:color="auto"/>
            <w:left w:val="none" w:sz="0" w:space="0" w:color="auto"/>
            <w:bottom w:val="none" w:sz="0" w:space="0" w:color="auto"/>
            <w:right w:val="none" w:sz="0" w:space="0" w:color="auto"/>
          </w:divBdr>
        </w:div>
        <w:div w:id="1817799001">
          <w:marLeft w:val="0"/>
          <w:marRight w:val="0"/>
          <w:marTop w:val="0"/>
          <w:marBottom w:val="0"/>
          <w:divBdr>
            <w:top w:val="none" w:sz="0" w:space="0" w:color="auto"/>
            <w:left w:val="none" w:sz="0" w:space="0" w:color="auto"/>
            <w:bottom w:val="none" w:sz="0" w:space="0" w:color="auto"/>
            <w:right w:val="none" w:sz="0" w:space="0" w:color="auto"/>
          </w:divBdr>
        </w:div>
        <w:div w:id="281233853">
          <w:marLeft w:val="0"/>
          <w:marRight w:val="0"/>
          <w:marTop w:val="0"/>
          <w:marBottom w:val="0"/>
          <w:divBdr>
            <w:top w:val="none" w:sz="0" w:space="0" w:color="auto"/>
            <w:left w:val="none" w:sz="0" w:space="0" w:color="auto"/>
            <w:bottom w:val="none" w:sz="0" w:space="0" w:color="auto"/>
            <w:right w:val="none" w:sz="0" w:space="0" w:color="auto"/>
          </w:divBdr>
        </w:div>
        <w:div w:id="1678196210">
          <w:marLeft w:val="0"/>
          <w:marRight w:val="0"/>
          <w:marTop w:val="0"/>
          <w:marBottom w:val="0"/>
          <w:divBdr>
            <w:top w:val="none" w:sz="0" w:space="0" w:color="auto"/>
            <w:left w:val="none" w:sz="0" w:space="0" w:color="auto"/>
            <w:bottom w:val="none" w:sz="0" w:space="0" w:color="auto"/>
            <w:right w:val="none" w:sz="0" w:space="0" w:color="auto"/>
          </w:divBdr>
        </w:div>
        <w:div w:id="387189369">
          <w:marLeft w:val="0"/>
          <w:marRight w:val="0"/>
          <w:marTop w:val="0"/>
          <w:marBottom w:val="0"/>
          <w:divBdr>
            <w:top w:val="none" w:sz="0" w:space="0" w:color="auto"/>
            <w:left w:val="none" w:sz="0" w:space="0" w:color="auto"/>
            <w:bottom w:val="none" w:sz="0" w:space="0" w:color="auto"/>
            <w:right w:val="none" w:sz="0" w:space="0" w:color="auto"/>
          </w:divBdr>
        </w:div>
        <w:div w:id="1133908524">
          <w:marLeft w:val="0"/>
          <w:marRight w:val="0"/>
          <w:marTop w:val="0"/>
          <w:marBottom w:val="0"/>
          <w:divBdr>
            <w:top w:val="none" w:sz="0" w:space="0" w:color="auto"/>
            <w:left w:val="none" w:sz="0" w:space="0" w:color="auto"/>
            <w:bottom w:val="none" w:sz="0" w:space="0" w:color="auto"/>
            <w:right w:val="none" w:sz="0" w:space="0" w:color="auto"/>
          </w:divBdr>
        </w:div>
        <w:div w:id="803306376">
          <w:marLeft w:val="0"/>
          <w:marRight w:val="0"/>
          <w:marTop w:val="0"/>
          <w:marBottom w:val="0"/>
          <w:divBdr>
            <w:top w:val="none" w:sz="0" w:space="0" w:color="auto"/>
            <w:left w:val="none" w:sz="0" w:space="0" w:color="auto"/>
            <w:bottom w:val="none" w:sz="0" w:space="0" w:color="auto"/>
            <w:right w:val="none" w:sz="0" w:space="0" w:color="auto"/>
          </w:divBdr>
        </w:div>
        <w:div w:id="1235432255">
          <w:marLeft w:val="0"/>
          <w:marRight w:val="0"/>
          <w:marTop w:val="0"/>
          <w:marBottom w:val="0"/>
          <w:divBdr>
            <w:top w:val="none" w:sz="0" w:space="0" w:color="auto"/>
            <w:left w:val="none" w:sz="0" w:space="0" w:color="auto"/>
            <w:bottom w:val="none" w:sz="0" w:space="0" w:color="auto"/>
            <w:right w:val="none" w:sz="0" w:space="0" w:color="auto"/>
          </w:divBdr>
        </w:div>
        <w:div w:id="69665059">
          <w:marLeft w:val="0"/>
          <w:marRight w:val="0"/>
          <w:marTop w:val="0"/>
          <w:marBottom w:val="0"/>
          <w:divBdr>
            <w:top w:val="none" w:sz="0" w:space="0" w:color="auto"/>
            <w:left w:val="none" w:sz="0" w:space="0" w:color="auto"/>
            <w:bottom w:val="none" w:sz="0" w:space="0" w:color="auto"/>
            <w:right w:val="none" w:sz="0" w:space="0" w:color="auto"/>
          </w:divBdr>
        </w:div>
        <w:div w:id="413017712">
          <w:marLeft w:val="0"/>
          <w:marRight w:val="0"/>
          <w:marTop w:val="0"/>
          <w:marBottom w:val="0"/>
          <w:divBdr>
            <w:top w:val="none" w:sz="0" w:space="0" w:color="auto"/>
            <w:left w:val="none" w:sz="0" w:space="0" w:color="auto"/>
            <w:bottom w:val="none" w:sz="0" w:space="0" w:color="auto"/>
            <w:right w:val="none" w:sz="0" w:space="0" w:color="auto"/>
          </w:divBdr>
        </w:div>
        <w:div w:id="680427123">
          <w:marLeft w:val="0"/>
          <w:marRight w:val="0"/>
          <w:marTop w:val="0"/>
          <w:marBottom w:val="0"/>
          <w:divBdr>
            <w:top w:val="none" w:sz="0" w:space="0" w:color="auto"/>
            <w:left w:val="none" w:sz="0" w:space="0" w:color="auto"/>
            <w:bottom w:val="none" w:sz="0" w:space="0" w:color="auto"/>
            <w:right w:val="none" w:sz="0" w:space="0" w:color="auto"/>
          </w:divBdr>
        </w:div>
        <w:div w:id="627780009">
          <w:marLeft w:val="0"/>
          <w:marRight w:val="0"/>
          <w:marTop w:val="0"/>
          <w:marBottom w:val="0"/>
          <w:divBdr>
            <w:top w:val="none" w:sz="0" w:space="0" w:color="auto"/>
            <w:left w:val="none" w:sz="0" w:space="0" w:color="auto"/>
            <w:bottom w:val="none" w:sz="0" w:space="0" w:color="auto"/>
            <w:right w:val="none" w:sz="0" w:space="0" w:color="auto"/>
          </w:divBdr>
        </w:div>
      </w:divsChild>
    </w:div>
    <w:div w:id="18069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s://www.vicontrols.com/g3magctl/g3magctl.htm" TargetMode="External"/><Relationship Id="rId2" Type="http://schemas.openxmlformats.org/officeDocument/2006/relationships/hyperlink" Target="https://en.wikipedia.org/wiki/Hall_effect" TargetMode="External"/><Relationship Id="rId1" Type="http://schemas.openxmlformats.org/officeDocument/2006/relationships/hyperlink" Target="https://en.wikibooks.org/wiki/Semiconductor_Electronics/Semiconductor/Do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C5394-296A-4892-A6DC-723DB27E0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4133</TotalTime>
  <Pages>6</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Zohra Shikhalizada</dc:creator>
  <cp:keywords/>
  <dc:description/>
  <cp:lastModifiedBy>Zohra Shikhalizada</cp:lastModifiedBy>
  <cp:revision>34</cp:revision>
  <dcterms:created xsi:type="dcterms:W3CDTF">2019-03-14T11:15:00Z</dcterms:created>
  <dcterms:modified xsi:type="dcterms:W3CDTF">2019-05-21T23:37:00Z</dcterms:modified>
</cp:coreProperties>
</file>