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</w:t>
      </w:r>
      <w:r>
        <w:t xml:space="preserve"> </w:t>
      </w:r>
      <w:r>
        <w:t xml:space="preserve">AI</w:t>
      </w:r>
      <w:r>
        <w:t xml:space="preserve"> </w:t>
      </w:r>
      <w:r>
        <w:t xml:space="preserve">BTS</w:t>
      </w:r>
      <w:r>
        <w:t xml:space="preserve"> </w:t>
      </w:r>
      <w:r>
        <w:t xml:space="preserve">otolith</w:t>
      </w:r>
      <w:r>
        <w:t xml:space="preserve"> </w:t>
      </w:r>
      <w:r>
        <w:t xml:space="preserve">collection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Zack</w:t>
      </w:r>
      <w:r>
        <w:t xml:space="preserve"> </w:t>
      </w:r>
      <w:r>
        <w:t xml:space="preserve">Oyafuso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zack.oyafuso@noaa.gov</w:t>
        </w:r>
      </w:hyperlink>
      <w:r>
        <w:t xml:space="preserve">);</w:t>
      </w:r>
      <w:r>
        <w:t xml:space="preserve"> </w:t>
      </w:r>
      <w:r>
        <w:t xml:space="preserve">Ned</w:t>
      </w:r>
      <w:r>
        <w:t xml:space="preserve"> </w:t>
      </w:r>
      <w:r>
        <w:t xml:space="preserve">Laman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ned.laman@noaa.gov</w:t>
        </w:r>
      </w:hyperlink>
      <w:r>
        <w:t xml:space="preserve">)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October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Hi Sandra and Chris,</w:t>
      </w:r>
    </w:p>
    <w:p>
      <w:pPr>
        <w:pStyle w:val="BodyText"/>
      </w:pPr>
      <w:r>
        <w:t xml:space="preserve">Ned and I negotiated the otolith requests with Kalei, Sandra, Paul, Jane, Meaghan, Carey, Ingrid, and Steve for their respective stocks for the 2022 Aleutian Islands bottom trawl survey. This is a table of the total otolith pair requested versus collected across the 16 species that were requested.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Requested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Collected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30052</w:t>
            </w:r>
          </w:p>
        </w:tc>
        <w:tc>
          <w:p>
            <w:pPr>
              <w:pStyle w:val="Compact"/>
              <w:jc w:val="left"/>
            </w:pPr>
            <w:r>
              <w:t xml:space="preserve">Sebastes melanostictus</w:t>
            </w:r>
          </w:p>
        </w:tc>
        <w:tc>
          <w:p>
            <w:pPr>
              <w:pStyle w:val="Compact"/>
              <w:jc w:val="left"/>
            </w:pPr>
            <w:r>
              <w:t xml:space="preserve">blackspotted rockfish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p>
            <w:pPr>
              <w:pStyle w:val="Compact"/>
              <w:jc w:val="left"/>
            </w:pPr>
            <w:r>
              <w:t xml:space="preserve">over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21921</w:t>
            </w:r>
          </w:p>
        </w:tc>
        <w:tc>
          <w:p>
            <w:pPr>
              <w:pStyle w:val="Compact"/>
              <w:jc w:val="left"/>
            </w:pPr>
            <w:r>
              <w:t xml:space="preserve">Pleurogrammus monopterygius</w:t>
            </w:r>
          </w:p>
        </w:tc>
        <w:tc>
          <w:p>
            <w:pPr>
              <w:pStyle w:val="Compact"/>
              <w:jc w:val="left"/>
            </w:pPr>
            <w:r>
              <w:t xml:space="preserve">Atka mackerel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1090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21720</w:t>
            </w:r>
          </w:p>
        </w:tc>
        <w:tc>
          <w:p>
            <w:pPr>
              <w:pStyle w:val="Compact"/>
              <w:jc w:val="left"/>
            </w:pPr>
            <w:r>
              <w:t xml:space="preserve">Gadus macrocephalus</w:t>
            </w:r>
          </w:p>
        </w:tc>
        <w:tc>
          <w:p>
            <w:pPr>
              <w:pStyle w:val="Compact"/>
              <w:jc w:val="left"/>
            </w:pPr>
            <w:r>
              <w:t xml:space="preserve">Pacific cod</w:t>
            </w:r>
          </w:p>
        </w:tc>
        <w:tc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21740</w:t>
            </w:r>
          </w:p>
        </w:tc>
        <w:tc>
          <w:p>
            <w:pPr>
              <w:pStyle w:val="Compact"/>
              <w:jc w:val="left"/>
            </w:pPr>
            <w:r>
              <w:t xml:space="preserve">Gadus chalcogrammus</w:t>
            </w:r>
          </w:p>
        </w:tc>
        <w:tc>
          <w:p>
            <w:pPr>
              <w:pStyle w:val="Compact"/>
              <w:jc w:val="left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p>
            <w:pPr>
              <w:pStyle w:val="Compact"/>
              <w:jc w:val="center"/>
            </w:pPr>
            <w:r>
              <w:t xml:space="preserve">743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10112</w:t>
            </w:r>
          </w:p>
        </w:tc>
        <w:tc>
          <w:p>
            <w:pPr>
              <w:pStyle w:val="Compact"/>
              <w:jc w:val="left"/>
            </w:pPr>
            <w:r>
              <w:t xml:space="preserve">Atheresthes evermanni</w:t>
            </w:r>
          </w:p>
        </w:tc>
        <w:tc>
          <w:p>
            <w:pPr>
              <w:pStyle w:val="Compact"/>
              <w:jc w:val="left"/>
            </w:pPr>
            <w:r>
              <w:t xml:space="preserve">Kamchatka flounder</w:t>
            </w:r>
          </w:p>
        </w:tc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10262</w:t>
            </w:r>
          </w:p>
        </w:tc>
        <w:tc>
          <w:p>
            <w:pPr>
              <w:pStyle w:val="Compact"/>
              <w:jc w:val="left"/>
            </w:pPr>
            <w:r>
              <w:t xml:space="preserve">Lepidopsetta bilineata</w:t>
            </w:r>
          </w:p>
        </w:tc>
        <w:tc>
          <w:p>
            <w:pPr>
              <w:pStyle w:val="Compact"/>
              <w:jc w:val="left"/>
            </w:pPr>
            <w:r>
              <w:t xml:space="preserve">southern rock sole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10110</w:t>
            </w:r>
          </w:p>
        </w:tc>
        <w:tc>
          <w:p>
            <w:pPr>
              <w:pStyle w:val="Compact"/>
              <w:jc w:val="left"/>
            </w:pPr>
            <w:r>
              <w:t xml:space="preserve">Atheresthes stomias</w:t>
            </w:r>
          </w:p>
        </w:tc>
        <w:tc>
          <w:p>
            <w:pPr>
              <w:pStyle w:val="Compact"/>
              <w:jc w:val="left"/>
            </w:pPr>
            <w:r>
              <w:t xml:space="preserve">arrowtooth flounder</w:t>
            </w:r>
          </w:p>
        </w:tc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30060</w:t>
            </w:r>
          </w:p>
        </w:tc>
        <w:tc>
          <w:p>
            <w:pPr>
              <w:pStyle w:val="Compact"/>
              <w:jc w:val="left"/>
            </w:pPr>
            <w:r>
              <w:t xml:space="preserve">Sebastes alutus</w:t>
            </w:r>
          </w:p>
        </w:tc>
        <w:tc>
          <w:p>
            <w:pPr>
              <w:pStyle w:val="Compact"/>
              <w:jc w:val="left"/>
            </w:pPr>
            <w:r>
              <w:t xml:space="preserve">Pacific ocean perch</w:t>
            </w:r>
          </w:p>
        </w:tc>
        <w:tc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p>
            <w:pPr>
              <w:pStyle w:val="Compact"/>
              <w:jc w:val="center"/>
            </w:pPr>
            <w:r>
              <w:t xml:space="preserve">1209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30152</w:t>
            </w:r>
          </w:p>
        </w:tc>
        <w:tc>
          <w:p>
            <w:pPr>
              <w:pStyle w:val="Compact"/>
              <w:jc w:val="left"/>
            </w:pPr>
            <w:r>
              <w:t xml:space="preserve">Sebastes variabilis</w:t>
            </w:r>
          </w:p>
        </w:tc>
        <w:tc>
          <w:p>
            <w:pPr>
              <w:pStyle w:val="Compact"/>
              <w:jc w:val="left"/>
            </w:pPr>
            <w:r>
              <w:t xml:space="preserve">dusky rockfish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10261</w:t>
            </w:r>
          </w:p>
        </w:tc>
        <w:tc>
          <w:p>
            <w:pPr>
              <w:pStyle w:val="Compact"/>
              <w:jc w:val="left"/>
            </w:pPr>
            <w:r>
              <w:t xml:space="preserve">Lepidopsetta polyxystra</w:t>
            </w:r>
          </w:p>
        </w:tc>
        <w:tc>
          <w:p>
            <w:pPr>
              <w:pStyle w:val="Compact"/>
              <w:jc w:val="left"/>
            </w:pPr>
            <w:r>
              <w:t xml:space="preserve">northern rock sole</w:t>
            </w:r>
          </w:p>
        </w:tc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30020</w:t>
            </w:r>
          </w:p>
        </w:tc>
        <w:tc>
          <w:p>
            <w:pPr>
              <w:pStyle w:val="Compact"/>
              <w:jc w:val="left"/>
            </w:pPr>
            <w:r>
              <w:t xml:space="preserve">Sebastolobus alascanus</w:t>
            </w:r>
          </w:p>
        </w:tc>
        <w:tc>
          <w:p>
            <w:pPr>
              <w:pStyle w:val="Compact"/>
              <w:jc w:val="left"/>
            </w:pPr>
            <w:r>
              <w:t xml:space="preserve">shortspine thornyhead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30420</w:t>
            </w:r>
          </w:p>
        </w:tc>
        <w:tc>
          <w:p>
            <w:pPr>
              <w:pStyle w:val="Compact"/>
              <w:jc w:val="left"/>
            </w:pPr>
            <w:r>
              <w:t xml:space="preserve">Sebastes polyspinis</w:t>
            </w:r>
          </w:p>
        </w:tc>
        <w:tc>
          <w:p>
            <w:pPr>
              <w:pStyle w:val="Compact"/>
              <w:jc w:val="left"/>
            </w:pPr>
            <w:r>
              <w:t xml:space="preserve">northern rockfish</w:t>
            </w:r>
          </w:p>
        </w:tc>
        <w:tc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p>
            <w:pPr>
              <w:pStyle w:val="Compact"/>
              <w:jc w:val="center"/>
            </w:pPr>
            <w:r>
              <w:t xml:space="preserve">665</w:t>
            </w:r>
          </w:p>
        </w:tc>
        <w:tc>
          <w:p>
            <w:pPr>
              <w:pStyle w:val="Compact"/>
              <w:jc w:val="left"/>
            </w:pPr>
            <w:r>
              <w:t xml:space="preserve">within 10%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30535</w:t>
            </w:r>
          </w:p>
        </w:tc>
        <w:tc>
          <w:p>
            <w:pPr>
              <w:pStyle w:val="Compact"/>
              <w:jc w:val="left"/>
            </w:pPr>
            <w:r>
              <w:t xml:space="preserve">Sebastes variegatus</w:t>
            </w:r>
          </w:p>
        </w:tc>
        <w:tc>
          <w:p>
            <w:pPr>
              <w:pStyle w:val="Compact"/>
              <w:jc w:val="left"/>
            </w:pPr>
            <w:r>
              <w:t xml:space="preserve">harlequin rockfish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under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30051</w:t>
            </w:r>
          </w:p>
        </w:tc>
        <w:tc>
          <w:p>
            <w:pPr>
              <w:pStyle w:val="Compact"/>
              <w:jc w:val="left"/>
            </w:pPr>
            <w:r>
              <w:t xml:space="preserve">Sebastes aleutianus</w:t>
            </w:r>
          </w:p>
        </w:tc>
        <w:tc>
          <w:p>
            <w:pPr>
              <w:pStyle w:val="Compact"/>
              <w:jc w:val="left"/>
            </w:pPr>
            <w:r>
              <w:t xml:space="preserve">rougheye rockfish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under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10115</w:t>
            </w:r>
          </w:p>
        </w:tc>
        <w:tc>
          <w:p>
            <w:pPr>
              <w:pStyle w:val="Compact"/>
              <w:jc w:val="left"/>
            </w:pPr>
            <w:r>
              <w:t xml:space="preserve">Reinhardtius hippoglossoides</w:t>
            </w:r>
          </w:p>
        </w:tc>
        <w:tc>
          <w:p>
            <w:pPr>
              <w:pStyle w:val="Compact"/>
              <w:jc w:val="left"/>
            </w:pPr>
            <w:r>
              <w:t xml:space="preserve">Greenland turbot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under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30576</w:t>
            </w:r>
          </w:p>
        </w:tc>
        <w:tc>
          <w:p>
            <w:pPr>
              <w:pStyle w:val="Compact"/>
              <w:jc w:val="left"/>
            </w:pPr>
            <w:r>
              <w:t xml:space="preserve">Sebastes borealis</w:t>
            </w:r>
          </w:p>
        </w:tc>
        <w:tc>
          <w:p>
            <w:pPr>
              <w:pStyle w:val="Compact"/>
              <w:jc w:val="left"/>
            </w:pPr>
            <w:r>
              <w:t xml:space="preserve">shortraker rockfish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under</w:t>
            </w:r>
          </w:p>
        </w:tc>
      </w:tr>
    </w:tbl>
    <w:p>
      <w:pPr>
        <w:pStyle w:val="BodyText"/>
      </w:pPr>
      <w:r>
        <w:t xml:space="preserve">Twelve of the 16 species’ otolith targets were met or within 10%. Four species</w:t>
      </w:r>
      <w:r>
        <w:t xml:space="preserve"> </w:t>
      </w:r>
      <w:r>
        <w:t xml:space="preserve">were under: Greenland turbot and shortraker, harlequin, and rougheye rockfish.</w:t>
      </w:r>
      <w:r>
        <w:t xml:space="preserve"> </w:t>
      </w:r>
      <w:r>
        <w:t xml:space="preserve">For these four species, the total number of individuals observed (caught) were</w:t>
      </w:r>
      <w:r>
        <w:t xml:space="preserve"> </w:t>
      </w:r>
      <w:r>
        <w:t xml:space="preserve">much less than the total number of otoliths collected (see below).</w:t>
      </w:r>
    </w:p>
    <w:tbl>
      <w:tblPr>
        <w:tblStyle w:val="Table"/>
        <w:tblW w:type="pct" w:w="5000.0"/>
        <w:tblLook w:firstRow="1"/>
      </w:tblPr>
      <w:tblGrid>
        <w:gridCol w:w="972"/>
        <w:gridCol w:w="1389"/>
        <w:gridCol w:w="1806"/>
        <w:gridCol w:w="1945"/>
        <w:gridCol w:w="18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Otoliths Requested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Individuals 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Otoliths Collected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10115</w:t>
            </w:r>
          </w:p>
        </w:tc>
        <w:tc>
          <w:p>
            <w:pPr>
              <w:pStyle w:val="Compact"/>
              <w:jc w:val="left"/>
            </w:pPr>
            <w:r>
              <w:t xml:space="preserve">Greenland turbot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30051</w:t>
            </w:r>
          </w:p>
        </w:tc>
        <w:tc>
          <w:p>
            <w:pPr>
              <w:pStyle w:val="Compact"/>
              <w:jc w:val="left"/>
            </w:pPr>
            <w:r>
              <w:t xml:space="preserve">rougheye rockfish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30535</w:t>
            </w:r>
          </w:p>
        </w:tc>
        <w:tc>
          <w:p>
            <w:pPr>
              <w:pStyle w:val="Compact"/>
              <w:jc w:val="left"/>
            </w:pPr>
            <w:r>
              <w:t xml:space="preserve">harlequin rockfish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30576</w:t>
            </w:r>
          </w:p>
        </w:tc>
        <w:tc>
          <w:p>
            <w:pPr>
              <w:pStyle w:val="Compact"/>
              <w:jc w:val="left"/>
            </w:pPr>
            <w:r>
              <w:t xml:space="preserve">shortraker rockfish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246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</w:tr>
    </w:tbl>
    <w:p>
      <w:pPr>
        <w:pStyle w:val="BodyText"/>
      </w:pPr>
      <w:r>
        <w:t xml:space="preserve">Five Greenland turbot and two harelquin rockfish that could have been</w:t>
      </w:r>
      <w:r>
        <w:t xml:space="preserve"> </w:t>
      </w:r>
      <w:r>
        <w:t xml:space="preserve">collected were missed by accident. Eight rougheye rockfish and 97 shortraker</w:t>
      </w:r>
      <w:r>
        <w:t xml:space="preserve"> </w:t>
      </w:r>
      <w:r>
        <w:t xml:space="preserve">rockfish were not collected because of the collection rule (maximum 10 and 12</w:t>
      </w:r>
      <w:r>
        <w:t xml:space="preserve"> </w:t>
      </w:r>
      <w:r>
        <w:t xml:space="preserve">random/haul, respectively).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ned.laman@noaa.gov" TargetMode="External" /><Relationship Type="http://schemas.openxmlformats.org/officeDocument/2006/relationships/hyperlink" Id="rId20" Target="mailto:zack.oyafuso@noaa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ned.laman@noaa.gov" TargetMode="External" /><Relationship Type="http://schemas.openxmlformats.org/officeDocument/2006/relationships/hyperlink" Id="rId20" Target="mailto:zack.oyafuso@noa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AI BTS otolith collection results</dc:title>
  <dc:creator>Zack Oyafuso (zack.oyafuso@noaa.gov); Ned Laman (ned.laman@noaa.gov)</dc:creator>
  <cp:keywords/>
  <dcterms:created xsi:type="dcterms:W3CDTF">2022-10-25T17:58:51Z</dcterms:created>
  <dcterms:modified xsi:type="dcterms:W3CDTF">2022-10-25T17:58:51Z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October 2022</vt:lpwstr>
  </property>
  <property fmtid="{D5CDD505-2E9C-101B-9397-08002B2CF9AE}" pid="3" name="output">
    <vt:lpwstr>word_document</vt:lpwstr>
  </property>
</Properties>
</file>