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2CD" w:rsidRDefault="00140E60">
      <w:pPr>
        <w:pStyle w:val="Title"/>
      </w:pPr>
      <w:r>
        <w:t>Simulation testing of survey designs for the US Chukchi bottom trawl survey</w:t>
      </w:r>
    </w:p>
    <w:p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Zack S. Oyafuso (corresponding author) </w:t>
      </w:r>
    </w:p>
    <w:p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Lewis A.K. Barnett</w:t>
      </w:r>
    </w:p>
    <w:p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Margaret C. Siple</w:t>
      </w:r>
    </w:p>
    <w:p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Dan W. Cooper</w:t>
      </w:r>
    </w:p>
    <w:p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Stan Kotwicki </w:t>
      </w:r>
    </w:p>
    <w:p w:rsidR="00314E2C" w:rsidRPr="00314E2C" w:rsidRDefault="00314E2C" w:rsidP="00314E2C">
      <w:pPr>
        <w:spacing w:after="0"/>
        <w:rPr>
          <w:rFonts w:ascii="Times New Roman" w:eastAsia="Times New Roman" w:hAnsi="Times New Roman" w:cs="Times New Roman"/>
        </w:rPr>
      </w:pPr>
    </w:p>
    <w:p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Groundfish Assessment Program</w:t>
      </w:r>
    </w:p>
    <w:p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NOAA National Marine Fisheries Service</w:t>
      </w:r>
    </w:p>
    <w:p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Alaska Fisheries Science </w:t>
      </w:r>
    </w:p>
    <w:p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7600 Sand Point Way NE</w:t>
      </w:r>
    </w:p>
    <w:p w:rsidR="00314E2C" w:rsidRPr="00314E2C" w:rsidRDefault="00314E2C" w:rsidP="00314E2C">
      <w:pPr>
        <w:spacing w:after="0"/>
        <w:jc w:val="center"/>
        <w:rPr>
          <w:rFonts w:ascii="Times New Roman" w:eastAsia="Times New Roman" w:hAnsi="Times New Roman" w:cs="Times New Roman"/>
        </w:rPr>
      </w:pPr>
      <w:r w:rsidRPr="00314E2C">
        <w:rPr>
          <w:rFonts w:ascii="Times New Roman" w:eastAsia="Times New Roman" w:hAnsi="Times New Roman" w:cs="Times New Roman"/>
          <w:color w:val="000000"/>
        </w:rPr>
        <w:t>Seattle, WA 98115</w:t>
      </w:r>
    </w:p>
    <w:p w:rsidR="00314E2C" w:rsidRDefault="00314E2C" w:rsidP="00314E2C">
      <w:pPr>
        <w:pStyle w:val="BodyText"/>
      </w:pPr>
    </w:p>
    <w:p w:rsidR="00314E2C" w:rsidRDefault="00314E2C" w:rsidP="00314E2C">
      <w:pPr>
        <w:pStyle w:val="BodyText"/>
      </w:pPr>
    </w:p>
    <w:p w:rsidR="00314E2C" w:rsidRPr="00314E2C" w:rsidRDefault="00314E2C" w:rsidP="00314E2C">
      <w:pPr>
        <w:pStyle w:val="BodyText"/>
      </w:pPr>
      <w:bookmarkStart w:id="0" w:name="_GoBack"/>
      <w:bookmarkEnd w:id="0"/>
    </w:p>
    <w:p w:rsidR="003F22CD" w:rsidRDefault="00140E60">
      <w:pPr>
        <w:pStyle w:val="Heading1"/>
      </w:pPr>
      <w:bookmarkStart w:id="1" w:name="abstract"/>
      <w:r>
        <w:t>Abstract</w:t>
      </w:r>
      <w:bookmarkEnd w:id="1"/>
    </w:p>
    <w:p w:rsidR="003F22CD" w:rsidRDefault="00140E60">
      <w:pPr>
        <w:pStyle w:val="FirstParagraph"/>
      </w:pPr>
      <w:r>
        <w:t>The US Chukchi sea consists of the Arctic waters off the northwest of Alaska and is a naturally dynamic ice-driven ecosystem. Climate change is affecting the marine ecosystem as well as the Arctic coastal communities that rely on healthy marine ecosystems.</w:t>
      </w:r>
      <w:r>
        <w:t xml:space="preserve"> In anticipation of a potential bottom trawl survey in the region, there is an opportunity to evaluate the best means of continuing this survey, an area seldomly sampled compared to other regions in Alaska. This analysis focused on the types of bottom traw</w:t>
      </w:r>
      <w:r>
        <w:t>l surveys (otter and beam trawl) standardized by the NOAA-NMFS-AFSC and three types of survey designs: simple random, stratified random, and systematic. First, spatiotemporal distributions for 15 representative demersal fish and invertebrate taxa were fitt</w:t>
      </w:r>
      <w:r>
        <w:t>ed using the VAST R package. We then simulated spatiotemporal taxon densities to replicate the three survey designs to evaluate design-based estimates of abundance and precision across a range of sampling effort. Modest increases in precision were gained f</w:t>
      </w:r>
      <w:r>
        <w:t>rom stratifying the design when compared to a simple random design with either a similar or decreasing level of uncertainty and bias of the precision estimates. There were often strong tradeoffs between the precision and bias of the systematic estimates of</w:t>
      </w:r>
      <w:r>
        <w:t xml:space="preserve"> coefficient of variation (CV) across species and gear type. The stratified random design provided the most consistent, reliable, and precise estimates of abundance indices and is likely to be the most robust to changes in the survey design. This analysis </w:t>
      </w:r>
      <w:r>
        <w:t>is intended to provide the template for how we could change the survey design in the Chukchi sea and potentially other survey regions in Alaska going forward and will be important when integrating new survey objectives that are more ecosystem-focused.</w:t>
      </w:r>
    </w:p>
    <w:p w:rsidR="003F22CD" w:rsidRDefault="00140E60">
      <w:pPr>
        <w:pStyle w:val="Heading1"/>
      </w:pPr>
      <w:bookmarkStart w:id="2" w:name="introduction"/>
      <w:r>
        <w:lastRenderedPageBreak/>
        <w:t>Intr</w:t>
      </w:r>
      <w:r>
        <w:t>oduction</w:t>
      </w:r>
      <w:bookmarkEnd w:id="2"/>
    </w:p>
    <w:p w:rsidR="003F22CD" w:rsidRDefault="00140E60">
      <w:pPr>
        <w:pStyle w:val="FirstParagraph"/>
      </w:pPr>
      <w:r>
        <w:t>The recent environmental and ecological changes occuring in the Arctic ocean are unprecedented. The diminishing extent of the sea ice observed in the past century is perhaps the most visual representation of the changes occurring in the Arctic oce</w:t>
      </w:r>
      <w:r>
        <w:t>an (Polyak et al. (2010)). The Arctic ice pack reached its lowest point in 2012 relative to 1979-2000 (Parkinson and Comiso (2013)). Sea ice and the cold conditions associated with it are important to atmospheric and oceanographic regulation (Budikova (200</w:t>
      </w:r>
      <w:r>
        <w:t xml:space="preserve">9)). The edges of the sea ice are active in primary and secondary production, creating important foraging habitats for fish and marine mammals (Post et al. (2013)). Seals haul out on the surface of the ice to rest and nurse their pups, and polar bears and </w:t>
      </w:r>
      <w:r>
        <w:t>walruses depend on the ice to hunt for prey. Many Arctic communities hunt these mammals for subsistence. Warmer waters can expand the habitat ranges of more temperate species. For example, the discovery of large populations of mature walleye pollock in the</w:t>
      </w:r>
      <w:r>
        <w:t xml:space="preserve"> Russian western portion of the Chukchi sea (e.g., Emelin et al. (2022)) led to the development of a fishery in the region in 2021.</w:t>
      </w:r>
    </w:p>
    <w:p w:rsidR="003F22CD" w:rsidRDefault="00140E60">
      <w:pPr>
        <w:pStyle w:val="BodyText"/>
      </w:pPr>
      <w:r>
        <w:t xml:space="preserve">The portion of the Chukchi sea within the US exclusive economic zone is within the purview of the monitoring mission of the </w:t>
      </w:r>
      <w:r>
        <w:t>Alaska Fisheries Science Center (NOAA-NMFS). The Chukchi sea is connected to the Bering sea via the Bering strait and the Beaufort sea extends to the northeast of the Chukchi sea to the waters north of Alaska and Canada. The eastern Bering sea (EBS) contin</w:t>
      </w:r>
      <w:r>
        <w:t xml:space="preserve">ental shelf bottom trawl survey (BTS) has been conducted with standardized protocol annually since 1982 (Stauffer (2004)). The survey follows a fixed-station systematic fixed-grid survey design with an 83-112 eastern otter trawl (Markowitz et al. (2022)). </w:t>
      </w:r>
      <w:r>
        <w:t>In response to marked poleward expansions of many EBS groundfish species like walleye pollock, Pacific cod, and various flatfishes (Spies et al. (2020); Stevenson and Lauth (2019)), the EBS BTS has periodically extended into the northern Bering sea (NBS) s</w:t>
      </w:r>
      <w:r>
        <w:t>ince 2010 and more regularly since 2017. Further poleward extension of the survey north of the Bering strait into the Chukchi sea is similarly predicated by poleward advances in the distributions of species targeted by the EBS BTS. Evidence of northward ex</w:t>
      </w:r>
      <w:r>
        <w:t>pansion of Bering sea groundfish has been observed in bottom trawl and acoustic surveys conducted the past five years (Datsky, Vedishcheva, and Trofimova (2022)).</w:t>
      </w:r>
    </w:p>
    <w:p w:rsidR="003F22CD" w:rsidRDefault="00140E60">
      <w:pPr>
        <w:pStyle w:val="BodyText"/>
      </w:pPr>
      <w:r>
        <w:t>Unlike the Bering sea continenetal shelf, the US Chukchi sea has not been consistently sample</w:t>
      </w:r>
      <w:r>
        <w:t>d with standardized bottom trawl gear but this may change in the future due to shifting priorities in the region. The naive assumption for future Chukchi survey designs is to extend the fixed NMFS Bering sea 20-nmi systematic grid onto the Chukchi sea shel</w:t>
      </w:r>
      <w:r>
        <w:t>f as done in 2012 (source this TM). However, until funding is available for a groundfish survey in the Chukchi sea, there is an opportunity to evaluate survey designs that could provide reliable abundance estimates while allowing for more flexibility in su</w:t>
      </w:r>
      <w:r>
        <w:t>rvey extent and total survey effort than a systematic survey would. Systematic sampling has its advantages especially in survey logistics (e.g., stations are equally spaced) and variance reduction for homogeneously distributed populations. Randomized desig</w:t>
      </w:r>
      <w:r>
        <w:t xml:space="preserve">ns, especially with stratification, can allow for higher flexibility to different levels of total survey effort while providing robust and unbiased survey estimates of abundance and variance. Strata boundaries and station allocations among strata can also </w:t>
      </w:r>
      <w:r>
        <w:t>be optimized to weight species of importance (Oyafuso, Barnett, and Kotwicki (2021)).</w:t>
      </w:r>
    </w:p>
    <w:p w:rsidR="003F22CD" w:rsidRDefault="00140E60">
      <w:pPr>
        <w:pStyle w:val="BodyText"/>
      </w:pPr>
      <w:r>
        <w:t>We evaluated the bias and precision of survey estimates of abundance using a systematic fixed-grid survey design along with two types of randomized designs in the US Chuk</w:t>
      </w:r>
      <w:r>
        <w:t xml:space="preserve">chi sea BTS. </w:t>
      </w:r>
      <w:r>
        <w:lastRenderedPageBreak/>
        <w:t>Spatiotemporal distributions for 15 representative demersal fish and invertebrate taxa were fitted based on historical bottom trawl catch and effort data. The models used to fit these spatiotemporal relationships were then used to simulate tax</w:t>
      </w:r>
      <w:r>
        <w:t>on densities on which surveys under different designs could be conducted. Three conventional survey designs were evaluated: simple random sampling (SRS), stratified random sampling (STRS), and a fixed-grid systematic grid similar to what is employed in the</w:t>
      </w:r>
      <w:r>
        <w:t xml:space="preserve"> NMFS Bering sea BTS. Design-based estimates of abundance and precision from the three survey designs across a range of sampling effort were calculated, from which the performance of each design was evaluated. We evaluated the advantages and tradeoffs of u</w:t>
      </w:r>
      <w:r>
        <w:t>sing a systematic grid as previously done in the NMFS Chukchi sea BTS and then highlighted potential improvements to the survey by using randomized designs. This analysis is intended to provide a template for a modified Chukchi sea groundfish survey design</w:t>
      </w:r>
      <w:r>
        <w:t xml:space="preserve"> going forward and will be important when transitioning to ecosystem-focused survey objectives.</w:t>
      </w:r>
    </w:p>
    <w:p w:rsidR="003F22CD" w:rsidRDefault="00140E60">
      <w:pPr>
        <w:pStyle w:val="Heading1"/>
      </w:pPr>
      <w:bookmarkStart w:id="3" w:name="methods"/>
      <w:r>
        <w:t>Methods</w:t>
      </w:r>
      <w:bookmarkEnd w:id="3"/>
    </w:p>
    <w:p w:rsidR="003F22CD" w:rsidRDefault="00140E60">
      <w:pPr>
        <w:pStyle w:val="Heading2"/>
      </w:pPr>
      <w:bookmarkStart w:id="4" w:name="survey-area-and-historical-datasets"/>
      <w:r>
        <w:t>Survey Area and Historical Datasets</w:t>
      </w:r>
      <w:bookmarkEnd w:id="4"/>
    </w:p>
    <w:p w:rsidR="003F22CD" w:rsidRDefault="00140E60">
      <w:pPr>
        <w:pStyle w:val="FirstParagraph"/>
      </w:pPr>
      <w:r>
        <w:t>The US Chukchi sampling frame consists of a 2-nmi resolution grid (N = 15736 cells or sampling units) that extends n</w:t>
      </w:r>
      <w:r>
        <w:t>orth of the Bering Strait and is bounded by the Barrow Canyon 100 m isobath to the north, US-Russia Maritime Boundary to the west, and the 10-m isobath along the Alaska coastline to the east.</w:t>
      </w:r>
    </w:p>
    <w:p w:rsidR="003F22CD" w:rsidRDefault="00140E60">
      <w:pPr>
        <w:pStyle w:val="BodyText"/>
      </w:pPr>
      <w:r>
        <w:t xml:space="preserve">Readers are referred to Stauffer (2004) and Deary et al. (2021) </w:t>
      </w:r>
      <w:r>
        <w:t>for a detailed specification of the gears used in this study. We will briefly introduce and identify the major differences between the two gears used.</w:t>
      </w:r>
    </w:p>
    <w:p w:rsidR="003F22CD" w:rsidRDefault="00140E60">
      <w:pPr>
        <w:pStyle w:val="BodyText"/>
      </w:pPr>
      <w:r>
        <w:t>83-112 Eastern otter trawl (“otter trawl” hereafter): Surveys from two years, 1990 and 2012, were include</w:t>
      </w:r>
      <w:r>
        <w:t>d in this analysis due to the consistencies in the gear type. In 1990, 48 stations were sampled along 11 transect lines perpendicular to shore (Barber et al. (1997)). In 2012, a systematic sampling design was employed based on a 30-nmi square grid with the</w:t>
      </w:r>
      <w:r>
        <w:t xml:space="preserve"> planned trawl stations located at the approximate center of each grid cell, resulting in a total of 73 sampling locations,71 of which had successful tows used in the analysis. The mesh sizes of the wings and throat of the net were 10.2 cm in the intermedi</w:t>
      </w:r>
      <w:r>
        <w:t>ate part of the trawl and 8.9 cm in the codend. The codend also contained a smaller-meshed 32-mm liner for retaining smaller organisms. Otter trawl tows were trawled at a target speed of 3 knots for 15 minutes. Acoustic net mensuration sensors were used to</w:t>
      </w:r>
      <w:r>
        <w:t xml:space="preserve"> assess trawl performance and to provide net width for calculating effort (total area swept, the product of net width and distance trawled with bottom contact).</w:t>
      </w:r>
    </w:p>
    <w:p w:rsidR="003F22CD" w:rsidRDefault="00140E60">
      <w:pPr>
        <w:pStyle w:val="BodyText"/>
      </w:pPr>
      <w:r>
        <w:t>Plumb staff beam trawl (“beam trawl” hereafter): Surveys from three years, 2012, 2017, and 2019</w:t>
      </w:r>
      <w:r>
        <w:t xml:space="preserve"> were included in this analysis and used the same systematic grid as the 2012 otter trawl survey. In 2012, a tickler chain preceded the trawl footrope (Gunderson and Ellis (1986); Kotwicki et al. (2017)). Beam trawl tows from 2017 and 2019 were conducted a</w:t>
      </w:r>
      <w:r>
        <w:t xml:space="preserve">s part of the Arctic IES component of the Arctic Integrated Ecosystem Research Program (IERP). The body of the trawl has 7-mm mesh with a 4-mm mesh at the cod end. In 2017 and 2019, the tickler chain was removed, and the trawl was modified with a footrope </w:t>
      </w:r>
      <w:r>
        <w:t xml:space="preserve">of 10.2-cm rubber discs over a steel chain as in Abookire and Rose (2005). In all beam trawl survey years, effort was calculated similar to the otter trawl, with a bottom contact sensor to determine distance fished by the trawl. </w:t>
      </w:r>
      <w:r>
        <w:lastRenderedPageBreak/>
        <w:t>Effective trawl width of th</w:t>
      </w:r>
      <w:r>
        <w:t>e trawl was assumed to be 2.26 m in 2012 (Gunderson and Ellis (1986); Kotwicki et al. (2017)), and 2.1 m in 2017 and 2019 (Abookire and Rose (2005)). Beam trawl tows were trawled at a target speed of 1.5 knots for 2.9-7.5 minutes. Catch samples from the be</w:t>
      </w:r>
      <w:r>
        <w:t>am and otter trawls were identified and sorted to the lowest possible taxonomic group, weighed, and counted. Field identifications of a subset of age-0 gadids in 2017 and 2019 were confirmed with genetic techniques (see Wildes et al. (2022)).</w:t>
      </w:r>
    </w:p>
    <w:p w:rsidR="003F22CD" w:rsidRDefault="00140E60">
      <w:pPr>
        <w:pStyle w:val="Heading2"/>
      </w:pPr>
      <w:bookmarkStart w:id="5" w:name="species-list"/>
      <w:r>
        <w:t>Species List</w:t>
      </w:r>
      <w:bookmarkEnd w:id="5"/>
    </w:p>
    <w:p w:rsidR="003F22CD" w:rsidRDefault="00140E60">
      <w:pPr>
        <w:pStyle w:val="FirstParagraph"/>
      </w:pPr>
      <w:r>
        <w:t>The set of taxa we chose to include in this analysis was influenced by cultural importance to Bering Strait and Chukchi Sea communities, commercial and ecological importance, availability in the dataset, appropriateness to the two bottom trawl gears, and t</w:t>
      </w:r>
      <w:r>
        <w:t>he ability to fit informative spatiotemporal distribution models to survey catch data. Taxa groupings were defined from a prior Northern Bering sea analysis of bottom-trawl surveys conducted from 2010-2021 (Markowitz et al. (2022)). These taxa groupings we</w:t>
      </w:r>
      <w:r>
        <w:t>re important representatives of the demersal marine community as identified by the Bering Sea native communities. We do not have similar distinctions for those communities living within the Chukchi Sea, however these taxa groupings represent a diverse rang</w:t>
      </w:r>
      <w:r>
        <w:t>e of fish and invertebrate taxa in an area proximal to the Chukchi Sea via the Bering Strait. Taxa were further filtered to reflect the relative catchability of the two gears (Lauth et al. in review) and models were fit separately for each taxon and gear t</w:t>
      </w:r>
      <w:r>
        <w:t>ype to reflect those differences in catchability.</w:t>
      </w:r>
    </w:p>
    <w:p w:rsidR="003F22CD" w:rsidRDefault="00140E60">
      <w:pPr>
        <w:pStyle w:val="BodyText"/>
      </w:pPr>
      <w:r>
        <w:t>Table 1: List of the various fish and invertebrate taxa and associated gears included in the analysis.</w:t>
      </w:r>
    </w:p>
    <w:tbl>
      <w:tblPr>
        <w:tblStyle w:val="Table"/>
        <w:tblW w:w="0" w:type="pct"/>
        <w:tblLook w:val="07E0" w:firstRow="1" w:lastRow="1" w:firstColumn="1" w:lastColumn="1" w:noHBand="1" w:noVBand="1"/>
      </w:tblPr>
      <w:tblGrid>
        <w:gridCol w:w="3369"/>
        <w:gridCol w:w="3002"/>
        <w:gridCol w:w="2196"/>
      </w:tblGrid>
      <w:tr w:rsidR="003F22CD">
        <w:tc>
          <w:tcPr>
            <w:tcW w:w="0" w:type="auto"/>
            <w:tcBorders>
              <w:bottom w:val="single" w:sz="0" w:space="0" w:color="auto"/>
            </w:tcBorders>
            <w:vAlign w:val="bottom"/>
          </w:tcPr>
          <w:p w:rsidR="003F22CD" w:rsidRDefault="00140E60">
            <w:pPr>
              <w:pStyle w:val="Compact"/>
              <w:jc w:val="center"/>
            </w:pPr>
            <w:r>
              <w:t>Scientific Name</w:t>
            </w:r>
          </w:p>
        </w:tc>
        <w:tc>
          <w:tcPr>
            <w:tcW w:w="0" w:type="auto"/>
            <w:tcBorders>
              <w:bottom w:val="single" w:sz="0" w:space="0" w:color="auto"/>
            </w:tcBorders>
            <w:vAlign w:val="bottom"/>
          </w:tcPr>
          <w:p w:rsidR="003F22CD" w:rsidRDefault="00140E60">
            <w:pPr>
              <w:pStyle w:val="Compact"/>
              <w:jc w:val="center"/>
            </w:pPr>
            <w:r>
              <w:t>Common Name</w:t>
            </w:r>
          </w:p>
        </w:tc>
        <w:tc>
          <w:tcPr>
            <w:tcW w:w="0" w:type="auto"/>
            <w:tcBorders>
              <w:bottom w:val="single" w:sz="0" w:space="0" w:color="auto"/>
            </w:tcBorders>
            <w:vAlign w:val="bottom"/>
          </w:tcPr>
          <w:p w:rsidR="003F22CD" w:rsidRDefault="00140E60">
            <w:pPr>
              <w:pStyle w:val="Compact"/>
              <w:jc w:val="center"/>
            </w:pPr>
            <w:r>
              <w:t>Gear</w:t>
            </w:r>
          </w:p>
        </w:tc>
      </w:tr>
      <w:tr w:rsidR="003F22CD">
        <w:tc>
          <w:tcPr>
            <w:tcW w:w="0" w:type="auto"/>
          </w:tcPr>
          <w:p w:rsidR="003F22CD" w:rsidRDefault="00140E60">
            <w:pPr>
              <w:pStyle w:val="Compact"/>
              <w:jc w:val="center"/>
            </w:pPr>
            <w:r>
              <w:rPr>
                <w:i/>
              </w:rPr>
              <w:t>Pleuronectes quadrituberculatus</w:t>
            </w:r>
          </w:p>
        </w:tc>
        <w:tc>
          <w:tcPr>
            <w:tcW w:w="0" w:type="auto"/>
          </w:tcPr>
          <w:p w:rsidR="003F22CD" w:rsidRDefault="00140E60">
            <w:pPr>
              <w:pStyle w:val="Compact"/>
              <w:jc w:val="center"/>
            </w:pPr>
            <w:r>
              <w:t>Alaska plaice</w:t>
            </w:r>
          </w:p>
        </w:tc>
        <w:tc>
          <w:tcPr>
            <w:tcW w:w="0" w:type="auto"/>
          </w:tcPr>
          <w:p w:rsidR="003F22CD" w:rsidRDefault="00140E60">
            <w:pPr>
              <w:pStyle w:val="Compact"/>
              <w:jc w:val="center"/>
            </w:pPr>
            <w:r>
              <w:t>otter trawl</w:t>
            </w:r>
          </w:p>
        </w:tc>
      </w:tr>
      <w:tr w:rsidR="003F22CD">
        <w:tc>
          <w:tcPr>
            <w:tcW w:w="0" w:type="auto"/>
          </w:tcPr>
          <w:p w:rsidR="003F22CD" w:rsidRDefault="00140E60">
            <w:pPr>
              <w:pStyle w:val="Compact"/>
              <w:jc w:val="center"/>
            </w:pPr>
            <w:r>
              <w:rPr>
                <w:i/>
              </w:rPr>
              <w:t>Boreogadus saida</w:t>
            </w:r>
          </w:p>
        </w:tc>
        <w:tc>
          <w:tcPr>
            <w:tcW w:w="0" w:type="auto"/>
          </w:tcPr>
          <w:p w:rsidR="003F22CD" w:rsidRDefault="00140E60">
            <w:pPr>
              <w:pStyle w:val="Compact"/>
              <w:jc w:val="center"/>
            </w:pPr>
            <w:r>
              <w:t>Arctic cod</w:t>
            </w:r>
          </w:p>
        </w:tc>
        <w:tc>
          <w:tcPr>
            <w:tcW w:w="0" w:type="auto"/>
          </w:tcPr>
          <w:p w:rsidR="003F22CD" w:rsidRDefault="00140E60">
            <w:pPr>
              <w:pStyle w:val="Compact"/>
              <w:jc w:val="center"/>
            </w:pPr>
            <w:r>
              <w:t>beam and otter trawl</w:t>
            </w:r>
          </w:p>
        </w:tc>
      </w:tr>
      <w:tr w:rsidR="003F22CD">
        <w:tc>
          <w:tcPr>
            <w:tcW w:w="0" w:type="auto"/>
          </w:tcPr>
          <w:p w:rsidR="003F22CD" w:rsidRDefault="00140E60">
            <w:pPr>
              <w:pStyle w:val="Compact"/>
              <w:jc w:val="center"/>
            </w:pPr>
            <w:r>
              <w:rPr>
                <w:i/>
              </w:rPr>
              <w:t>Hippoglossoides robustus</w:t>
            </w:r>
          </w:p>
        </w:tc>
        <w:tc>
          <w:tcPr>
            <w:tcW w:w="0" w:type="auto"/>
          </w:tcPr>
          <w:p w:rsidR="003F22CD" w:rsidRDefault="00140E60">
            <w:pPr>
              <w:pStyle w:val="Compact"/>
              <w:jc w:val="center"/>
            </w:pPr>
            <w:r>
              <w:t>Bering flounder</w:t>
            </w:r>
          </w:p>
        </w:tc>
        <w:tc>
          <w:tcPr>
            <w:tcW w:w="0" w:type="auto"/>
          </w:tcPr>
          <w:p w:rsidR="003F22CD" w:rsidRDefault="00140E60">
            <w:pPr>
              <w:pStyle w:val="Compact"/>
              <w:jc w:val="center"/>
            </w:pPr>
            <w:r>
              <w:t>beam and otter trawl</w:t>
            </w:r>
          </w:p>
        </w:tc>
      </w:tr>
      <w:tr w:rsidR="003F22CD">
        <w:tc>
          <w:tcPr>
            <w:tcW w:w="0" w:type="auto"/>
          </w:tcPr>
          <w:p w:rsidR="003F22CD" w:rsidRDefault="00140E60">
            <w:pPr>
              <w:pStyle w:val="Compact"/>
              <w:jc w:val="center"/>
            </w:pPr>
            <w:r>
              <w:t>Family: Zoarchidae</w:t>
            </w:r>
          </w:p>
        </w:tc>
        <w:tc>
          <w:tcPr>
            <w:tcW w:w="0" w:type="auto"/>
          </w:tcPr>
          <w:p w:rsidR="003F22CD" w:rsidRDefault="00140E60">
            <w:pPr>
              <w:pStyle w:val="Compact"/>
              <w:jc w:val="center"/>
            </w:pPr>
            <w:r>
              <w:t>eelpouts</w:t>
            </w:r>
          </w:p>
        </w:tc>
        <w:tc>
          <w:tcPr>
            <w:tcW w:w="0" w:type="auto"/>
          </w:tcPr>
          <w:p w:rsidR="003F22CD" w:rsidRDefault="00140E60">
            <w:pPr>
              <w:pStyle w:val="Compact"/>
              <w:jc w:val="center"/>
            </w:pPr>
            <w:r>
              <w:t>beam trawl</w:t>
            </w:r>
          </w:p>
        </w:tc>
      </w:tr>
      <w:tr w:rsidR="003F22CD">
        <w:tc>
          <w:tcPr>
            <w:tcW w:w="0" w:type="auto"/>
          </w:tcPr>
          <w:p w:rsidR="003F22CD" w:rsidRDefault="00140E60">
            <w:pPr>
              <w:pStyle w:val="Compact"/>
              <w:jc w:val="center"/>
            </w:pPr>
            <w:r>
              <w:t>Family: Agonidae</w:t>
            </w:r>
          </w:p>
        </w:tc>
        <w:tc>
          <w:tcPr>
            <w:tcW w:w="0" w:type="auto"/>
          </w:tcPr>
          <w:p w:rsidR="003F22CD" w:rsidRDefault="00140E60">
            <w:pPr>
              <w:pStyle w:val="Compact"/>
              <w:jc w:val="center"/>
            </w:pPr>
            <w:r>
              <w:t>poachers</w:t>
            </w:r>
          </w:p>
        </w:tc>
        <w:tc>
          <w:tcPr>
            <w:tcW w:w="0" w:type="auto"/>
          </w:tcPr>
          <w:p w:rsidR="003F22CD" w:rsidRDefault="00140E60">
            <w:pPr>
              <w:pStyle w:val="Compact"/>
              <w:jc w:val="center"/>
            </w:pPr>
            <w:r>
              <w:t>beam and otter trawl</w:t>
            </w:r>
          </w:p>
        </w:tc>
      </w:tr>
      <w:tr w:rsidR="003F22CD">
        <w:tc>
          <w:tcPr>
            <w:tcW w:w="0" w:type="auto"/>
          </w:tcPr>
          <w:p w:rsidR="003F22CD" w:rsidRDefault="00140E60">
            <w:pPr>
              <w:pStyle w:val="Compact"/>
              <w:jc w:val="center"/>
            </w:pPr>
            <w:r>
              <w:t>Family: Stichaeidae</w:t>
            </w:r>
          </w:p>
        </w:tc>
        <w:tc>
          <w:tcPr>
            <w:tcW w:w="0" w:type="auto"/>
          </w:tcPr>
          <w:p w:rsidR="003F22CD" w:rsidRDefault="00140E60">
            <w:pPr>
              <w:pStyle w:val="Compact"/>
              <w:jc w:val="center"/>
            </w:pPr>
            <w:r>
              <w:t>pricklebacks</w:t>
            </w:r>
          </w:p>
        </w:tc>
        <w:tc>
          <w:tcPr>
            <w:tcW w:w="0" w:type="auto"/>
          </w:tcPr>
          <w:p w:rsidR="003F22CD" w:rsidRDefault="00140E60">
            <w:pPr>
              <w:pStyle w:val="Compact"/>
              <w:jc w:val="center"/>
            </w:pPr>
            <w:r>
              <w:t>beam trawl</w:t>
            </w:r>
          </w:p>
        </w:tc>
      </w:tr>
      <w:tr w:rsidR="003F22CD">
        <w:tc>
          <w:tcPr>
            <w:tcW w:w="0" w:type="auto"/>
          </w:tcPr>
          <w:p w:rsidR="003F22CD" w:rsidRDefault="00140E60">
            <w:pPr>
              <w:pStyle w:val="Compact"/>
              <w:jc w:val="center"/>
            </w:pPr>
            <w:r>
              <w:rPr>
                <w:i/>
              </w:rPr>
              <w:t>Eleginus gracilis</w:t>
            </w:r>
          </w:p>
        </w:tc>
        <w:tc>
          <w:tcPr>
            <w:tcW w:w="0" w:type="auto"/>
          </w:tcPr>
          <w:p w:rsidR="003F22CD" w:rsidRDefault="00140E60">
            <w:pPr>
              <w:pStyle w:val="Compact"/>
              <w:jc w:val="center"/>
            </w:pPr>
            <w:r>
              <w:t>saffron cod</w:t>
            </w:r>
          </w:p>
        </w:tc>
        <w:tc>
          <w:tcPr>
            <w:tcW w:w="0" w:type="auto"/>
          </w:tcPr>
          <w:p w:rsidR="003F22CD" w:rsidRDefault="00140E60">
            <w:pPr>
              <w:pStyle w:val="Compact"/>
              <w:jc w:val="center"/>
            </w:pPr>
            <w:r>
              <w:t>beam and otter trawl</w:t>
            </w:r>
          </w:p>
        </w:tc>
      </w:tr>
      <w:tr w:rsidR="003F22CD">
        <w:tc>
          <w:tcPr>
            <w:tcW w:w="0" w:type="auto"/>
          </w:tcPr>
          <w:p w:rsidR="003F22CD" w:rsidRDefault="00140E60">
            <w:pPr>
              <w:pStyle w:val="Compact"/>
              <w:jc w:val="center"/>
            </w:pPr>
            <w:r>
              <w:t>Family: Cottidae</w:t>
            </w:r>
          </w:p>
        </w:tc>
        <w:tc>
          <w:tcPr>
            <w:tcW w:w="0" w:type="auto"/>
          </w:tcPr>
          <w:p w:rsidR="003F22CD" w:rsidRDefault="00140E60">
            <w:pPr>
              <w:pStyle w:val="Compact"/>
              <w:jc w:val="center"/>
            </w:pPr>
            <w:r>
              <w:t>sculpins</w:t>
            </w:r>
          </w:p>
        </w:tc>
        <w:tc>
          <w:tcPr>
            <w:tcW w:w="0" w:type="auto"/>
          </w:tcPr>
          <w:p w:rsidR="003F22CD" w:rsidRDefault="00140E60">
            <w:pPr>
              <w:pStyle w:val="Compact"/>
              <w:jc w:val="center"/>
            </w:pPr>
            <w:r>
              <w:t>beam and otter trawl</w:t>
            </w:r>
          </w:p>
        </w:tc>
      </w:tr>
      <w:tr w:rsidR="003F22CD">
        <w:tc>
          <w:tcPr>
            <w:tcW w:w="0" w:type="auto"/>
          </w:tcPr>
          <w:p w:rsidR="003F22CD" w:rsidRDefault="00140E60">
            <w:pPr>
              <w:pStyle w:val="Compact"/>
              <w:jc w:val="center"/>
            </w:pPr>
            <w:r>
              <w:t>Family: Liparidae</w:t>
            </w:r>
          </w:p>
        </w:tc>
        <w:tc>
          <w:tcPr>
            <w:tcW w:w="0" w:type="auto"/>
          </w:tcPr>
          <w:p w:rsidR="003F22CD" w:rsidRDefault="00140E60">
            <w:pPr>
              <w:pStyle w:val="Compact"/>
              <w:jc w:val="center"/>
            </w:pPr>
            <w:r>
              <w:t>snailfishes</w:t>
            </w:r>
          </w:p>
        </w:tc>
        <w:tc>
          <w:tcPr>
            <w:tcW w:w="0" w:type="auto"/>
          </w:tcPr>
          <w:p w:rsidR="003F22CD" w:rsidRDefault="00140E60">
            <w:pPr>
              <w:pStyle w:val="Compact"/>
              <w:jc w:val="center"/>
            </w:pPr>
            <w:r>
              <w:t>beam and otter trawl</w:t>
            </w:r>
          </w:p>
        </w:tc>
      </w:tr>
      <w:tr w:rsidR="003F22CD">
        <w:tc>
          <w:tcPr>
            <w:tcW w:w="0" w:type="auto"/>
          </w:tcPr>
          <w:p w:rsidR="003F22CD" w:rsidRDefault="00140E60">
            <w:pPr>
              <w:pStyle w:val="Compact"/>
              <w:jc w:val="center"/>
            </w:pPr>
            <w:r>
              <w:rPr>
                <w:i/>
              </w:rPr>
              <w:t>Gadus chalcogrammus</w:t>
            </w:r>
          </w:p>
        </w:tc>
        <w:tc>
          <w:tcPr>
            <w:tcW w:w="0" w:type="auto"/>
          </w:tcPr>
          <w:p w:rsidR="003F22CD" w:rsidRDefault="00140E60">
            <w:pPr>
              <w:pStyle w:val="Compact"/>
              <w:jc w:val="center"/>
            </w:pPr>
            <w:r>
              <w:t>walleye pollock</w:t>
            </w:r>
          </w:p>
        </w:tc>
        <w:tc>
          <w:tcPr>
            <w:tcW w:w="0" w:type="auto"/>
          </w:tcPr>
          <w:p w:rsidR="003F22CD" w:rsidRDefault="00140E60">
            <w:pPr>
              <w:pStyle w:val="Compact"/>
              <w:jc w:val="center"/>
            </w:pPr>
            <w:r>
              <w:t>otter trawl</w:t>
            </w:r>
          </w:p>
        </w:tc>
      </w:tr>
      <w:tr w:rsidR="003F22CD">
        <w:tc>
          <w:tcPr>
            <w:tcW w:w="0" w:type="auto"/>
          </w:tcPr>
          <w:p w:rsidR="003F22CD" w:rsidRDefault="00140E60">
            <w:pPr>
              <w:pStyle w:val="Compact"/>
              <w:jc w:val="center"/>
            </w:pPr>
            <w:r>
              <w:rPr>
                <w:i/>
              </w:rPr>
              <w:t>Limanda aspera</w:t>
            </w:r>
          </w:p>
        </w:tc>
        <w:tc>
          <w:tcPr>
            <w:tcW w:w="0" w:type="auto"/>
          </w:tcPr>
          <w:p w:rsidR="003F22CD" w:rsidRDefault="00140E60">
            <w:pPr>
              <w:pStyle w:val="Compact"/>
              <w:jc w:val="center"/>
            </w:pPr>
            <w:r>
              <w:t>yellowfin sole</w:t>
            </w:r>
          </w:p>
        </w:tc>
        <w:tc>
          <w:tcPr>
            <w:tcW w:w="0" w:type="auto"/>
          </w:tcPr>
          <w:p w:rsidR="003F22CD" w:rsidRDefault="00140E60">
            <w:pPr>
              <w:pStyle w:val="Compact"/>
              <w:jc w:val="center"/>
            </w:pPr>
            <w:r>
              <w:t>otter trawl</w:t>
            </w:r>
          </w:p>
        </w:tc>
      </w:tr>
      <w:tr w:rsidR="003F22CD">
        <w:tc>
          <w:tcPr>
            <w:tcW w:w="0" w:type="auto"/>
          </w:tcPr>
          <w:p w:rsidR="003F22CD" w:rsidRDefault="00140E60">
            <w:pPr>
              <w:pStyle w:val="Compact"/>
              <w:jc w:val="center"/>
            </w:pPr>
            <w:r>
              <w:t>Phylum: Bryozoa</w:t>
            </w:r>
          </w:p>
        </w:tc>
        <w:tc>
          <w:tcPr>
            <w:tcW w:w="0" w:type="auto"/>
          </w:tcPr>
          <w:p w:rsidR="003F22CD" w:rsidRDefault="00140E60">
            <w:pPr>
              <w:pStyle w:val="Compact"/>
              <w:jc w:val="center"/>
            </w:pPr>
            <w:r>
              <w:t>bryozoans</w:t>
            </w:r>
          </w:p>
        </w:tc>
        <w:tc>
          <w:tcPr>
            <w:tcW w:w="0" w:type="auto"/>
          </w:tcPr>
          <w:p w:rsidR="003F22CD" w:rsidRDefault="00140E60">
            <w:pPr>
              <w:pStyle w:val="Compact"/>
              <w:jc w:val="center"/>
            </w:pPr>
            <w:r>
              <w:t>beam trawl</w:t>
            </w:r>
          </w:p>
        </w:tc>
      </w:tr>
      <w:tr w:rsidR="003F22CD">
        <w:tc>
          <w:tcPr>
            <w:tcW w:w="0" w:type="auto"/>
          </w:tcPr>
          <w:p w:rsidR="003F22CD" w:rsidRDefault="00140E60">
            <w:pPr>
              <w:pStyle w:val="Compact"/>
              <w:jc w:val="center"/>
            </w:pPr>
            <w:r>
              <w:t>Class: Scyphozoa</w:t>
            </w:r>
          </w:p>
        </w:tc>
        <w:tc>
          <w:tcPr>
            <w:tcW w:w="0" w:type="auto"/>
          </w:tcPr>
          <w:p w:rsidR="003F22CD" w:rsidRDefault="00140E60">
            <w:pPr>
              <w:pStyle w:val="Compact"/>
              <w:jc w:val="center"/>
            </w:pPr>
            <w:r>
              <w:t>jellyfishes</w:t>
            </w:r>
          </w:p>
        </w:tc>
        <w:tc>
          <w:tcPr>
            <w:tcW w:w="0" w:type="auto"/>
          </w:tcPr>
          <w:p w:rsidR="003F22CD" w:rsidRDefault="00140E60">
            <w:pPr>
              <w:pStyle w:val="Compact"/>
              <w:jc w:val="center"/>
            </w:pPr>
            <w:r>
              <w:t>beam and otter trawl</w:t>
            </w:r>
          </w:p>
        </w:tc>
      </w:tr>
      <w:tr w:rsidR="003F22CD">
        <w:tc>
          <w:tcPr>
            <w:tcW w:w="0" w:type="auto"/>
          </w:tcPr>
          <w:p w:rsidR="003F22CD" w:rsidRDefault="00140E60">
            <w:pPr>
              <w:pStyle w:val="Compact"/>
              <w:jc w:val="center"/>
            </w:pPr>
            <w:r>
              <w:rPr>
                <w:i/>
              </w:rPr>
              <w:t>Asterias amurensis</w:t>
            </w:r>
          </w:p>
        </w:tc>
        <w:tc>
          <w:tcPr>
            <w:tcW w:w="0" w:type="auto"/>
          </w:tcPr>
          <w:p w:rsidR="003F22CD" w:rsidRDefault="00140E60">
            <w:pPr>
              <w:pStyle w:val="Compact"/>
              <w:jc w:val="center"/>
            </w:pPr>
            <w:r>
              <w:t>purple-orange sea star</w:t>
            </w:r>
          </w:p>
        </w:tc>
        <w:tc>
          <w:tcPr>
            <w:tcW w:w="0" w:type="auto"/>
          </w:tcPr>
          <w:p w:rsidR="003F22CD" w:rsidRDefault="00140E60">
            <w:pPr>
              <w:pStyle w:val="Compact"/>
              <w:jc w:val="center"/>
            </w:pPr>
            <w:r>
              <w:t>beam and otter trawl</w:t>
            </w:r>
          </w:p>
        </w:tc>
      </w:tr>
      <w:tr w:rsidR="003F22CD">
        <w:tc>
          <w:tcPr>
            <w:tcW w:w="0" w:type="auto"/>
          </w:tcPr>
          <w:p w:rsidR="003F22CD" w:rsidRDefault="00140E60">
            <w:pPr>
              <w:pStyle w:val="Compact"/>
              <w:jc w:val="center"/>
            </w:pPr>
            <w:r>
              <w:t>Class: Gastropoda</w:t>
            </w:r>
          </w:p>
        </w:tc>
        <w:tc>
          <w:tcPr>
            <w:tcW w:w="0" w:type="auto"/>
          </w:tcPr>
          <w:p w:rsidR="003F22CD" w:rsidRDefault="00140E60">
            <w:pPr>
              <w:pStyle w:val="Compact"/>
              <w:jc w:val="center"/>
            </w:pPr>
            <w:r>
              <w:t>snails</w:t>
            </w:r>
          </w:p>
        </w:tc>
        <w:tc>
          <w:tcPr>
            <w:tcW w:w="0" w:type="auto"/>
          </w:tcPr>
          <w:p w:rsidR="003F22CD" w:rsidRDefault="00140E60">
            <w:pPr>
              <w:pStyle w:val="Compact"/>
              <w:jc w:val="center"/>
            </w:pPr>
            <w:r>
              <w:t>beam and otter trawl</w:t>
            </w:r>
          </w:p>
        </w:tc>
      </w:tr>
      <w:tr w:rsidR="003F22CD">
        <w:tc>
          <w:tcPr>
            <w:tcW w:w="0" w:type="auto"/>
          </w:tcPr>
          <w:p w:rsidR="003F22CD" w:rsidRDefault="00140E60">
            <w:pPr>
              <w:pStyle w:val="Compact"/>
              <w:jc w:val="center"/>
            </w:pPr>
            <w:r>
              <w:rPr>
                <w:i/>
              </w:rPr>
              <w:t>Chionoecetes opilio</w:t>
            </w:r>
          </w:p>
        </w:tc>
        <w:tc>
          <w:tcPr>
            <w:tcW w:w="0" w:type="auto"/>
          </w:tcPr>
          <w:p w:rsidR="003F22CD" w:rsidRDefault="00140E60">
            <w:pPr>
              <w:pStyle w:val="Compact"/>
              <w:jc w:val="center"/>
            </w:pPr>
            <w:r>
              <w:t>snow crab</w:t>
            </w:r>
          </w:p>
        </w:tc>
        <w:tc>
          <w:tcPr>
            <w:tcW w:w="0" w:type="auto"/>
          </w:tcPr>
          <w:p w:rsidR="003F22CD" w:rsidRDefault="00140E60">
            <w:pPr>
              <w:pStyle w:val="Compact"/>
              <w:jc w:val="center"/>
            </w:pPr>
            <w:r>
              <w:t>beam and otter trawl</w:t>
            </w:r>
          </w:p>
        </w:tc>
      </w:tr>
      <w:tr w:rsidR="003F22CD">
        <w:tc>
          <w:tcPr>
            <w:tcW w:w="0" w:type="auto"/>
          </w:tcPr>
          <w:p w:rsidR="003F22CD" w:rsidRDefault="00140E60">
            <w:pPr>
              <w:pStyle w:val="Compact"/>
              <w:jc w:val="center"/>
            </w:pPr>
            <w:r>
              <w:t>Class: Anthozoa</w:t>
            </w:r>
          </w:p>
        </w:tc>
        <w:tc>
          <w:tcPr>
            <w:tcW w:w="0" w:type="auto"/>
          </w:tcPr>
          <w:p w:rsidR="003F22CD" w:rsidRDefault="00140E60">
            <w:pPr>
              <w:pStyle w:val="Compact"/>
              <w:jc w:val="center"/>
            </w:pPr>
            <w:r>
              <w:t>soft corals and sea anemones</w:t>
            </w:r>
          </w:p>
        </w:tc>
        <w:tc>
          <w:tcPr>
            <w:tcW w:w="0" w:type="auto"/>
          </w:tcPr>
          <w:p w:rsidR="003F22CD" w:rsidRDefault="00140E60">
            <w:pPr>
              <w:pStyle w:val="Compact"/>
              <w:jc w:val="center"/>
            </w:pPr>
            <w:r>
              <w:t>beam and otter trawl</w:t>
            </w:r>
          </w:p>
        </w:tc>
      </w:tr>
      <w:tr w:rsidR="003F22CD">
        <w:tc>
          <w:tcPr>
            <w:tcW w:w="0" w:type="auto"/>
          </w:tcPr>
          <w:p w:rsidR="003F22CD" w:rsidRDefault="00140E60">
            <w:pPr>
              <w:pStyle w:val="Compact"/>
              <w:jc w:val="center"/>
            </w:pPr>
            <w:r>
              <w:lastRenderedPageBreak/>
              <w:t>Subphylum: Tunicata</w:t>
            </w:r>
          </w:p>
        </w:tc>
        <w:tc>
          <w:tcPr>
            <w:tcW w:w="0" w:type="auto"/>
          </w:tcPr>
          <w:p w:rsidR="003F22CD" w:rsidRDefault="00140E60">
            <w:pPr>
              <w:pStyle w:val="Compact"/>
              <w:jc w:val="center"/>
            </w:pPr>
            <w:r>
              <w:t>tunicates</w:t>
            </w:r>
          </w:p>
        </w:tc>
        <w:tc>
          <w:tcPr>
            <w:tcW w:w="0" w:type="auto"/>
          </w:tcPr>
          <w:p w:rsidR="003F22CD" w:rsidRDefault="00140E60">
            <w:pPr>
              <w:pStyle w:val="Compact"/>
              <w:jc w:val="center"/>
            </w:pPr>
            <w:r>
              <w:t>beam trawl</w:t>
            </w:r>
          </w:p>
        </w:tc>
      </w:tr>
    </w:tbl>
    <w:p w:rsidR="003F22CD" w:rsidRDefault="00140E60">
      <w:pPr>
        <w:pStyle w:val="Heading2"/>
      </w:pPr>
      <w:bookmarkStart w:id="6" w:name="conditional-and-operating-models"/>
      <w:r>
        <w:t>Conditional and Operating Models</w:t>
      </w:r>
      <w:bookmarkEnd w:id="6"/>
    </w:p>
    <w:p w:rsidR="003F22CD" w:rsidRDefault="00140E60">
      <w:pPr>
        <w:pStyle w:val="FirstParagraph"/>
      </w:pPr>
      <w:r>
        <w:t>We conditioned univariate spatiotemporal distribution models on historical catch and effort survey data for a particular gear and taxon using a vector-autoregressive spatiotemporal (VAST) model using the VAST R Package (v. 4.0.2; Thorson and Barnett (2017)</w:t>
      </w:r>
      <w:r>
        <w:t xml:space="preserve">, Thorson (2019)). The VAST model is a spatiotemporal generalized linear mixed‐effects model where random effects describe spatial and/or spatiotemporal variation (spatial variation that is constant or time-varying, respectively) in density while temporal </w:t>
      </w:r>
      <w:r>
        <w:t>variation in the mean density is modeled as a fixed effect of survey year. Continuous spatial and/or spatiotemporal random fields were approximated using the INLA R package (www.r-inla.org; Rue, Martino, and Chopin (2009)) using a mesh with 200 spatial “kn</w:t>
      </w:r>
      <w:r>
        <w:t>ots” where the values of spatial variables between knot locations are calculated via bilinear interpolation. Spatiotemporal fields were modeled as independent and identically distributed among years. If a model with spatiotemporal variation included result</w:t>
      </w:r>
      <w:r>
        <w:t>ed in a decreased (&gt;= 2 units) AIC value relative to the model with spatial variation, it was chosen as the operating model for a taxon/gear combination. The “Poisson-link” reformulation of a conventional delta model was used to model (Thorson (2018)), whe</w:t>
      </w:r>
      <w:r>
        <w:t>re a gamma distribution was specified for modeling biomass density.</w:t>
      </w:r>
    </w:p>
    <w:p w:rsidR="003F22CD" w:rsidRDefault="00140E60">
      <w:pPr>
        <w:pStyle w:val="BodyText"/>
      </w:pPr>
      <w:r>
        <w:t>The density (</w:t>
      </w:r>
      <m:oMath>
        <m:r>
          <w:rPr>
            <w:rFonts w:ascii="Cambria Math" w:hAnsi="Cambria Math"/>
          </w:rPr>
          <m:t>kgk</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2</m:t>
            </m:r>
          </m:sup>
        </m:sSup>
      </m:oMath>
      <w:r>
        <w:t>) of each taxon was predicted onto the Chukchi spatial domain based on the maximum likelihood estimates of the parameters of the chosen model for each gear type. Tax</w:t>
      </w:r>
      <w:r>
        <w:t>on densities were simulated with observation error and were used when simulating surveys under different sampling designs. The total abundance index (</w:t>
      </w:r>
      <m:oMath>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of taxon </w:t>
      </w:r>
      <m:oMath>
        <m:r>
          <w:rPr>
            <w:rFonts w:ascii="Cambria Math" w:hAnsi="Cambria Math"/>
          </w:rPr>
          <m:t>s</m:t>
        </m:r>
      </m:oMath>
      <w:r>
        <w:t xml:space="preserve"> in year </w:t>
      </w:r>
      <m:oMath>
        <m:r>
          <w:rPr>
            <w:rFonts w:ascii="Cambria Math" w:hAnsi="Cambria Math"/>
          </w:rPr>
          <m:t>t</m:t>
        </m:r>
      </m:oMath>
      <w:r>
        <w:t xml:space="preserve"> was calculated using an epsilon bias-correction technique (Thorson and Kris</w:t>
      </w:r>
      <w:r>
        <w:t>tensen (2016)) and represents the “true” abundance from which to evaluate the design-based indices of the different surveys tested.</w:t>
      </w:r>
    </w:p>
    <w:p w:rsidR="003F22CD" w:rsidRDefault="00140E60">
      <w:pPr>
        <w:pStyle w:val="Heading2"/>
      </w:pPr>
      <w:bookmarkStart w:id="7" w:name="survey-designs"/>
      <w:r>
        <w:t>Survey designs</w:t>
      </w:r>
      <w:bookmarkEnd w:id="7"/>
    </w:p>
    <w:p w:rsidR="003F22CD" w:rsidRDefault="00140E60">
      <w:pPr>
        <w:pStyle w:val="FirstParagraph"/>
      </w:pPr>
      <w:r>
        <w:t>Three survey designs were tested: SRS, STRS, and a fixed-station systematic grid under a range of total sampl</w:t>
      </w:r>
      <w:r>
        <w:t>ing effort from roughly 50 - 175 total stations. Distance from shore and latitude were used as stratum variables for the STRS designs and the SamplingStrata R package (Barcaroli (2014)) was used to optimize the placement of strata boundaries and allocation</w:t>
      </w:r>
      <w:r>
        <w:t xml:space="preserve"> of effort across strata subject to user-defined pre-specified precision targets for each taxon. A full explanation of the methods can be found in (Barcaroli (2014)) and an application of the STRS optimization in the Gulf of Alaska is described in Oyafuso </w:t>
      </w:r>
      <w:r>
        <w:t>et al. (2021, 2022). Appendix A provides more detail into how the STRS optimization was parameterized for the Chukchi BTS. For each gear type we optimized stratum boundaries for three- and four-stratum solutions.</w:t>
      </w:r>
    </w:p>
    <w:p w:rsidR="003F22CD" w:rsidRDefault="00140E60">
      <w:pPr>
        <w:pStyle w:val="Heading2"/>
      </w:pPr>
      <w:bookmarkStart w:id="8" w:name="survey-simulation"/>
      <w:r>
        <w:t>Survey Simulation</w:t>
      </w:r>
      <w:bookmarkEnd w:id="8"/>
    </w:p>
    <w:p w:rsidR="003F22CD" w:rsidRDefault="00140E60">
      <w:pPr>
        <w:pStyle w:val="FirstParagraph"/>
      </w:pPr>
      <w:r>
        <w:t>The abundance index and a</w:t>
      </w:r>
      <w:r>
        <w:t xml:space="preserve">ssociated variance </w:t>
      </w:r>
      <m:oMath>
        <m:acc>
          <m:accPr>
            <m:ctrlPr>
              <w:rPr>
                <w:rFonts w:ascii="Cambria Math" w:hAnsi="Cambria Math"/>
              </w:rPr>
            </m:ctrlPr>
          </m:accPr>
          <m:e>
            <m:sSub>
              <m:sSubPr>
                <m:ctrlPr>
                  <w:rPr>
                    <w:rFonts w:ascii="Cambria Math" w:hAnsi="Cambria Math"/>
                  </w:rPr>
                </m:ctrlPr>
              </m:sSubPr>
              <m:e>
                <m:r>
                  <w:rPr>
                    <w:rFonts w:ascii="Cambria Math" w:hAnsi="Cambria Math"/>
                  </w:rPr>
                  <m:t>I</m:t>
                </m:r>
              </m:e>
              <m:sub>
                <m:r>
                  <w:rPr>
                    <w:rFonts w:ascii="Cambria Math" w:hAnsi="Cambria Math"/>
                  </w:rPr>
                  <m:t>st</m:t>
                </m:r>
              </m:sub>
            </m:sSub>
          </m:e>
        </m:acc>
      </m:oMath>
      <w:r>
        <w:t xml:space="preserve"> for taxon </w:t>
      </w:r>
      <m:oMath>
        <m:r>
          <w:rPr>
            <w:rFonts w:ascii="Cambria Math" w:hAnsi="Cambria Math"/>
          </w:rPr>
          <m:t>s</m:t>
        </m:r>
      </m:oMath>
      <w:r>
        <w:t xml:space="preserve"> in year </w:t>
      </w:r>
      <m:oMath>
        <m:r>
          <w:rPr>
            <w:rFonts w:ascii="Cambria Math" w:hAnsi="Cambria Math"/>
          </w:rPr>
          <m:t>t</m:t>
        </m:r>
      </m:oMath>
      <w:r>
        <w:t xml:space="preserve"> and associated variance for the three designs were estimated following Wakabayashi, Bakkala, and Alton (1985):</w:t>
      </w:r>
    </w:p>
    <w:p w:rsidR="003F22CD" w:rsidRDefault="00140E60">
      <w:pPr>
        <w:pStyle w:val="BodyText"/>
      </w:pPr>
      <m:oMathPara>
        <m:oMath>
          <m:acc>
            <m:accPr>
              <m:ctrlPr>
                <w:rPr>
                  <w:rFonts w:ascii="Cambria Math" w:hAnsi="Cambria Math"/>
                </w:rPr>
              </m:ctrlPr>
            </m:accPr>
            <m:e>
              <m:sSub>
                <m:sSubPr>
                  <m:ctrlPr>
                    <w:rPr>
                      <w:rFonts w:ascii="Cambria Math" w:hAnsi="Cambria Math"/>
                    </w:rPr>
                  </m:ctrlPr>
                </m:sSubPr>
                <m:e>
                  <m:r>
                    <w:rPr>
                      <w:rFonts w:ascii="Cambria Math" w:hAnsi="Cambria Math"/>
                    </w:rPr>
                    <m:t>I</m:t>
                  </m:r>
                </m:e>
                <m:sub>
                  <m:r>
                    <w:rPr>
                      <w:rFonts w:ascii="Cambria Math" w:hAnsi="Cambria Math"/>
                    </w:rPr>
                    <m:t>st</m:t>
                  </m:r>
                </m:sub>
              </m:sSub>
            </m:e>
          </m:acc>
          <m: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L</m:t>
              </m:r>
            </m:sup>
            <m:e>
              <m:sSub>
                <m:sSubPr>
                  <m:ctrlPr>
                    <w:rPr>
                      <w:rFonts w:ascii="Cambria Math" w:hAnsi="Cambria Math"/>
                    </w:rPr>
                  </m:ctrlPr>
                </m:sSubPr>
                <m:e>
                  <m:r>
                    <w:rPr>
                      <w:rFonts w:ascii="Cambria Math" w:hAnsi="Cambria Math"/>
                    </w:rPr>
                    <m:t>A</m:t>
                  </m:r>
                </m:e>
                <m:sub>
                  <m:r>
                    <w:rPr>
                      <w:rFonts w:ascii="Cambria Math" w:hAnsi="Cambria Math"/>
                    </w:rPr>
                    <m:t>l</m:t>
                  </m:r>
                </m:sub>
              </m:sSub>
            </m:e>
          </m:nary>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m:t>
              </m:r>
              <m:r>
                <w:rPr>
                  <w:rFonts w:ascii="Cambria Math" w:hAnsi="Cambria Math"/>
                </w:rPr>
                <m:t>st</m:t>
              </m:r>
            </m:sub>
          </m:sSub>
        </m:oMath>
      </m:oMathPara>
    </w:p>
    <w:p w:rsidR="003F22CD" w:rsidRDefault="00140E60">
      <w:pPr>
        <w:pStyle w:val="BodyText"/>
      </w:pPr>
      <w:r>
        <w:lastRenderedPageBreak/>
        <w:t xml:space="preserve">where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m:t>
            </m:r>
            <m:r>
              <w:rPr>
                <w:rFonts w:ascii="Cambria Math" w:hAnsi="Cambria Math"/>
              </w:rPr>
              <m:t>st</m:t>
            </m:r>
          </m:sub>
        </m:sSub>
      </m:oMath>
      <w:r>
        <w:t xml:space="preserve"> is a vector of CPUE from stations in stratum </w:t>
      </w:r>
      <m:oMath>
        <m:r>
          <w:rPr>
            <w:rFonts w:ascii="Cambria Math" w:hAnsi="Cambria Math"/>
          </w:rPr>
          <m:t>l</m:t>
        </m:r>
      </m:oMath>
      <w:r>
        <w:t xml:space="preserve"> (</w:t>
      </w:r>
      <m:oMath>
        <m:r>
          <w:rPr>
            <w:rFonts w:ascii="Cambria Math" w:hAnsi="Cambria Math"/>
          </w:rPr>
          <m:t>L</m:t>
        </m:r>
      </m:oMath>
      <w:r>
        <w:t xml:space="preserve"> total strata) for taxon </w:t>
      </w:r>
      <m:oMath>
        <m:r>
          <w:rPr>
            <w:rFonts w:ascii="Cambria Math" w:hAnsi="Cambria Math"/>
          </w:rPr>
          <m:t>s</m:t>
        </m:r>
      </m:oMath>
      <w:r>
        <w:t xml:space="preserve"> and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l</m:t>
            </m:r>
          </m:sub>
        </m:sSub>
      </m:oMath>
      <w:r>
        <w:t xml:space="preserve"> is the total area (units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of stratum </w:t>
      </w:r>
      <m:oMath>
        <m:r>
          <w:rPr>
            <w:rFonts w:ascii="Cambria Math" w:hAnsi="Cambria Math"/>
          </w:rPr>
          <m:t>l</m:t>
        </m:r>
      </m:oMath>
      <w:r>
        <w:t>.</w:t>
      </w:r>
    </w:p>
    <w:p w:rsidR="003F22CD" w:rsidRDefault="00140E60">
      <w:pPr>
        <w:pStyle w:val="BodyText"/>
      </w:pPr>
      <m:oMathPara>
        <m:oMath>
          <m:r>
            <w:rPr>
              <w:rFonts w:ascii="Cambria Math" w:hAnsi="Cambria Math"/>
            </w:rPr>
            <m:t>Var</m:t>
          </m:r>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I</m:t>
                  </m:r>
                </m:e>
                <m:sub>
                  <m:r>
                    <w:rPr>
                      <w:rFonts w:ascii="Cambria Math" w:hAnsi="Cambria Math"/>
                    </w:rPr>
                    <m:t>st</m:t>
                  </m:r>
                </m:sub>
              </m:sSub>
            </m:e>
          </m:acc>
          <m: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L</m:t>
              </m:r>
            </m:sup>
            <m:e>
              <m:sSubSup>
                <m:sSubSupPr>
                  <m:ctrlPr>
                    <w:rPr>
                      <w:rFonts w:ascii="Cambria Math" w:hAnsi="Cambria Math"/>
                    </w:rPr>
                  </m:ctrlPr>
                </m:sSubSupPr>
                <m:e>
                  <m:r>
                    <w:rPr>
                      <w:rFonts w:ascii="Cambria Math" w:hAnsi="Cambria Math"/>
                    </w:rPr>
                    <m:t>A</m:t>
                  </m:r>
                </m:e>
                <m:sub>
                  <m:r>
                    <w:rPr>
                      <w:rFonts w:ascii="Cambria Math" w:hAnsi="Cambria Math"/>
                    </w:rPr>
                    <m:t>l</m:t>
                  </m:r>
                </m:sub>
                <m:sup>
                  <m:r>
                    <w:rPr>
                      <w:rFonts w:ascii="Cambria Math" w:hAnsi="Cambria Math"/>
                    </w:rPr>
                    <m:t>2</m:t>
                  </m:r>
                </m:sup>
              </m:sSubSup>
            </m:e>
          </m:nary>
          <m:r>
            <w:rPr>
              <w:rFonts w:ascii="Cambria Math" w:hAnsi="Cambria Math"/>
            </w:rPr>
            <m:t>Var</m:t>
          </m:r>
          <m:r>
            <w:rPr>
              <w:rFonts w:ascii="Cambria Math" w:hAnsi="Cambria Math"/>
            </w:rPr>
            <m:t>(</m:t>
          </m:r>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m:t>
              </m:r>
              <m:r>
                <w:rPr>
                  <w:rFonts w:ascii="Cambria Math" w:hAnsi="Cambria Math"/>
                </w:rPr>
                <m:t>st</m:t>
              </m:r>
            </m:sub>
          </m:sSub>
          <m:r>
            <w:rPr>
              <w:rFonts w:ascii="Cambria Math" w:hAnsi="Cambria Math"/>
            </w:rPr>
            <m:t>)</m:t>
          </m:r>
        </m:oMath>
      </m:oMathPara>
    </w:p>
    <w:p w:rsidR="003F22CD" w:rsidRDefault="00140E60">
      <w:pPr>
        <w:pStyle w:val="BodyText"/>
      </w:pPr>
      <w:r>
        <w:t xml:space="preserve">The above equations can be used for calculating total abundance and variance under SRS and the fixed systematic grid by assuming one stratum, </w:t>
      </w:r>
      <m:oMath>
        <m:r>
          <w:rPr>
            <w:rFonts w:ascii="Cambria Math" w:hAnsi="Cambria Math"/>
          </w:rPr>
          <m:t>L</m:t>
        </m:r>
        <m:r>
          <w:rPr>
            <w:rFonts w:ascii="Cambria Math" w:hAnsi="Cambria Math"/>
          </w:rPr>
          <m:t>=1</m:t>
        </m:r>
      </m:oMath>
      <w:r>
        <w:t>. While some studies indicate more appropriate variance estimators for fixed systematic grid (e.g. Aune-Lundbe</w:t>
      </w:r>
      <w:r>
        <w:t xml:space="preserve">rg and Strand (2014)), currently SRS formulas are used for the EBS BTS abundance index calculations (Markowitz et al. (2022)). </w:t>
      </w:r>
    </w:p>
    <w:p w:rsidR="003F22CD" w:rsidRDefault="00140E60">
      <w:pPr>
        <w:pStyle w:val="BodyText"/>
      </w:pPr>
      <w:r>
        <w:t>Each survey was replicated for 1000 iterations (</w:t>
      </w:r>
      <m:oMath>
        <m:r>
          <w:rPr>
            <w:rFonts w:ascii="Cambria Math" w:hAnsi="Cambria Math"/>
          </w:rPr>
          <m:t>M</m:t>
        </m:r>
        <m:r>
          <w:rPr>
            <w:rFonts w:ascii="Cambria Math" w:hAnsi="Cambria Math"/>
          </w:rPr>
          <m:t>=1000</m:t>
        </m:r>
      </m:oMath>
      <w:r>
        <w:t>). It was assumed that all sampling units were available for trawling, ho</w:t>
      </w:r>
      <w:r>
        <w:t>wever in practice, variation in bottom rugosity and currents may render some sampling units untrawlable (i.e., unavailable to the sampling frame). Due to the limited data used to condition the operating model, high positive outliers in density masked the t</w:t>
      </w:r>
      <w:r>
        <w:t>rends in the performance metrics. Thus, prior to calculating the performance metrics, positive outliers greater than 3 standard deviations above the mean among survey replicates were removed.</w:t>
      </w:r>
    </w:p>
    <w:p w:rsidR="003F22CD" w:rsidRDefault="00140E60">
      <w:pPr>
        <w:pStyle w:val="Heading2"/>
      </w:pPr>
      <w:bookmarkStart w:id="9" w:name="performance-metrics"/>
      <w:r>
        <w:t>Performance metrics</w:t>
      </w:r>
      <w:bookmarkEnd w:id="9"/>
    </w:p>
    <w:p w:rsidR="003F22CD" w:rsidRDefault="00140E60">
      <w:pPr>
        <w:pStyle w:val="FirstParagraph"/>
      </w:pPr>
      <w:r>
        <w:t>Three performance metrics were used to evalu</w:t>
      </w:r>
      <w:r>
        <w:t>ate survey designs. The True CV (</w:t>
      </w:r>
      <m:oMath>
        <m:r>
          <w:rPr>
            <w:rFonts w:ascii="Cambria Math" w:hAnsi="Cambria Math"/>
          </w:rPr>
          <m:t>TrueC</m:t>
        </m:r>
        <m:sSub>
          <m:sSubPr>
            <m:ctrlPr>
              <w:rPr>
                <w:rFonts w:ascii="Cambria Math" w:hAnsi="Cambria Math"/>
              </w:rPr>
            </m:ctrlPr>
          </m:sSubPr>
          <m:e>
            <m:r>
              <w:rPr>
                <w:rFonts w:ascii="Cambria Math" w:hAnsi="Cambria Math"/>
              </w:rPr>
              <m:t>V</m:t>
            </m:r>
          </m:e>
          <m:sub>
            <m:r>
              <w:rPr>
                <w:rFonts w:ascii="Cambria Math" w:hAnsi="Cambria Math"/>
              </w:rPr>
              <m:t>st</m:t>
            </m:r>
          </m:sub>
        </m:sSub>
      </m:oMath>
      <w:r>
        <w:t xml:space="preserve">) is the variability of the estimated abundance index across the survey replicates and is defined as the standard deviation of the estimated indices of abundance normalized by the true value, </w:t>
      </w:r>
      <m:oMath>
        <m:f>
          <m:fPr>
            <m:ctrlPr>
              <w:rPr>
                <w:rFonts w:ascii="Cambria Math" w:hAnsi="Cambria Math"/>
              </w:rPr>
            </m:ctrlPr>
          </m:fPr>
          <m:num>
            <m:rad>
              <m:radPr>
                <m:degHide m:val="1"/>
                <m:ctrlPr>
                  <w:rPr>
                    <w:rFonts w:ascii="Cambria Math" w:hAnsi="Cambria Math"/>
                  </w:rPr>
                </m:ctrlPr>
              </m:radPr>
              <m:deg/>
              <m:e>
                <m:r>
                  <w:rPr>
                    <w:rFonts w:ascii="Cambria Math" w:hAnsi="Cambria Math"/>
                  </w:rPr>
                  <m:t>Var</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st</m:t>
                    </m:r>
                    <m:r>
                      <w:rPr>
                        <w:rFonts w:ascii="Cambria Math" w:hAnsi="Cambria Math"/>
                      </w:rPr>
                      <m:t>.</m:t>
                    </m:r>
                  </m:sub>
                </m:sSub>
                <m:r>
                  <w:rPr>
                    <w:rFonts w:ascii="Cambria Math" w:hAnsi="Cambria Math"/>
                  </w:rPr>
                  <m:t>)</m:t>
                </m:r>
              </m:e>
            </m:rad>
          </m:num>
          <m:den>
            <m:sSub>
              <m:sSubPr>
                <m:ctrlPr>
                  <w:rPr>
                    <w:rFonts w:ascii="Cambria Math" w:hAnsi="Cambria Math"/>
                  </w:rPr>
                </m:ctrlPr>
              </m:sSubPr>
              <m:e>
                <m:r>
                  <w:rPr>
                    <w:rFonts w:ascii="Cambria Math" w:hAnsi="Cambria Math"/>
                  </w:rPr>
                  <m:t>I</m:t>
                </m:r>
              </m:e>
              <m:sub>
                <m:r>
                  <w:rPr>
                    <w:rFonts w:ascii="Cambria Math" w:hAnsi="Cambria Math"/>
                  </w:rPr>
                  <m:t>st</m:t>
                </m:r>
              </m:sub>
            </m:sSub>
          </m:den>
        </m:f>
      </m:oMath>
      <w:r>
        <w:t xml:space="preserve">, where </w:t>
      </w:r>
      <m:oMath>
        <m:sSub>
          <m:sSubPr>
            <m:ctrlPr>
              <w:rPr>
                <w:rFonts w:ascii="Cambria Math" w:hAnsi="Cambria Math"/>
              </w:rPr>
            </m:ctrlPr>
          </m:sSubPr>
          <m:e>
            <m:r>
              <w:rPr>
                <w:rFonts w:ascii="Cambria Math" w:hAnsi="Cambria Math"/>
              </w:rPr>
              <m:t>I</m:t>
            </m:r>
          </m:e>
          <m:sub>
            <m:r>
              <w:rPr>
                <w:rFonts w:ascii="Cambria Math" w:hAnsi="Cambria Math"/>
              </w:rPr>
              <m:t>st</m:t>
            </m:r>
            <m:r>
              <w:rPr>
                <w:rFonts w:ascii="Cambria Math" w:hAnsi="Cambria Math"/>
              </w:rPr>
              <m:t>.</m:t>
            </m:r>
          </m:sub>
        </m:sSub>
      </m:oMath>
      <w:r>
        <w:t xml:space="preserve"> refers to the vector of estimated indices replicates for taxon </w:t>
      </w:r>
      <m:oMath>
        <m:r>
          <w:rPr>
            <w:rFonts w:ascii="Cambria Math" w:hAnsi="Cambria Math"/>
          </w:rPr>
          <m:t>s</m:t>
        </m:r>
      </m:oMath>
      <w:r>
        <w:t xml:space="preserve"> and year </w:t>
      </w:r>
      <m:oMath>
        <m:r>
          <w:rPr>
            <w:rFonts w:ascii="Cambria Math" w:hAnsi="Cambria Math"/>
          </w:rPr>
          <m:t>t</m:t>
        </m:r>
      </m:oMath>
      <w:r>
        <w:t xml:space="preserve"> across the </w:t>
      </w:r>
      <m:oMath>
        <m:r>
          <w:rPr>
            <w:rFonts w:ascii="Cambria Math" w:hAnsi="Cambria Math"/>
          </w:rPr>
          <m:t>M</m:t>
        </m:r>
      </m:oMath>
      <w:r>
        <w:t xml:space="preserve"> replicates. The True CV provides two pieces of information about the survey design: 1) if the True CV is low for simulated densities generated</w:t>
      </w:r>
      <w:r>
        <w:t xml:space="preserve"> from one type of survey (e.g., SRS), that is an indication that the survey is appropriate for a species with that type of distribution (i.e., the data quality is high); and 2) A very low True CV can indicate that any survey will have a hard time estimatin</w:t>
      </w:r>
      <w:r>
        <w:t xml:space="preserve">g the variability in the density of the target species, in which case the RRMSE of the CV is a useful diagnostic for determining whether a proposed survey can provide a reliable estimate of CV. The RRMSE of CV is defined as </w:t>
      </w:r>
      <m:oMath>
        <m:f>
          <m:fPr>
            <m:ctrlPr>
              <w:rPr>
                <w:rFonts w:ascii="Cambria Math" w:hAnsi="Cambria Math"/>
              </w:rPr>
            </m:ctrlPr>
          </m:fPr>
          <m:num>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m</m:t>
                    </m:r>
                  </m:sub>
                  <m:sup>
                    <m:r>
                      <w:rPr>
                        <w:rFonts w:ascii="Cambria Math" w:hAnsi="Cambria Math"/>
                      </w:rPr>
                      <m:t>M</m:t>
                    </m:r>
                  </m:sup>
                  <m:e>
                    <m:r>
                      <w:rPr>
                        <w:rFonts w:ascii="Cambria Math" w:hAnsi="Cambria Math"/>
                      </w:rPr>
                      <m:t>(</m:t>
                    </m:r>
                  </m:e>
                </m:nary>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stm</m:t>
                    </m:r>
                  </m:sub>
                </m:sSub>
                <m:r>
                  <w:rPr>
                    <w:rFonts w:ascii="Cambria Math" w:hAnsi="Cambria Math"/>
                  </w:rPr>
                  <m:t>-</m:t>
                </m:r>
                <m:r>
                  <w:rPr>
                    <w:rFonts w:ascii="Cambria Math" w:hAnsi="Cambria Math"/>
                  </w:rPr>
                  <m:t>TrueC</m:t>
                </m:r>
                <m:sSub>
                  <m:sSubPr>
                    <m:ctrlPr>
                      <w:rPr>
                        <w:rFonts w:ascii="Cambria Math" w:hAnsi="Cambria Math"/>
                      </w:rPr>
                    </m:ctrlPr>
                  </m:sSubPr>
                  <m:e>
                    <m:r>
                      <w:rPr>
                        <w:rFonts w:ascii="Cambria Math" w:hAnsi="Cambria Math"/>
                      </w:rPr>
                      <m:t>V</m:t>
                    </m:r>
                  </m:e>
                  <m:sub>
                    <m:r>
                      <w:rPr>
                        <w:rFonts w:ascii="Cambria Math" w:hAnsi="Cambria Math"/>
                      </w:rPr>
                      <m:t>st</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M</m:t>
                </m:r>
              </m:e>
            </m:rad>
          </m:num>
          <m:den>
            <m:bar>
              <m:barPr>
                <m:pos m:val="top"/>
                <m:ctrlPr>
                  <w:rPr>
                    <w:rFonts w:ascii="Cambria Math" w:hAnsi="Cambria Math"/>
                  </w:rPr>
                </m:ctrlPr>
              </m:barPr>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st</m:t>
                    </m:r>
                    <m:r>
                      <w:rPr>
                        <w:rFonts w:ascii="Cambria Math" w:hAnsi="Cambria Math"/>
                      </w:rPr>
                      <m:t>.</m:t>
                    </m:r>
                  </m:sub>
                </m:sSub>
              </m:e>
            </m:bar>
          </m:den>
        </m:f>
      </m:oMath>
      <w:r>
        <w:t xml:space="preserve"> 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st</m:t>
            </m:r>
            <m:r>
              <w:rPr>
                <w:rFonts w:ascii="Cambria Math" w:hAnsi="Cambria Math"/>
              </w:rPr>
              <m:t>.</m:t>
            </m:r>
          </m:sub>
        </m:sSub>
      </m:oMath>
      <w:r>
        <w:t xml:space="preserve"> refers to the vector of estimated sample CVs for taxon </w:t>
      </w:r>
      <m:oMath>
        <m:r>
          <w:rPr>
            <w:rFonts w:ascii="Cambria Math" w:hAnsi="Cambria Math"/>
          </w:rPr>
          <m:t>s</m:t>
        </m:r>
      </m:oMath>
      <w:r>
        <w:t xml:space="preserve"> and year </w:t>
      </w:r>
      <m:oMath>
        <m:r>
          <w:rPr>
            <w:rFonts w:ascii="Cambria Math" w:hAnsi="Cambria Math"/>
          </w:rPr>
          <m:t>t</m:t>
        </m:r>
      </m:oMath>
      <w:r>
        <w:t xml:space="preserve"> across the </w:t>
      </w:r>
      <m:oMath>
        <m:r>
          <w:rPr>
            <w:rFonts w:ascii="Cambria Math" w:hAnsi="Cambria Math"/>
          </w:rPr>
          <m:t>M</m:t>
        </m:r>
      </m:oMath>
      <w:r>
        <w:t xml:space="preserve"> replicates. Lastly, bias is the residual of a quantity relative to its assumed “true” value. Bias of the estimated index of abundance from a </w:t>
      </w:r>
      <w:r>
        <w:t>sample is relative to the assumed true index conditioned by the data. Bias of the estimated sample CVs associated with the index of abundance is relative to the True CV.</w:t>
      </w:r>
    </w:p>
    <w:p w:rsidR="003F22CD" w:rsidRDefault="00140E60">
      <w:pPr>
        <w:pStyle w:val="Heading1"/>
      </w:pPr>
      <w:bookmarkStart w:id="10" w:name="results"/>
      <w:r>
        <w:t>Results</w:t>
      </w:r>
      <w:bookmarkEnd w:id="10"/>
    </w:p>
    <w:p w:rsidR="003F22CD" w:rsidRDefault="00140E60">
      <w:pPr>
        <w:pStyle w:val="Heading2"/>
      </w:pPr>
      <w:bookmarkStart w:id="11" w:name="species-distributions"/>
      <w:r>
        <w:t>Species Distributions</w:t>
      </w:r>
      <w:bookmarkEnd w:id="11"/>
    </w:p>
    <w:p w:rsidR="003F22CD" w:rsidRDefault="00140E60">
      <w:pPr>
        <w:pStyle w:val="FirstParagraph"/>
      </w:pPr>
      <w:r>
        <w:t>The species included in this analysis exhibited a divers</w:t>
      </w:r>
      <w:r>
        <w:t xml:space="preserve">ity of spatiotemporal distributions (Appendix B). Alaska plaice, saffron cod, and yellowfin sole were restricted to the southwestern portion of the domain including Kotzebue Sound. Pacific herring, tunicates, and jellyfishes were </w:t>
      </w:r>
      <w:r>
        <w:lastRenderedPageBreak/>
        <w:t xml:space="preserve">more commonly observed in </w:t>
      </w:r>
      <w:r>
        <w:t>the middle of the domain around Point Hope. Purple-orange sea star had a broad nearshore distribution whereas eelpouts, snailfishes, and Bering flounder had more offshore distributions along the western edge of the domain. In the northern part of the domai</w:t>
      </w:r>
      <w:r>
        <w:t>n, bivalves and sea cucumbers had higher densities in the northwest and northeast portion of the domain, respectively. Arctic cod and other sea stars were commonly observed species with broad distributions across the domain. Soft corals and anemones, bryoz</w:t>
      </w:r>
      <w:r>
        <w:t>oans, sculpins, and walleye pollock (uncommonly observed) had patchier distributions. Pricklebacks were more commonly observed across beam trawl stations and had lower densities in the northern part of the domain. Poachers had patchier distributions across</w:t>
      </w:r>
      <w:r>
        <w:t xml:space="preserve"> the otter trawl samples but a more offshore distribution for the beam trawl stations.</w:t>
      </w:r>
    </w:p>
    <w:p w:rsidR="003F22CD" w:rsidRDefault="00140E60">
      <w:pPr>
        <w:pStyle w:val="Heading2"/>
      </w:pPr>
      <w:bookmarkStart w:id="12" w:name="multispecies-strs-design-optimization"/>
      <w:r>
        <w:t>Multispecies STRS Design Optimization</w:t>
      </w:r>
      <w:bookmarkEnd w:id="12"/>
    </w:p>
    <w:p w:rsidR="003F22CD" w:rsidRDefault="00140E60">
      <w:pPr>
        <w:pStyle w:val="FirstParagraph"/>
      </w:pPr>
      <w:r>
        <w:t>Stratum boundaries of both otter and beam trawl survey optimizations generally separated the domain of the Chukchi sea into two lat</w:t>
      </w:r>
      <w:r>
        <w:t>itudinal sections split at roughly 69-70 degrees latitude (Figure 1). The three-strata beam trawl solution splits the upper section into two inshore/offshore strata whereas the three-strata otter trawl solution splits the upper section at roughly 71 degree</w:t>
      </w:r>
      <w:r>
        <w:t>s latitude. The four-strata solutions for both gears contained an inshore stratum in the lower section. Similar to the three-strata beam trawl solution, the four-strata beam trawl solutions have similar inshore/offshore strata in the upper section. The ext</w:t>
      </w:r>
      <w:r>
        <w:t>ra stratum in the four-strata otter trawl solution is a very narrow latitudinal stratum in the upper section compared to its three-strata otter trawl solution. Sampling densities for the otter trawl STRS designs were generally higher in the southern and ce</w:t>
      </w:r>
      <w:r>
        <w:t xml:space="preserve">ntral strata and less so in the northern strata. Sampling densities for the beam trawl STRS designs were proportional to stratum area. For the subsequent survey simulation section, the four-strata STRS solution for the beam trawl and the three-strata STRS </w:t>
      </w:r>
      <w:r>
        <w:t>solution for the otter trawl were used as the representatives of the STRS design in the survey simulations.</w:t>
      </w:r>
    </w:p>
    <w:p w:rsidR="003F22CD" w:rsidRDefault="00140E60">
      <w:pPr>
        <w:pStyle w:val="BodyText"/>
      </w:pPr>
      <w:r>
        <w:rPr>
          <w:noProof/>
        </w:rPr>
        <w:lastRenderedPageBreak/>
        <w:drawing>
          <wp:inline distT="0" distB="0" distL="0" distR="0">
            <wp:extent cx="3245295" cy="45078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ersion_1/figures/FigureX_ms_strs_sols.png"/>
                    <pic:cNvPicPr>
                      <a:picLocks noChangeAspect="1" noChangeArrowheads="1"/>
                    </pic:cNvPicPr>
                  </pic:nvPicPr>
                  <pic:blipFill>
                    <a:blip r:embed="rId7"/>
                    <a:stretch>
                      <a:fillRect/>
                    </a:stretch>
                  </pic:blipFill>
                  <pic:spPr bwMode="auto">
                    <a:xfrm>
                      <a:off x="0" y="0"/>
                      <a:ext cx="3245295" cy="4507863"/>
                    </a:xfrm>
                    <a:prstGeom prst="rect">
                      <a:avLst/>
                    </a:prstGeom>
                    <a:noFill/>
                    <a:ln w="9525">
                      <a:noFill/>
                      <a:headEnd/>
                      <a:tailEnd/>
                    </a:ln>
                  </pic:spPr>
                </pic:pic>
              </a:graphicData>
            </a:graphic>
          </wp:inline>
        </w:drawing>
      </w:r>
    </w:p>
    <w:p w:rsidR="003F22CD" w:rsidRDefault="00140E60">
      <w:pPr>
        <w:pStyle w:val="BodyText"/>
      </w:pPr>
      <w:r>
        <w:t>Figure 1: stratified random designs resulting from the stratified random design optimization algorithm using three and four strata for the otter a</w:t>
      </w:r>
      <w:r>
        <w:t>nd beam trawl gears. Distance to shore and latitude characterize the different strata. Locations of 100 stations drawn from their respective optimal allocations are superimposed. Sampling density in each stratum is shown in the legend.</w:t>
      </w:r>
    </w:p>
    <w:p w:rsidR="003F22CD" w:rsidRDefault="00140E60">
      <w:pPr>
        <w:pStyle w:val="Heading2"/>
      </w:pPr>
      <w:bookmarkStart w:id="13" w:name="survey-performance"/>
      <w:r>
        <w:t>Survey Performance</w:t>
      </w:r>
      <w:bookmarkEnd w:id="13"/>
    </w:p>
    <w:p w:rsidR="003F22CD" w:rsidRDefault="00140E60">
      <w:pPr>
        <w:pStyle w:val="FirstParagraph"/>
      </w:pPr>
      <w:r>
        <w:t>T</w:t>
      </w:r>
      <w:r>
        <w:t>he True CV and RRMSE of CV of the random designs (SRS and STRS) monotonically decreased with increased sample size for both gears. The STRS designs often provided greater efficiency with True CV versus the simple random designs, especially taxa collected v</w:t>
      </w:r>
      <w:r>
        <w:t>ia the otter trawl (Figure 2). The increase in precision from a random to a stratified design was less for the taxa sampled with the beam trawl, with many taxa performing similarly to the SRS design (Figure 3). Relative bias of the estimated index was fair</w:t>
      </w:r>
      <w:r>
        <w:t>ly low across gears (Figures 3 and 5).</w:t>
      </w:r>
    </w:p>
    <w:p w:rsidR="003F22CD" w:rsidRDefault="00140E60">
      <w:pPr>
        <w:pStyle w:val="BodyText"/>
      </w:pPr>
      <w:r>
        <w:t>The fixed-grid systematic grid often provided the lowest True CVs compared to the two random designs. However the tradeoff of this low True CV for many of the taxa observed was often much higher RRMSE of CV (Figure 4)</w:t>
      </w:r>
      <w:r>
        <w:t>. The relationship betweeen RRMSE of CV (and True CV to a lesser extent) and total sample size was not as consistent with the systematic grid compared to the randomized designs. The higher RRMSE of CV of the fixed systematic grid was attributed to a high p</w:t>
      </w:r>
      <w:r>
        <w:t xml:space="preserve">ositive bias of the simulated sample CVs relative to the True CV (Figures 3 and 5). </w:t>
      </w:r>
      <w:r>
        <w:lastRenderedPageBreak/>
        <w:t>The relative bias of the estimated index was often not consistent with sample size for both gears and for some taxa wavered +/- 10-20% (e.g., saffron cod and sculpins, Figu</w:t>
      </w:r>
      <w:r>
        <w:t>re 3).</w:t>
      </w:r>
    </w:p>
    <w:p w:rsidR="003F22CD" w:rsidRDefault="00140E60">
      <w:pPr>
        <w:pStyle w:val="BodyText"/>
      </w:pPr>
      <w:r>
        <w:rPr>
          <w:noProof/>
        </w:rPr>
        <w:drawing>
          <wp:inline distT="0" distB="0" distL="0" distR="0">
            <wp:extent cx="5943600" cy="500438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ersion_1/figures/FigureX_otter_performance.png"/>
                    <pic:cNvPicPr>
                      <a:picLocks noChangeAspect="1" noChangeArrowheads="1"/>
                    </pic:cNvPicPr>
                  </pic:nvPicPr>
                  <pic:blipFill>
                    <a:blip r:embed="rId8"/>
                    <a:stretch>
                      <a:fillRect/>
                    </a:stretch>
                  </pic:blipFill>
                  <pic:spPr bwMode="auto">
                    <a:xfrm>
                      <a:off x="0" y="0"/>
                      <a:ext cx="5943600" cy="5004384"/>
                    </a:xfrm>
                    <a:prstGeom prst="rect">
                      <a:avLst/>
                    </a:prstGeom>
                    <a:noFill/>
                    <a:ln w="9525">
                      <a:noFill/>
                      <a:headEnd/>
                      <a:tailEnd/>
                    </a:ln>
                  </pic:spPr>
                </pic:pic>
              </a:graphicData>
            </a:graphic>
          </wp:inline>
        </w:drawing>
      </w:r>
      <w:r>
        <w:t xml:space="preserve"> Figure 2: True CV and relative root mean square error (RRMSE) of CV across a range of total sampling effort for each taxon and survey design for the otter trawl gear.</w:t>
      </w:r>
    </w:p>
    <w:p w:rsidR="003F22CD" w:rsidRDefault="00140E60">
      <w:pPr>
        <w:pStyle w:val="BodyText"/>
      </w:pPr>
      <w:r>
        <w:rPr>
          <w:noProof/>
        </w:rPr>
        <w:lastRenderedPageBreak/>
        <w:drawing>
          <wp:inline distT="0" distB="0" distL="0" distR="0">
            <wp:extent cx="5943600" cy="500438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ersion_1/figures/FigureX_otter_bias.png"/>
                    <pic:cNvPicPr>
                      <a:picLocks noChangeAspect="1" noChangeArrowheads="1"/>
                    </pic:cNvPicPr>
                  </pic:nvPicPr>
                  <pic:blipFill>
                    <a:blip r:embed="rId9"/>
                    <a:stretch>
                      <a:fillRect/>
                    </a:stretch>
                  </pic:blipFill>
                  <pic:spPr bwMode="auto">
                    <a:xfrm>
                      <a:off x="0" y="0"/>
                      <a:ext cx="5943600" cy="5004384"/>
                    </a:xfrm>
                    <a:prstGeom prst="rect">
                      <a:avLst/>
                    </a:prstGeom>
                    <a:noFill/>
                    <a:ln w="9525">
                      <a:noFill/>
                      <a:headEnd/>
                      <a:tailEnd/>
                    </a:ln>
                  </pic:spPr>
                </pic:pic>
              </a:graphicData>
            </a:graphic>
          </wp:inline>
        </w:drawing>
      </w:r>
      <w:r>
        <w:t xml:space="preserve"> Figure 3: Average percent bias of the 1) estimated abundance relative to the t</w:t>
      </w:r>
      <w:r>
        <w:t>rue abundance and 2) estimated sample coefficient of variation (CV) relative to the True CV across sample size for each taxon and survey design for the otter trawl gear.</w:t>
      </w:r>
    </w:p>
    <w:p w:rsidR="003F22CD" w:rsidRDefault="00140E60">
      <w:pPr>
        <w:pStyle w:val="BodyText"/>
      </w:pPr>
      <w:r>
        <w:rPr>
          <w:noProof/>
        </w:rPr>
        <w:lastRenderedPageBreak/>
        <w:drawing>
          <wp:inline distT="0" distB="0" distL="0" distR="0">
            <wp:extent cx="5943600" cy="500438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ersion_1/figures/FigureX_beam_performance.png"/>
                    <pic:cNvPicPr>
                      <a:picLocks noChangeAspect="1" noChangeArrowheads="1"/>
                    </pic:cNvPicPr>
                  </pic:nvPicPr>
                  <pic:blipFill>
                    <a:blip r:embed="rId10"/>
                    <a:stretch>
                      <a:fillRect/>
                    </a:stretch>
                  </pic:blipFill>
                  <pic:spPr bwMode="auto">
                    <a:xfrm>
                      <a:off x="0" y="0"/>
                      <a:ext cx="5943600" cy="5004384"/>
                    </a:xfrm>
                    <a:prstGeom prst="rect">
                      <a:avLst/>
                    </a:prstGeom>
                    <a:noFill/>
                    <a:ln w="9525">
                      <a:noFill/>
                      <a:headEnd/>
                      <a:tailEnd/>
                    </a:ln>
                  </pic:spPr>
                </pic:pic>
              </a:graphicData>
            </a:graphic>
          </wp:inline>
        </w:drawing>
      </w:r>
      <w:r>
        <w:t xml:space="preserve"> Figure 4: True CV and relative root mean square error (RRMSE) of CV across a range o</w:t>
      </w:r>
      <w:r>
        <w:t>f total sampling effort for each taxon and survey design for the beam trawl gear.</w:t>
      </w:r>
    </w:p>
    <w:p w:rsidR="003F22CD" w:rsidRDefault="00140E60">
      <w:pPr>
        <w:pStyle w:val="BodyText"/>
      </w:pPr>
      <w:r>
        <w:rPr>
          <w:noProof/>
        </w:rPr>
        <w:lastRenderedPageBreak/>
        <w:drawing>
          <wp:inline distT="0" distB="0" distL="0" distR="0">
            <wp:extent cx="5943600" cy="500438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ersion_1/figures/FigureX_beam_bias.png"/>
                    <pic:cNvPicPr>
                      <a:picLocks noChangeAspect="1" noChangeArrowheads="1"/>
                    </pic:cNvPicPr>
                  </pic:nvPicPr>
                  <pic:blipFill>
                    <a:blip r:embed="rId11"/>
                    <a:stretch>
                      <a:fillRect/>
                    </a:stretch>
                  </pic:blipFill>
                  <pic:spPr bwMode="auto">
                    <a:xfrm>
                      <a:off x="0" y="0"/>
                      <a:ext cx="5943600" cy="5004384"/>
                    </a:xfrm>
                    <a:prstGeom prst="rect">
                      <a:avLst/>
                    </a:prstGeom>
                    <a:noFill/>
                    <a:ln w="9525">
                      <a:noFill/>
                      <a:headEnd/>
                      <a:tailEnd/>
                    </a:ln>
                  </pic:spPr>
                </pic:pic>
              </a:graphicData>
            </a:graphic>
          </wp:inline>
        </w:drawing>
      </w:r>
      <w:r>
        <w:t xml:space="preserve"> Figure 5: Average percent bias of the 1) estimated abundance relative to the true abundance and 2) estimated sample coefficient of variation (CV) relative to the True CV ac</w:t>
      </w:r>
      <w:r>
        <w:t>ross sample size for each taxon and survey design for the beam trawl gear.</w:t>
      </w:r>
    </w:p>
    <w:p w:rsidR="003F22CD" w:rsidRDefault="00140E60">
      <w:pPr>
        <w:pStyle w:val="Heading1"/>
      </w:pPr>
      <w:bookmarkStart w:id="14" w:name="discussion"/>
      <w:r>
        <w:t>Discussion</w:t>
      </w:r>
      <w:bookmarkEnd w:id="14"/>
    </w:p>
    <w:p w:rsidR="003F22CD" w:rsidRDefault="00140E60">
      <w:pPr>
        <w:pStyle w:val="FirstParagraph"/>
      </w:pPr>
      <w:r>
        <w:t>A systematic fixed-grid design as currently done in the EBS and NBS BTS can be a logical choice for a Chukchi BTS as a natural extension to the established Bering sea systematic fixed-grid design. Having evenly spaced sampling stations is advantageous in t</w:t>
      </w:r>
      <w:r>
        <w:t>hat the completion rate of stations per day is more consistent than randomly chosen stations. When minimizing the survey CV is the top priority, systematic survey grids should be created with random starts which sligthly vary the locations of stations. How</w:t>
      </w:r>
      <w:r>
        <w:t>ever, the fixed-grid setup is concurrent with how it would be implemented due to logistical efficiencies in survey planning similar to how Bering sea surveys are conducted currently. Systematic surveys also guarantee good spatial coverage of the spatial do</w:t>
      </w:r>
      <w:r>
        <w:t>main and can be advantageous in the early, data-limited stages of a survey time series.</w:t>
      </w:r>
    </w:p>
    <w:p w:rsidR="003F22CD" w:rsidRDefault="00140E60">
      <w:pPr>
        <w:pStyle w:val="BodyText"/>
      </w:pPr>
      <w:r>
        <w:t>The main tradeoff of the logistical advantages of the systematic fixed-grid was the reduced quality of the statistical data products that result from such a design as o</w:t>
      </w:r>
      <w:r>
        <w:t xml:space="preserve">bserved in our </w:t>
      </w:r>
      <w:r>
        <w:lastRenderedPageBreak/>
        <w:t>simulation testing. From our simulation testing, randomized designs provided more reliable estimates of abundance and precision than systematic fixed-grid designs. While the True CV for many taxa were lower under a systematic fixed-grid, the</w:t>
      </w:r>
      <w:r>
        <w:t xml:space="preserve"> estimates of the variance were less reliable (i.e., RRMSE of CV) when compared to both randomized designs. The tradeoff between the RRMSE of CV and True CV has been shown previously in the Gulf of Alaska when comparing proposed optimized STRS designs with</w:t>
      </w:r>
      <w:r>
        <w:t xml:space="preserve"> historical STRS designs using similar simulation testing (Oyafuso et al. (2022)). Variance is a useful measure of the quality of a survey, however the estimation of variance can be unreliable depending on the design of the survey, along with other conside</w:t>
      </w:r>
      <w:r>
        <w:t>rations like variation in catchability (Kotwicki and Ono (2019)). The stratified random designs created in our analysis provided an advantageous combination of increased precision relative to SRS and with increased reliability of the estimated CVs relative</w:t>
      </w:r>
      <w:r>
        <w:t xml:space="preserve"> to the True CVs.</w:t>
      </w:r>
    </w:p>
    <w:p w:rsidR="003F22CD" w:rsidRDefault="00140E60">
      <w:pPr>
        <w:pStyle w:val="BodyText"/>
      </w:pPr>
      <w:r>
        <w:t>A challenge of designing STRS surveys in a dynamic region like the Chukchi sea is that historical data to inform the design (i.e., stratification and effort allocation across strata) may not represent the current variability in the ecosys</w:t>
      </w:r>
      <w:r>
        <w:t>tem similar to the challenge of forecasting species distributions to novel environmental dynamics due to climate change (Brodie et al. (2022)). While the last NMFS beam trawl survey in the Chukchi occurred in 2019, the most recent otter trawl BTS conducted</w:t>
      </w:r>
      <w:r>
        <w:t xml:space="preserve"> by NMFS was in 2012. Within the same range of time (i.e., the last ten years), there have been significant changes in the distribution of many taxa seldom observed previously including many Bering sea gadids like walleye pollock (Datsky, Vedishcheva, and </w:t>
      </w:r>
      <w:r>
        <w:t xml:space="preserve">Trofimova (2022); Wildes et al. (2022)). With continued sampling of the region, the design of a STRS could be easily modified to reflect the variability of more recent years. The discussion of the range of years to include when planning surveys is outside </w:t>
      </w:r>
      <w:r>
        <w:t>the scope of this paper, however our approach to updating STRS designs is amenable to testing and planning STRS designs that incorporate varying ranges of years.</w:t>
      </w:r>
    </w:p>
    <w:p w:rsidR="003F22CD" w:rsidRDefault="00140E60">
      <w:pPr>
        <w:pStyle w:val="BodyText"/>
      </w:pPr>
      <w:r>
        <w:t>We investigated survey designs carried out with both otter and beam trawl gears in order to an</w:t>
      </w:r>
      <w:r>
        <w:t>ticipate survey designs consistent with the standardized gears used in BTS in Alaska. The patterns among survey designs previously discussed were present in both the beam and otter trawl gears. However, there were some differences in the optimized STRS des</w:t>
      </w:r>
      <w:r>
        <w:t>igns calculated for each gear type. The STRS designs for both gears had similar stratifications that split the Chukchi spatial domain by two or three latitudinal regions and inshore/offshore strata. However, the sampling densities for the otter trawl solut</w:t>
      </w:r>
      <w:r>
        <w:t>ions were higher in the southern and central strata compared to the northern strata whereas the beam trawl sampling densities were nearly proportional to stratum area. As a result, the performance of the STRS beam trawl survey abundance estimates were simi</w:t>
      </w:r>
      <w:r>
        <w:t>lar to the SRS design with some improvement in True CV for a handful of taxa (e.g., Bering flounder, pricklebacks, saffron cod). We presume that the expected gains in precision that come from stratification were diminished because of the strong tradeoffs t</w:t>
      </w:r>
      <w:r>
        <w:t>hat exist when optimizing over a wide set of taxa with non-overlapping spatiotemporal distributions.</w:t>
      </w:r>
    </w:p>
    <w:p w:rsidR="003F22CD" w:rsidRDefault="00140E60">
      <w:pPr>
        <w:pStyle w:val="BodyText"/>
      </w:pPr>
      <w:r>
        <w:t>The list of taxa to include in survey planning is an important decision process and should be a part of broader discussions about survey objectives. We cur</w:t>
      </w:r>
      <w:r>
        <w:t>ated our taxa list by first considering taxa that can be appropriately sampled by either the otter and/or beam trawl gears informed by Kotwicki (Lauth et al., in review). We then considered commercial importance given the shifting of commercially important</w:t>
      </w:r>
      <w:r>
        <w:t xml:space="preserve"> Bering sea species into the Chukchi sea. Through more engagement with native coastal communities, we hope to further fine-tune and prioritize our taxa list for </w:t>
      </w:r>
      <w:r>
        <w:lastRenderedPageBreak/>
        <w:t>survey planning. We envision a process of engaging input from native coastal communities in the</w:t>
      </w:r>
      <w:r>
        <w:t xml:space="preserve"> same vein of the NBS community report that AFSC provides to summarize survey results tailored specifically to community stakeholders as a model for the evolution of this work. Marine mammals are important taxa to native communities and while our surveys d</w:t>
      </w:r>
      <w:r>
        <w:t>o not monitor marine mammals, dietary data from pinnipeds may provide information about important prey that could be sampled by the survey (SOURCES).</w:t>
      </w:r>
    </w:p>
    <w:p w:rsidR="003F22CD" w:rsidRDefault="00140E60">
      <w:pPr>
        <w:pStyle w:val="Heading1"/>
      </w:pPr>
      <w:bookmarkStart w:id="15" w:name="acknowledgments"/>
      <w:r>
        <w:t>Acknowledgments</w:t>
      </w:r>
      <w:bookmarkEnd w:id="15"/>
    </w:p>
    <w:p w:rsidR="003F22CD" w:rsidRDefault="00140E60">
      <w:pPr>
        <w:pStyle w:val="Heading1"/>
      </w:pPr>
      <w:bookmarkStart w:id="16" w:name="references"/>
      <w:r>
        <w:t>References</w:t>
      </w:r>
      <w:bookmarkEnd w:id="16"/>
    </w:p>
    <w:p w:rsidR="003F22CD" w:rsidRDefault="00140E60">
      <w:pPr>
        <w:pStyle w:val="Bibliography"/>
      </w:pPr>
      <w:bookmarkStart w:id="17" w:name="ref-ABOOKIRE2005247"/>
      <w:bookmarkStart w:id="18" w:name="refs"/>
      <w:r>
        <w:t>Abookire, Alisa A., and Craig S. Rose. 2005. “Modifications to a Plumb Staff Be</w:t>
      </w:r>
      <w:r>
        <w:t xml:space="preserve">am Trawl for Sampling Uneven, Complex Habitats.” </w:t>
      </w:r>
      <w:r>
        <w:rPr>
          <w:i/>
        </w:rPr>
        <w:t>Fisheries Research</w:t>
      </w:r>
      <w:r>
        <w:t xml:space="preserve"> 71 (2): 247–54. </w:t>
      </w:r>
      <w:hyperlink r:id="rId12">
        <w:r>
          <w:rPr>
            <w:rStyle w:val="Hyperlink"/>
          </w:rPr>
          <w:t>https://doi.org/https://doi.org/10.1016/j.fishres.2004.06.006</w:t>
        </w:r>
      </w:hyperlink>
      <w:r>
        <w:t>.</w:t>
      </w:r>
    </w:p>
    <w:p w:rsidR="003F22CD" w:rsidRDefault="00140E60">
      <w:pPr>
        <w:pStyle w:val="Bibliography"/>
      </w:pPr>
      <w:bookmarkStart w:id="19" w:name="ref-AUNELUNDBERG201487"/>
      <w:bookmarkEnd w:id="17"/>
      <w:r>
        <w:t xml:space="preserve">Aune-Lundberg, Linda, and Geir-Harald Strand. 2014. “Comparison of Variance Estimation Methods for Use with Two-Dimensional Systematic Sampling of Land Use/Land Cover Data.” </w:t>
      </w:r>
      <w:r>
        <w:rPr>
          <w:i/>
        </w:rPr>
        <w:t>Environmental Modelling &amp; Software</w:t>
      </w:r>
      <w:r>
        <w:t xml:space="preserve"> 61: 87–97. </w:t>
      </w:r>
      <w:hyperlink r:id="rId13">
        <w:r>
          <w:rPr>
            <w:rStyle w:val="Hyperlink"/>
          </w:rPr>
          <w:t>https://doi.org/https://doi.org/10.1016/j.envsoft.2014.07.001</w:t>
        </w:r>
      </w:hyperlink>
      <w:r>
        <w:t>.</w:t>
      </w:r>
    </w:p>
    <w:p w:rsidR="003F22CD" w:rsidRDefault="00140E60">
      <w:pPr>
        <w:pStyle w:val="Bibliography"/>
      </w:pPr>
      <w:bookmarkStart w:id="20" w:name="ref-Barcaroli2014"/>
      <w:bookmarkEnd w:id="19"/>
      <w:r>
        <w:t xml:space="preserve">Barcaroli, Giulio. 2014. “SamplingStrata: An R Package for the Optimization of Stratified Sampling.” </w:t>
      </w:r>
      <w:r>
        <w:rPr>
          <w:i/>
        </w:rPr>
        <w:t>Journal of Statistical Software</w:t>
      </w:r>
      <w:r>
        <w:t xml:space="preserve"> 61 (4): 1–24. </w:t>
      </w:r>
      <w:hyperlink r:id="rId14">
        <w:r>
          <w:rPr>
            <w:rStyle w:val="Hyperlink"/>
          </w:rPr>
          <w:t>https://doi.org/10.18637/jss.v061.i04</w:t>
        </w:r>
      </w:hyperlink>
      <w:r>
        <w:t>.</w:t>
      </w:r>
    </w:p>
    <w:p w:rsidR="003F22CD" w:rsidRDefault="00140E60">
      <w:pPr>
        <w:pStyle w:val="Bibliography"/>
      </w:pPr>
      <w:bookmarkStart w:id="21" w:name="ref-Brodie2022"/>
      <w:bookmarkEnd w:id="20"/>
      <w:r>
        <w:t>Brodie, Stephanie, James A. Smith, Barbara A. Muhling, Lewis A. K. Barnett, Gemma Carroll, Paul Fiedler, Steven J. Bograd, et al. 2022. “Recommendations for Quan</w:t>
      </w:r>
      <w:r>
        <w:t xml:space="preserve">tifying and Reducing Uncertainty in Climate Projections of Species Distributions.” </w:t>
      </w:r>
      <w:r>
        <w:rPr>
          <w:i/>
        </w:rPr>
        <w:t>Global Change Biology</w:t>
      </w:r>
      <w:r>
        <w:t xml:space="preserve"> 28 (22): 6586–6601. </w:t>
      </w:r>
      <w:hyperlink r:id="rId15">
        <w:r>
          <w:rPr>
            <w:rStyle w:val="Hyperlink"/>
          </w:rPr>
          <w:t>https://doi.org/https://doi.org/10.1111/gcb.16371</w:t>
        </w:r>
      </w:hyperlink>
      <w:r>
        <w:t>.</w:t>
      </w:r>
    </w:p>
    <w:p w:rsidR="003F22CD" w:rsidRDefault="00140E60">
      <w:pPr>
        <w:pStyle w:val="Bibliography"/>
      </w:pPr>
      <w:bookmarkStart w:id="22" w:name="ref-BUDIKOVA2009149"/>
      <w:bookmarkEnd w:id="21"/>
      <w:r>
        <w:t>Budikova, D</w:t>
      </w:r>
      <w:r>
        <w:t xml:space="preserve">agmar. 2009. “Role of Arctic Sea Ice in Global Atmospheric Circulation: A Review.” </w:t>
      </w:r>
      <w:r>
        <w:rPr>
          <w:i/>
        </w:rPr>
        <w:t>Global and Planetary Change</w:t>
      </w:r>
      <w:r>
        <w:t xml:space="preserve"> 68 (3): 149–63. </w:t>
      </w:r>
      <w:hyperlink r:id="rId16">
        <w:r>
          <w:rPr>
            <w:rStyle w:val="Hyperlink"/>
          </w:rPr>
          <w:t>https://doi.org/https://doi.org/10.1016/j.glop</w:t>
        </w:r>
        <w:r>
          <w:rPr>
            <w:rStyle w:val="Hyperlink"/>
          </w:rPr>
          <w:t>lacha.2009.04.001</w:t>
        </w:r>
      </w:hyperlink>
      <w:r>
        <w:t>.</w:t>
      </w:r>
    </w:p>
    <w:p w:rsidR="003F22CD" w:rsidRDefault="00140E60">
      <w:pPr>
        <w:pStyle w:val="Bibliography"/>
      </w:pPr>
      <w:bookmarkStart w:id="23" w:name="ref-Datsky2022"/>
      <w:bookmarkEnd w:id="22"/>
      <w:r>
        <w:t xml:space="preserve">Datsky, A. V., E. V. Vedishcheva, and A. O. Trofimova. 2022. “Features of the Biology of Mass Fish Species in Russian Waters of the Chukchi Sea. 1. Commercial Fish Biomass. Family Gadidae.” </w:t>
      </w:r>
      <w:r>
        <w:rPr>
          <w:i/>
        </w:rPr>
        <w:t>Journal of Ichthyology</w:t>
      </w:r>
      <w:r>
        <w:t xml:space="preserve"> 62 (4): 560–85. </w:t>
      </w:r>
      <w:hyperlink r:id="rId17">
        <w:r>
          <w:rPr>
            <w:rStyle w:val="Hyperlink"/>
          </w:rPr>
          <w:t>https://doi.org/10.1134/S0032945222040051</w:t>
        </w:r>
      </w:hyperlink>
      <w:r>
        <w:t>.</w:t>
      </w:r>
    </w:p>
    <w:p w:rsidR="003F22CD" w:rsidRDefault="00140E60">
      <w:pPr>
        <w:pStyle w:val="Bibliography"/>
      </w:pPr>
      <w:bookmarkStart w:id="24" w:name="ref-Deary2021"/>
      <w:bookmarkEnd w:id="23"/>
      <w:r>
        <w:t>Deary, A L, C D Vestfals, F J Mueter, E A Logerwell, E D Goldstein, P J Stabeno, S L Danielson, R R Hopcroft, and J T Duffy-Anderson. 2021. “Seasonal Abundance,</w:t>
      </w:r>
      <w:r>
        <w:t xml:space="preserve"> Distribution, and Growth of the Early Life Stages of Polar Cod (Boreogadus Saida) and Saffron Cod (Eleginus Gracilis) in the Us Arctic.” </w:t>
      </w:r>
      <w:r>
        <w:rPr>
          <w:i/>
        </w:rPr>
        <w:t>Polar Biology</w:t>
      </w:r>
      <w:r>
        <w:t xml:space="preserve"> 44 (11): 2055–76. </w:t>
      </w:r>
      <w:hyperlink r:id="rId18">
        <w:r>
          <w:rPr>
            <w:rStyle w:val="Hyperlink"/>
          </w:rPr>
          <w:t>https://doi.org/10.1007/</w:t>
        </w:r>
        <w:r>
          <w:rPr>
            <w:rStyle w:val="Hyperlink"/>
          </w:rPr>
          <w:t>s00300-021-02940-2</w:t>
        </w:r>
      </w:hyperlink>
      <w:r>
        <w:t>.</w:t>
      </w:r>
    </w:p>
    <w:p w:rsidR="003F22CD" w:rsidRDefault="00140E60">
      <w:pPr>
        <w:pStyle w:val="Bibliography"/>
      </w:pPr>
      <w:bookmarkStart w:id="25" w:name="ref-Emelin2022"/>
      <w:bookmarkEnd w:id="24"/>
      <w:r>
        <w:t>Emelin, Pavel O., Olga A. Maznikova, Alexander N. Benzik, Artem Yu Sheibak, Anastasiya O. Trofimova, and Alexei M. Orlov. 2022. “Invader’s Portrait: Biological Characteristics of Walleye Pollock Gadus Chalcogrammus in the Western Chukch</w:t>
      </w:r>
      <w:r>
        <w:t xml:space="preserve">i Sea.” </w:t>
      </w:r>
      <w:r>
        <w:rPr>
          <w:i/>
        </w:rPr>
        <w:t xml:space="preserve">Deep-Sea </w:t>
      </w:r>
      <w:r>
        <w:rPr>
          <w:i/>
        </w:rPr>
        <w:lastRenderedPageBreak/>
        <w:t>Research Part II: Topical Studies in Oceanography</w:t>
      </w:r>
      <w:r>
        <w:t xml:space="preserve"> 206 (December). </w:t>
      </w:r>
      <w:hyperlink r:id="rId19">
        <w:r>
          <w:rPr>
            <w:rStyle w:val="Hyperlink"/>
          </w:rPr>
          <w:t>https://doi.org/10.1016/j.dsr2.2022.105211</w:t>
        </w:r>
      </w:hyperlink>
      <w:r>
        <w:t>.</w:t>
      </w:r>
    </w:p>
    <w:p w:rsidR="003F22CD" w:rsidRDefault="00140E60">
      <w:pPr>
        <w:pStyle w:val="Bibliography"/>
      </w:pPr>
      <w:bookmarkStart w:id="26" w:name="ref-GUNDERSON198635"/>
      <w:bookmarkEnd w:id="25"/>
      <w:r>
        <w:t>Gunderson, Donald R., and Ian E. Ellis. 1986. “Development of a Plu</w:t>
      </w:r>
      <w:r>
        <w:t xml:space="preserve">mb Staff Beam Trawl for Sampling Demersal Fauna.” </w:t>
      </w:r>
      <w:r>
        <w:rPr>
          <w:i/>
        </w:rPr>
        <w:t>Fisheries Research</w:t>
      </w:r>
      <w:r>
        <w:t xml:space="preserve"> 4 (1): 35–41. </w:t>
      </w:r>
      <w:hyperlink r:id="rId20">
        <w:r>
          <w:rPr>
            <w:rStyle w:val="Hyperlink"/>
          </w:rPr>
          <w:t>https://doi.org/https://doi.org/10.1016/0165-7836(86)90026-3</w:t>
        </w:r>
      </w:hyperlink>
      <w:r>
        <w:t>.</w:t>
      </w:r>
    </w:p>
    <w:p w:rsidR="003F22CD" w:rsidRDefault="00140E60">
      <w:pPr>
        <w:pStyle w:val="Bibliography"/>
      </w:pPr>
      <w:bookmarkStart w:id="27" w:name="ref-KOTWICKI201776"/>
      <w:bookmarkEnd w:id="26"/>
      <w:r>
        <w:t>Kotwicki, Stan, Robert R. Lauth</w:t>
      </w:r>
      <w:r>
        <w:t xml:space="preserve">, Kresimir Williams, and Scott E. Goodman. 2017. “Selectivity Ratio: A Useful Tool for Comparing Size Selectivity of Multiple Survey Gears.” </w:t>
      </w:r>
      <w:r>
        <w:rPr>
          <w:i/>
        </w:rPr>
        <w:t>Fisheries Research</w:t>
      </w:r>
      <w:r>
        <w:t xml:space="preserve"> 191: 76–86. </w:t>
      </w:r>
      <w:hyperlink r:id="rId21">
        <w:r>
          <w:rPr>
            <w:rStyle w:val="Hyperlink"/>
          </w:rPr>
          <w:t>htt</w:t>
        </w:r>
        <w:r>
          <w:rPr>
            <w:rStyle w:val="Hyperlink"/>
          </w:rPr>
          <w:t>ps://doi.org/https://doi.org/10.1016/j.fishres.2017.02.012</w:t>
        </w:r>
      </w:hyperlink>
      <w:r>
        <w:t>.</w:t>
      </w:r>
    </w:p>
    <w:p w:rsidR="003F22CD" w:rsidRDefault="00140E60">
      <w:pPr>
        <w:pStyle w:val="Bibliography"/>
      </w:pPr>
      <w:bookmarkStart w:id="28" w:name="ref-kotwicki2019effect"/>
      <w:bookmarkEnd w:id="27"/>
      <w:r>
        <w:t xml:space="preserve">Kotwicki, Stan, and Kotaro Ono. 2019. “The Effect of Random and Density-Dependent Variation in Sampling Efficiency on Variance of Abundance Estimates from Fishery Surveys.” </w:t>
      </w:r>
      <w:r>
        <w:rPr>
          <w:i/>
        </w:rPr>
        <w:t>Fish and Fisheries</w:t>
      </w:r>
      <w:r>
        <w:t xml:space="preserve"> 20 (</w:t>
      </w:r>
      <w:r>
        <w:t>4): 760–74.</w:t>
      </w:r>
    </w:p>
    <w:p w:rsidR="003F22CD" w:rsidRDefault="00140E60">
      <w:pPr>
        <w:pStyle w:val="Bibliography"/>
      </w:pPr>
      <w:bookmarkStart w:id="29" w:name="ref-2021NEBS2022"/>
      <w:bookmarkEnd w:id="28"/>
      <w:r>
        <w:t>Markowitz, E. H., E. J. Dawson, N. E. Charriere, B. K. Prohaska, S. K. Rohan, D. E. Stevenson, and L. L. Britt. 2022. “Results of the 2021 Eastern and Northern Bering Sea Continental Shelf Bottom Trawl Survey of Groundfish and Invertebrate Faun</w:t>
      </w:r>
      <w:r>
        <w:t xml:space="preserve">a.” NOAA Tech. Memo., nos. NMFS-F/SPO-452: 227. </w:t>
      </w:r>
      <w:hyperlink r:id="rId22">
        <w:r>
          <w:rPr>
            <w:rStyle w:val="Hyperlink"/>
          </w:rPr>
          <w:t>https://doi.org/10.25923/g1ny-y360</w:t>
        </w:r>
      </w:hyperlink>
      <w:r>
        <w:t>.</w:t>
      </w:r>
    </w:p>
    <w:p w:rsidR="003F22CD" w:rsidRDefault="00140E60">
      <w:pPr>
        <w:pStyle w:val="Bibliography"/>
      </w:pPr>
      <w:bookmarkStart w:id="30" w:name="ref-Oyafuso2021"/>
      <w:bookmarkEnd w:id="29"/>
      <w:r>
        <w:t xml:space="preserve">Oyafuso, Zack S., Lewis A. K. Barnett, and Stan Kotwicki. 2021. “Incorporating Spatiotemporal Variability in Multispecies Survey Design Optimization Addresses Trade-Offs in Uncertainty.” </w:t>
      </w:r>
      <w:r>
        <w:rPr>
          <w:i/>
        </w:rPr>
        <w:t>ICES Journal of Marine Science</w:t>
      </w:r>
      <w:r>
        <w:t xml:space="preserve"> 78 (4): 1288–1300. </w:t>
      </w:r>
      <w:hyperlink r:id="rId23">
        <w:r>
          <w:rPr>
            <w:rStyle w:val="Hyperlink"/>
          </w:rPr>
          <w:t>https://doi.org/10.1093/ICESJMS/FSAB038</w:t>
        </w:r>
      </w:hyperlink>
      <w:r>
        <w:t>.</w:t>
      </w:r>
    </w:p>
    <w:p w:rsidR="003F22CD" w:rsidRDefault="00140E60">
      <w:pPr>
        <w:pStyle w:val="Bibliography"/>
      </w:pPr>
      <w:bookmarkStart w:id="31" w:name="ref-oyafuso2022flexible"/>
      <w:bookmarkEnd w:id="30"/>
      <w:r>
        <w:t>Oyafuso, ZS, LAK Barnett, MC Siple, and S Kotwicki. 2022. “A Flexible Approach to Optimizing the Gulf of Alaska Groundfish Bottom Trawl Survey Design for Abundance Estimation.</w:t>
      </w:r>
      <w:r>
        <w:t>”</w:t>
      </w:r>
    </w:p>
    <w:p w:rsidR="003F22CD" w:rsidRDefault="00140E60">
      <w:pPr>
        <w:pStyle w:val="Bibliography"/>
      </w:pPr>
      <w:bookmarkStart w:id="32" w:name="ref-Parkinson2013Ice"/>
      <w:bookmarkEnd w:id="31"/>
      <w:r>
        <w:t xml:space="preserve">Parkinson, Claire L., and Josefino C. Comiso. 2013. “On the 2012 Record Low Arctic Sea Ice Cover: Combined Impact of Preconditioning and an August Storm.” </w:t>
      </w:r>
      <w:r>
        <w:rPr>
          <w:i/>
        </w:rPr>
        <w:t>Geophysical Research Letters</w:t>
      </w:r>
      <w:r>
        <w:t xml:space="preserve"> 40 (7): 1356–61. </w:t>
      </w:r>
      <w:hyperlink r:id="rId24">
        <w:r>
          <w:rPr>
            <w:rStyle w:val="Hyperlink"/>
          </w:rPr>
          <w:t>https://doi.org/https://doi.org/10.1002/grl.50349</w:t>
        </w:r>
      </w:hyperlink>
      <w:r>
        <w:t>.</w:t>
      </w:r>
    </w:p>
    <w:p w:rsidR="003F22CD" w:rsidRDefault="00140E60">
      <w:pPr>
        <w:pStyle w:val="Bibliography"/>
      </w:pPr>
      <w:bookmarkStart w:id="33" w:name="ref-POLYAK20101757"/>
      <w:bookmarkEnd w:id="32"/>
      <w:r>
        <w:t xml:space="preserve">Polyak, Leonid, Richard B. Alley, John T. Andrews, Julie Brigham-Grette, Thomas M. Cronin, Dennis A. Darby, Arthur S. Dyke, et al. 2010. “History of Sea Ice in the Arctic.” </w:t>
      </w:r>
      <w:r>
        <w:rPr>
          <w:i/>
        </w:rPr>
        <w:t>Quaternary Scien</w:t>
      </w:r>
      <w:r>
        <w:rPr>
          <w:i/>
        </w:rPr>
        <w:t>ce Reviews</w:t>
      </w:r>
      <w:r>
        <w:t xml:space="preserve"> 29 (15): 1757–78. </w:t>
      </w:r>
      <w:hyperlink r:id="rId25">
        <w:r>
          <w:rPr>
            <w:rStyle w:val="Hyperlink"/>
          </w:rPr>
          <w:t>https://doi.org/https://doi.org/10.1016/j.quascirev.2010.02.010</w:t>
        </w:r>
      </w:hyperlink>
      <w:r>
        <w:t>.</w:t>
      </w:r>
    </w:p>
    <w:p w:rsidR="003F22CD" w:rsidRDefault="00140E60">
      <w:pPr>
        <w:pStyle w:val="Bibliography"/>
      </w:pPr>
      <w:bookmarkStart w:id="34" w:name="ref-Post2013"/>
      <w:bookmarkEnd w:id="33"/>
      <w:r>
        <w:t xml:space="preserve">Post, Eric, Uma S. Bhatt, Cecilia M. Bitz, Jedediah F. Brodie, Tara L. Fulton, </w:t>
      </w:r>
      <w:r>
        <w:t xml:space="preserve">Mark Hebblewhite, Jeffrey Kerby, Susan J. Kutz, Ian Stirling, and Donald A. Walker. 2013. “Ecological Consequences of Sea-Ice Decline.” </w:t>
      </w:r>
      <w:r>
        <w:rPr>
          <w:i/>
        </w:rPr>
        <w:t>Science</w:t>
      </w:r>
      <w:r>
        <w:t xml:space="preserve"> 341 (6145): 519–24. </w:t>
      </w:r>
      <w:hyperlink r:id="rId26">
        <w:r>
          <w:rPr>
            <w:rStyle w:val="Hyperlink"/>
          </w:rPr>
          <w:t>https://doi.org/10.1126/science.1</w:t>
        </w:r>
        <w:r>
          <w:rPr>
            <w:rStyle w:val="Hyperlink"/>
          </w:rPr>
          <w:t>235225</w:t>
        </w:r>
      </w:hyperlink>
      <w:r>
        <w:t>.</w:t>
      </w:r>
    </w:p>
    <w:p w:rsidR="003F22CD" w:rsidRDefault="00140E60">
      <w:pPr>
        <w:pStyle w:val="Bibliography"/>
      </w:pPr>
      <w:bookmarkStart w:id="35" w:name="ref-rue2009approximate"/>
      <w:bookmarkEnd w:id="34"/>
      <w:r>
        <w:t xml:space="preserve">Rue, Håvard, Sara Martino, and Nicolas Chopin. 2009. “Approximate Bayesian Inference for Latent Gaussian Models by Using Integrated Nested Laplace Approximations.” </w:t>
      </w:r>
      <w:r>
        <w:rPr>
          <w:i/>
        </w:rPr>
        <w:t>Journal of the Royal Statistical Society: Series B (Statistical Methodology)</w:t>
      </w:r>
      <w:r>
        <w:t xml:space="preserve"> 71 (2):</w:t>
      </w:r>
      <w:r>
        <w:t xml:space="preserve"> 319–92.</w:t>
      </w:r>
    </w:p>
    <w:p w:rsidR="003F22CD" w:rsidRDefault="00140E60">
      <w:pPr>
        <w:pStyle w:val="Bibliography"/>
      </w:pPr>
      <w:bookmarkStart w:id="36" w:name="ref-Spies2020"/>
      <w:bookmarkEnd w:id="35"/>
      <w:r>
        <w:lastRenderedPageBreak/>
        <w:t xml:space="preserve">Spies, Ingrid, Kristen M. Gruenthal, Daniel P. Drinan, Anne B. Hollowed, Duane E. Stevenson, Carolyn M. Tarpey, and Lorenz Hauser. 2020. “Genetic Evidence of a Northward Range Expansion in the Eastern Bering Sea Stock of Pacific Cod.” </w:t>
      </w:r>
      <w:r>
        <w:rPr>
          <w:i/>
        </w:rPr>
        <w:t>Evolutionary</w:t>
      </w:r>
      <w:r>
        <w:rPr>
          <w:i/>
        </w:rPr>
        <w:t xml:space="preserve"> Applications</w:t>
      </w:r>
      <w:r>
        <w:t xml:space="preserve"> 13 (2): 362–75. </w:t>
      </w:r>
      <w:hyperlink r:id="rId27">
        <w:r>
          <w:rPr>
            <w:rStyle w:val="Hyperlink"/>
          </w:rPr>
          <w:t>https://doi.org/10.1111/eva.12874</w:t>
        </w:r>
      </w:hyperlink>
      <w:r>
        <w:t>.</w:t>
      </w:r>
    </w:p>
    <w:p w:rsidR="003F22CD" w:rsidRDefault="00140E60">
      <w:pPr>
        <w:pStyle w:val="Bibliography"/>
      </w:pPr>
      <w:bookmarkStart w:id="37" w:name="ref-RN933"/>
      <w:bookmarkEnd w:id="36"/>
      <w:r>
        <w:t xml:space="preserve">Stauffer, G. D. (compiler). 2004. “NOAA Protocols for Groundfish Bottom Trawl Surveys of the Nation’s Fishery Resources, March 16, 2003.” </w:t>
      </w:r>
      <w:r>
        <w:t xml:space="preserve">NOAA Tech. Memo., nos. NMFS-SPO-65: 205 p. </w:t>
      </w:r>
      <w:hyperlink r:id="rId28">
        <w:r>
          <w:rPr>
            <w:rStyle w:val="Hyperlink"/>
          </w:rPr>
          <w:t>https://spo.nmfs.noaa.gov/content/tech-memo/noaa-protocols-groundfis</w:t>
        </w:r>
        <w:r>
          <w:rPr>
            <w:rStyle w:val="Hyperlink"/>
          </w:rPr>
          <w:t>h-bottom-trawl-surveys-nations-fishery-resources-march-16</w:t>
        </w:r>
      </w:hyperlink>
      <w:r>
        <w:t>.</w:t>
      </w:r>
    </w:p>
    <w:p w:rsidR="003F22CD" w:rsidRDefault="00140E60">
      <w:pPr>
        <w:pStyle w:val="Bibliography"/>
      </w:pPr>
      <w:bookmarkStart w:id="38" w:name="ref-Stevenson2019"/>
      <w:bookmarkEnd w:id="37"/>
      <w:r>
        <w:t xml:space="preserve">Stevenson, Duane E., and Robert R. Lauth. 2019. “Bottom Trawl Surveys in the Northern Bering Sea Indicate Recent Shifts in the Distribution of Marine Species.” </w:t>
      </w:r>
      <w:r>
        <w:rPr>
          <w:i/>
        </w:rPr>
        <w:t>Polar Biology</w:t>
      </w:r>
      <w:r>
        <w:t xml:space="preserve"> 42 (2): 407–21. </w:t>
      </w:r>
      <w:hyperlink r:id="rId29">
        <w:r>
          <w:rPr>
            <w:rStyle w:val="Hyperlink"/>
          </w:rPr>
          <w:t>https://doi.org/10.1007/s00300-018-2431-1</w:t>
        </w:r>
      </w:hyperlink>
      <w:r>
        <w:t>.</w:t>
      </w:r>
    </w:p>
    <w:p w:rsidR="003F22CD" w:rsidRDefault="00140E60">
      <w:pPr>
        <w:pStyle w:val="Bibliography"/>
      </w:pPr>
      <w:bookmarkStart w:id="39" w:name="ref-thorson2018three"/>
      <w:bookmarkEnd w:id="38"/>
      <w:r>
        <w:t xml:space="preserve">Thorson, James T. 2018. “Three Problems with the Conventional Delta-Model for Biomass Sampling Data, and a Computationally Efficient Alternative.” </w:t>
      </w:r>
      <w:r>
        <w:rPr>
          <w:i/>
        </w:rPr>
        <w:t>Canadia</w:t>
      </w:r>
      <w:r>
        <w:rPr>
          <w:i/>
        </w:rPr>
        <w:t>n Journal of Fisheries and Aquatic Sciences</w:t>
      </w:r>
      <w:r>
        <w:t xml:space="preserve"> 75 (9): 1369–82.</w:t>
      </w:r>
    </w:p>
    <w:p w:rsidR="003F22CD" w:rsidRDefault="00140E60">
      <w:pPr>
        <w:pStyle w:val="Bibliography"/>
      </w:pPr>
      <w:bookmarkStart w:id="40" w:name="ref-thorson2019guidance"/>
      <w:bookmarkEnd w:id="39"/>
      <w:r>
        <w:t xml:space="preserve">———. 2019. “Guidance for Decisions Using the Vector Autoregressive Spatio-Temporal (Vast) Package in Stock, Ecosystem, Habitat and Climate Assessments.” </w:t>
      </w:r>
      <w:r>
        <w:rPr>
          <w:i/>
        </w:rPr>
        <w:t>Fisheries Research</w:t>
      </w:r>
      <w:r>
        <w:t xml:space="preserve"> 210: 143–61.</w:t>
      </w:r>
    </w:p>
    <w:p w:rsidR="003F22CD" w:rsidRDefault="00140E60">
      <w:pPr>
        <w:pStyle w:val="Bibliography"/>
      </w:pPr>
      <w:bookmarkStart w:id="41" w:name="ref-thorson2017comparing"/>
      <w:bookmarkEnd w:id="40"/>
      <w:r>
        <w:t>Thorson, J</w:t>
      </w:r>
      <w:r>
        <w:t xml:space="preserve">ames T, and Lewis AK Barnett. 2017. “Comparing Estimates of Abundance Trends and Distribution Shifts Using Single-and Multispecies Models of Fishes and Biogenic Habitat.” </w:t>
      </w:r>
      <w:r>
        <w:rPr>
          <w:i/>
        </w:rPr>
        <w:t>ICES Journal of Marine Science</w:t>
      </w:r>
      <w:r>
        <w:t xml:space="preserve"> 74 (5): 1311–21.</w:t>
      </w:r>
    </w:p>
    <w:p w:rsidR="003F22CD" w:rsidRDefault="00140E60">
      <w:pPr>
        <w:pStyle w:val="Bibliography"/>
      </w:pPr>
      <w:bookmarkStart w:id="42" w:name="ref-THORSON201666"/>
      <w:bookmarkEnd w:id="41"/>
      <w:r>
        <w:t>Thorson, James T., and Kasper Kristen</w:t>
      </w:r>
      <w:r>
        <w:t xml:space="preserve">sen. 2016. “Implementing a Generic Method for Bias Correction in Statistical Models Using Random Effects, with Spatial and Population Dynamics Examples.” </w:t>
      </w:r>
      <w:r>
        <w:rPr>
          <w:i/>
        </w:rPr>
        <w:t>Fisheries Research</w:t>
      </w:r>
      <w:r>
        <w:t xml:space="preserve"> 175: 66–74. </w:t>
      </w:r>
      <w:hyperlink r:id="rId30">
        <w:r>
          <w:rPr>
            <w:rStyle w:val="Hyperlink"/>
          </w:rPr>
          <w:t>https://doi.org/https://doi.org/10.1016/j.fishres.2015.11.016</w:t>
        </w:r>
      </w:hyperlink>
      <w:r>
        <w:t>.</w:t>
      </w:r>
    </w:p>
    <w:p w:rsidR="003F22CD" w:rsidRDefault="00140E60">
      <w:pPr>
        <w:pStyle w:val="Bibliography"/>
      </w:pPr>
      <w:bookmarkStart w:id="43" w:name="ref-RN939"/>
      <w:bookmarkEnd w:id="42"/>
      <w:r>
        <w:t xml:space="preserve">Wakabayashi, K. R., G. Bakkala, and M. S. Alton. 1985. In </w:t>
      </w:r>
      <w:r>
        <w:rPr>
          <w:i/>
        </w:rPr>
        <w:t>Results of Cooperative U.S.-japan Groundfish Investigations in the Bering Sea During May-August 1979</w:t>
      </w:r>
      <w:r>
        <w:t>, edited by R. G. Bakkala</w:t>
      </w:r>
      <w:r>
        <w:t xml:space="preserve"> and K. Wakabayashi, 44:p. 7–29. International North Pacific Fisheries Commission.</w:t>
      </w:r>
    </w:p>
    <w:p w:rsidR="003F22CD" w:rsidRDefault="00140E60">
      <w:pPr>
        <w:pStyle w:val="Bibliography"/>
      </w:pPr>
      <w:bookmarkStart w:id="44" w:name="ref-WILDES2022105165"/>
      <w:bookmarkEnd w:id="43"/>
      <w:r>
        <w:t>Wildes, Sharon, Jackie Whittle, Hanhvan Nguyen, Maxwell Marsh, Kirby Karpan, Catherine D’Amelio, Andrew Dimond, et al. 2022. “Walleye Pollock Breach the Bering Strait: A Cha</w:t>
      </w:r>
      <w:r>
        <w:t xml:space="preserve">nge of the Cods in the Arctic.” </w:t>
      </w:r>
      <w:r>
        <w:rPr>
          <w:i/>
        </w:rPr>
        <w:t>Deep Sea Research Part II: Topical Studies in Oceanography</w:t>
      </w:r>
      <w:r>
        <w:t xml:space="preserve"> 204: 105165. </w:t>
      </w:r>
      <w:hyperlink r:id="rId31">
        <w:r>
          <w:rPr>
            <w:rStyle w:val="Hyperlink"/>
          </w:rPr>
          <w:t>https://doi.org/https://doi.org/10.1016/j.dsr2.2022.105165</w:t>
        </w:r>
      </w:hyperlink>
      <w:r>
        <w:t>.</w:t>
      </w:r>
      <w:bookmarkEnd w:id="18"/>
      <w:bookmarkEnd w:id="44"/>
    </w:p>
    <w:sectPr w:rsidR="003F22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E60" w:rsidRDefault="00140E60">
      <w:pPr>
        <w:spacing w:after="0"/>
      </w:pPr>
      <w:r>
        <w:separator/>
      </w:r>
    </w:p>
  </w:endnote>
  <w:endnote w:type="continuationSeparator" w:id="0">
    <w:p w:rsidR="00140E60" w:rsidRDefault="00140E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E60" w:rsidRDefault="00140E60">
      <w:r>
        <w:separator/>
      </w:r>
    </w:p>
  </w:footnote>
  <w:footnote w:type="continuationSeparator" w:id="0">
    <w:p w:rsidR="00140E60" w:rsidRDefault="00140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40E60"/>
    <w:rsid w:val="00314E2C"/>
    <w:rsid w:val="003F22CD"/>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3B48"/>
  <w15:docId w15:val="{10FD2187-0253-470B-B8AF-DEDC9F1A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 w:type="paragraph" w:styleId="BodyText2">
    <w:name w:val="Body Text 2"/>
    <w:basedOn w:val="Normal"/>
    <w:link w:val="BodyText2Char"/>
    <w:rsid w:val="005E7A78"/>
    <w:pPr>
      <w:spacing w:after="120" w:line="480" w:lineRule="auto"/>
    </w:pPr>
    <w:rPr>
      <w:rFonts w:ascii="Times New Roman" w:hAnsi="Times New Roman"/>
    </w:rPr>
  </w:style>
  <w:style w:type="character" w:customStyle="1" w:styleId="BodyText2Char">
    <w:name w:val="Body Text 2 Char"/>
    <w:basedOn w:val="DefaultParagraphFont"/>
    <w:link w:val="BodyText2"/>
    <w:rsid w:val="005E7A78"/>
    <w:rPr>
      <w:rFonts w:ascii="Times New Roman" w:hAnsi="Times New Roman"/>
    </w:rPr>
  </w:style>
  <w:style w:type="paragraph" w:styleId="BodyText3">
    <w:name w:val="Body Text 3"/>
    <w:basedOn w:val="Normal"/>
    <w:link w:val="BodyText3Char"/>
    <w:rsid w:val="005E7A78"/>
    <w:pPr>
      <w:spacing w:after="120"/>
    </w:pPr>
    <w:rPr>
      <w:rFonts w:ascii="Times New Roman" w:hAnsi="Times New Roman"/>
      <w:sz w:val="16"/>
      <w:szCs w:val="16"/>
    </w:rPr>
  </w:style>
  <w:style w:type="character" w:customStyle="1" w:styleId="BodyText3Char">
    <w:name w:val="Body Text 3 Char"/>
    <w:basedOn w:val="DefaultParagraphFont"/>
    <w:link w:val="BodyText3"/>
    <w:rsid w:val="005E7A78"/>
    <w:rPr>
      <w:rFonts w:ascii="Times New Roman" w:hAnsi="Times New Roman"/>
      <w:sz w:val="16"/>
      <w:szCs w:val="16"/>
    </w:rPr>
  </w:style>
  <w:style w:type="paragraph" w:styleId="BodyTextFirstIndent">
    <w:name w:val="Body Text First Indent"/>
    <w:basedOn w:val="BodyText"/>
    <w:link w:val="BodyTextFirstIndentChar"/>
    <w:unhideWhenUsed/>
    <w:rsid w:val="005E7A78"/>
    <w:pPr>
      <w:spacing w:before="0" w:after="200"/>
      <w:ind w:firstLine="360"/>
    </w:pPr>
  </w:style>
  <w:style w:type="character" w:customStyle="1" w:styleId="BodyTextFirstIndentChar">
    <w:name w:val="Body Text First Indent Char"/>
    <w:basedOn w:val="BodyTextChar"/>
    <w:link w:val="BodyTextFirstIndent"/>
    <w:rsid w:val="005E7A78"/>
    <w:rPr>
      <w:rFonts w:ascii="Times New Roman" w:hAnsi="Times New Roman"/>
    </w:rPr>
  </w:style>
  <w:style w:type="paragraph" w:styleId="NormalWeb">
    <w:name w:val="Normal (Web)"/>
    <w:basedOn w:val="Normal"/>
    <w:uiPriority w:val="99"/>
    <w:semiHidden/>
    <w:unhideWhenUsed/>
    <w:rsid w:val="00314E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662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016/j.envsoft.2014.07.001" TargetMode="External"/><Relationship Id="rId18" Type="http://schemas.openxmlformats.org/officeDocument/2006/relationships/hyperlink" Target="https://doi.org/10.1007/s00300-021-02940-2" TargetMode="External"/><Relationship Id="rId26" Type="http://schemas.openxmlformats.org/officeDocument/2006/relationships/hyperlink" Target="https://doi.org/10.1126/science.1235225" TargetMode="External"/><Relationship Id="rId3" Type="http://schemas.openxmlformats.org/officeDocument/2006/relationships/settings" Target="settings.xml"/><Relationship Id="rId21" Type="http://schemas.openxmlformats.org/officeDocument/2006/relationships/hyperlink" Target="https://doi.org/https://doi.org/10.1016/j.fishres.2017.02.012" TargetMode="External"/><Relationship Id="rId7" Type="http://schemas.openxmlformats.org/officeDocument/2006/relationships/image" Target="media/image1.png"/><Relationship Id="rId12" Type="http://schemas.openxmlformats.org/officeDocument/2006/relationships/hyperlink" Target="https://doi.org/https://doi.org/10.1016/j.fishres.2004.06.006" TargetMode="External"/><Relationship Id="rId17" Type="http://schemas.openxmlformats.org/officeDocument/2006/relationships/hyperlink" Target="https://doi.org/10.1134/S0032945222040051" TargetMode="External"/><Relationship Id="rId25" Type="http://schemas.openxmlformats.org/officeDocument/2006/relationships/hyperlink" Target="https://doi.org/https://doi.org/10.1016/j.quascirev.2010.02.01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https://doi.org/10.1016/j.gloplacha.2009.04.001" TargetMode="External"/><Relationship Id="rId20" Type="http://schemas.openxmlformats.org/officeDocument/2006/relationships/hyperlink" Target="https://doi.org/https://doi.org/10.1016/0165-7836(86)90026-3" TargetMode="External"/><Relationship Id="rId29" Type="http://schemas.openxmlformats.org/officeDocument/2006/relationships/hyperlink" Target="https://doi.org/10.1007/s00300-018-243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https://doi.org/10.1002/grl.50349"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https://doi.org/10.1111/gcb.16371" TargetMode="External"/><Relationship Id="rId23" Type="http://schemas.openxmlformats.org/officeDocument/2006/relationships/hyperlink" Target="https://doi.org/10.1093/ICESJMS/FSAB038" TargetMode="External"/><Relationship Id="rId28" Type="http://schemas.openxmlformats.org/officeDocument/2006/relationships/hyperlink" Target="https://spo.nmfs.noaa.gov/content/tech-memo/noaa-protocols-groundfish-bottom-trawl-surveys-nations-fishery-resources-march-16" TargetMode="External"/><Relationship Id="rId10" Type="http://schemas.openxmlformats.org/officeDocument/2006/relationships/image" Target="media/image4.png"/><Relationship Id="rId19" Type="http://schemas.openxmlformats.org/officeDocument/2006/relationships/hyperlink" Target="https://doi.org/10.1016/j.dsr2.2022.105211" TargetMode="External"/><Relationship Id="rId31" Type="http://schemas.openxmlformats.org/officeDocument/2006/relationships/hyperlink" Target="https://doi.org/https://doi.org/10.1016/j.dsr2.2022.10516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8637/jss.v061.i04" TargetMode="External"/><Relationship Id="rId22" Type="http://schemas.openxmlformats.org/officeDocument/2006/relationships/hyperlink" Target="https://doi.org/10.25923/g1ny-y360" TargetMode="External"/><Relationship Id="rId27" Type="http://schemas.openxmlformats.org/officeDocument/2006/relationships/hyperlink" Target="https://doi.org/10.1111/eva.12874" TargetMode="External"/><Relationship Id="rId30" Type="http://schemas.openxmlformats.org/officeDocument/2006/relationships/hyperlink" Target="https://doi.org/https://doi.org/10.1016/j.fishres.2015.11.016"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5553</Words>
  <Characters>31656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37135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testing of survey designs for the US Chukchi bottom trawl survey</dc:title>
  <dc:creator/>
  <cp:keywords/>
  <cp:lastModifiedBy>Zack.Oyafuso</cp:lastModifiedBy>
  <cp:revision>2</cp:revision>
  <dcterms:created xsi:type="dcterms:W3CDTF">2023-02-06T10:12:00Z</dcterms:created>
  <dcterms:modified xsi:type="dcterms:W3CDTF">2023-02-06T10:14:00Z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