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 w:eastAsia="Noto Sans SC"/>
          <w:b/>
          <w:color w:val="C2185B"/>
          <w:sz w:val="20"/>
        </w:rPr>
        <w:t>VAV  项目技术评估</w:t>
      </w:r>
    </w:p>
    <w:p>
      <w:pPr>
        <w:spacing w:after="100"/>
      </w:pPr>
      <w:r>
        <w:rPr>
          <w:rFonts w:ascii="Arial" w:hAnsi="Arial" w:eastAsia="Noto Sans SC"/>
          <w:b/>
          <w:color w:val="263238"/>
          <w:sz w:val="50"/>
        </w:rPr>
        <w:t>VAV 项目 UAT 运行验证报告</w:t>
      </w:r>
    </w:p>
    <w:p>
      <w:pPr>
        <w:spacing w:after="320"/>
      </w:pPr>
      <w:r>
        <w:rPr>
          <w:rFonts w:ascii="Arial" w:hAnsi="Arial" w:eastAsia="Noto Sans SC"/>
          <w:color w:val="546E7A"/>
          <w:sz w:val="25"/>
        </w:rPr>
        <w:t>基于当前仓库状态的运行环境、验证证据与首阶段建议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7848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C2185B"/>
                <w:sz w:val="21"/>
              </w:rPr>
              <w:t>项目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263238"/>
                <w:sz w:val="21"/>
              </w:rPr>
              <w:t>VAV 网站与活动平台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C2185B"/>
                <w:sz w:val="21"/>
              </w:rPr>
              <w:t>审阅对象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263238"/>
                <w:sz w:val="21"/>
              </w:rPr>
              <w:t>当前 hana_dev 分支仓库状态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C2185B"/>
                <w:sz w:val="21"/>
              </w:rPr>
              <w:t>基线版本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263238"/>
                <w:sz w:val="21"/>
              </w:rPr>
              <w:t>Commit 9c404f1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C2185B"/>
                <w:sz w:val="21"/>
              </w:rPr>
              <w:t>报告日期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263238"/>
                <w:sz w:val="21"/>
              </w:rPr>
              <w:t>2026年8月6日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C2185B"/>
                <w:sz w:val="21"/>
              </w:rPr>
              <w:t>报告用途</w:t>
            </w:r>
          </w:p>
        </w:tc>
        <w:tc>
          <w:tcPr>
            <w:tcW w:type="dxa" w:w="7848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263238"/>
                <w:sz w:val="21"/>
              </w:rPr>
              <w:t>供赵鹏程老师审阅及下一阶段 UAT 准备决策</w:t>
            </w:r>
          </w:p>
        </w:tc>
      </w:tr>
    </w:tbl>
    <w:p>
      <w:pPr>
        <w:pStyle w:val="Heading1"/>
      </w:pPr>
      <w:r>
        <w:t>一、结论摘要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shd w:fill="FCE4EC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2"/>
              </w:rPr>
              <w:t>核心判断：代码基础已经存在，但运行环境、依赖链与数据初始化尚未真正跑通，因此目前还不能证明网站已达到可供 5–10 位伙伴进行真实 UAT 的状态。</w:t>
            </w:r>
          </w:p>
        </w:tc>
      </w:tr>
    </w:tbl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仓库并非“完全空白”，已具备较完整的前后端工程结构、数据库迁移、模块路由、测试与 E2E 方案。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目前仍无法在本机完成完整业务流程验证，不能仅凭路由、API 或测试文件的存在判断功能已经可用。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当前主要阻塞点集中在运行环境与依赖配置，而非单纯的代码未完成。</w:t>
      </w:r>
    </w:p>
    <w:p>
      <w:pPr>
        <w:pStyle w:val="Heading1"/>
      </w:pPr>
      <w:r>
        <w:t>二、实际验证结果</w:t>
      </w:r>
    </w:p>
    <w:p>
      <w:pPr>
        <w:pStyle w:val="Heading2"/>
      </w:pPr>
      <w:r>
        <w:t>1. 运行环境检查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Docker / Docker Compose 当前不可用，无法按仓库说明启动 PostgreSQL、Redis、MinIO、Mailpit、API、worker 与前端等完整服务。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pnpm 当前不可用，影响前端依赖安装与服务启动。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当前环境缺少完整运行依赖链，因此暂时无法完成后端测试及真实页面运行验证。</w:t>
      </w:r>
    </w:p>
    <w:p>
      <w:pPr>
        <w:pStyle w:val="Heading2"/>
      </w:pPr>
      <w:r>
        <w:t>2. 业务流程验证</w:t>
      </w:r>
    </w:p>
    <w:p>
      <w:pPr>
        <w:spacing w:after="120" w:line="276" w:lineRule="auto"/>
      </w:pPr>
      <w:r>
        <w:rPr>
          <w:rFonts w:ascii="Arial" w:hAnsi="Arial" w:eastAsia="Noto Sans SC"/>
          <w:color w:val="263238"/>
          <w:sz w:val="22"/>
        </w:rPr>
        <w:t>由于环境未成功启动，下列 UAT 关键流程尚未在本机完成实际验证：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网站首页打开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测试用户登录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活动列表展示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活动详情打开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用户报名活动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“我的活动”显示报名记录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管理员创建或编辑活动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auth 与 activities 相关 E2E 测试执行</w:t>
      </w:r>
    </w:p>
    <w:p>
      <w:pPr>
        <w:pStyle w:val="Heading2"/>
      </w:pPr>
      <w:r>
        <w:t>3. 已存在但尚未实际跑通的内容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前端路由与页面入口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后端 API 模块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数据库迁移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测试用户种子脚本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CMS、活动、会员与目录种子脚本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auth 与 activities 的 E2E 测试文件</w:t>
      </w:r>
    </w:p>
    <w:p>
      <w:pPr>
        <w:spacing w:after="120" w:line="276" w:lineRule="auto"/>
      </w:pPr>
      <w:r>
        <w:rPr>
          <w:rFonts w:ascii="Arial" w:hAnsi="Arial" w:eastAsia="Noto Sans SC"/>
          <w:color w:val="263238"/>
          <w:sz w:val="22"/>
        </w:rPr>
        <w:t>上述内容说明代码和框架已经存在，但不能等同于真实环境中已经可运行并可供 UAT。</w:t>
      </w:r>
    </w:p>
    <w:p>
      <w:pPr>
        <w:pStyle w:val="Heading1"/>
      </w:pPr>
      <w:r>
        <w:t>三、阻塞原因</w:t>
      </w:r>
    </w:p>
    <w:p>
      <w:pPr>
        <w:spacing w:after="120"/>
      </w:pPr>
      <w:r>
        <w:rPr>
          <w:rFonts w:ascii="Arial" w:hAnsi="Arial" w:eastAsia="Noto Sans SC"/>
          <w:b/>
          <w:color w:val="C2185B"/>
          <w:sz w:val="22"/>
        </w:rPr>
        <w:t>缺少 Docker / Docker Compose：</w:t>
      </w:r>
      <w:r>
        <w:rPr>
          <w:rFonts w:ascii="Arial" w:hAnsi="Arial" w:eastAsia="Noto Sans SC"/>
          <w:color w:val="263238"/>
          <w:sz w:val="22"/>
        </w:rPr>
        <w:t>最主要的阻塞点。没有 Docker，就无法启动仓库依赖的完整服务栈。</w:t>
      </w:r>
    </w:p>
    <w:p>
      <w:pPr>
        <w:spacing w:after="120"/>
      </w:pPr>
      <w:r>
        <w:rPr>
          <w:rFonts w:ascii="Arial" w:hAnsi="Arial" w:eastAsia="Noto Sans SC"/>
          <w:b/>
          <w:color w:val="C2185B"/>
          <w:sz w:val="22"/>
        </w:rPr>
        <w:t>缺少 pnpm：</w:t>
      </w:r>
      <w:r>
        <w:rPr>
          <w:rFonts w:ascii="Arial" w:hAnsi="Arial" w:eastAsia="Noto Sans SC"/>
          <w:color w:val="263238"/>
          <w:sz w:val="22"/>
        </w:rPr>
        <w:t>影响前端依赖安装与服务启动。</w:t>
      </w:r>
    </w:p>
    <w:p>
      <w:pPr>
        <w:spacing w:after="120"/>
      </w:pPr>
      <w:r>
        <w:rPr>
          <w:rFonts w:ascii="Arial" w:hAnsi="Arial" w:eastAsia="Noto Sans SC"/>
          <w:b/>
          <w:color w:val="C2185B"/>
          <w:sz w:val="22"/>
        </w:rPr>
        <w:t>依赖链尚未准备完成：</w:t>
      </w:r>
      <w:r>
        <w:rPr>
          <w:rFonts w:ascii="Arial" w:hAnsi="Arial" w:eastAsia="Noto Sans SC"/>
          <w:color w:val="263238"/>
          <w:sz w:val="22"/>
        </w:rPr>
        <w:t>当前环境尚未完成仓库要求的依赖安装与运行配置，无法进入真正的联调和测试阶段。</w:t>
      </w:r>
    </w:p>
    <w:p>
      <w:pPr>
        <w:spacing w:after="120"/>
      </w:pPr>
      <w:r>
        <w:rPr>
          <w:rFonts w:ascii="Arial" w:hAnsi="Arial" w:eastAsia="Noto Sans SC"/>
          <w:b/>
          <w:color w:val="C2185B"/>
          <w:sz w:val="22"/>
        </w:rPr>
        <w:t>缺少可供外部访问的 UAT 环境：</w:t>
      </w:r>
      <w:r>
        <w:rPr>
          <w:rFonts w:ascii="Arial" w:hAnsi="Arial" w:eastAsia="Noto Sans SC"/>
          <w:color w:val="263238"/>
          <w:sz w:val="22"/>
        </w:rPr>
        <w:t>本地开发环境只能用于开发验证，不能替代稳定、可访问的 UAT 环境。</w:t>
      </w:r>
    </w:p>
    <w:p>
      <w:pPr>
        <w:pStyle w:val="Heading1"/>
      </w:pPr>
      <w:r>
        <w:t>四、理论访问地址</w:t>
      </w:r>
    </w:p>
    <w:p>
      <w:pPr>
        <w:spacing w:after="120" w:line="276" w:lineRule="auto"/>
      </w:pPr>
      <w:r>
        <w:rPr>
          <w:rFonts w:ascii="Arial" w:hAnsi="Arial" w:eastAsia="Noto Sans SC"/>
          <w:color w:val="263238"/>
          <w:sz w:val="22"/>
        </w:rPr>
        <w:t>按仓库说明，完整环境启动后理论上应提供以下本地访问地址；目前尚未实际验证：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C2185B"/>
          </w:tcPr>
          <w:p>
            <w:pPr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1"/>
              </w:rPr>
              <w:t>服务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shd w:fill="C2185B"/>
          </w:tcPr>
          <w:p>
            <w:pPr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1"/>
              </w:rPr>
              <w:t>理论地址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用户端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http://localhost:5173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管理端登录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http://localhost:5174/admin/login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API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http://localhost:8000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OpenAPI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http://localhost:8000/docs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Mailpit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http://localhost:8025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/>
                <w:color w:val="263238"/>
                <w:sz w:val="21"/>
              </w:rPr>
              <w:t>MinIO 控制台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rFonts w:ascii="Arial" w:hAnsi="Arial" w:eastAsia="Noto Sans SC"/>
                <w:b w:val="0"/>
                <w:color w:val="546E7A"/>
                <w:sz w:val="21"/>
              </w:rPr>
              <w:t>http://localhost:9001</w:t>
            </w:r>
          </w:p>
        </w:tc>
      </w:tr>
    </w:tbl>
    <w:p>
      <w:pPr>
        <w:pStyle w:val="Heading1"/>
      </w:pPr>
      <w:r>
        <w:t>五、测试账号</w:t>
      </w:r>
    </w:p>
    <w:p>
      <w:pPr>
        <w:spacing w:after="120" w:line="276" w:lineRule="auto"/>
      </w:pPr>
      <w:r>
        <w:rPr>
          <w:rFonts w:ascii="Arial" w:hAnsi="Arial" w:eastAsia="Noto Sans SC"/>
          <w:color w:val="263238"/>
          <w:sz w:val="22"/>
        </w:rPr>
        <w:t>仓库中已存在测试账号说明与脚本：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前端测试用户：test / test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相关脚本：services/api/src/vav/cli/seed_test_user.py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r>
              <w:rPr>
                <w:rFonts w:ascii="Arial" w:hAnsi="Arial" w:eastAsia="Noto Sans SC"/>
                <w:b/>
                <w:color w:val="B26A00"/>
                <w:sz w:val="21"/>
              </w:rPr>
              <w:t>验证限制：由于完整环境尚未启动，以上账号尚未在本机完成实际登录验证。</w:t>
            </w:r>
          </w:p>
        </w:tc>
      </w:tr>
    </w:tbl>
    <w:p>
      <w:pPr>
        <w:pStyle w:val="Heading1"/>
      </w:pPr>
      <w:r>
        <w:t>六、最小 UAT 准备项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安装并启用 Docker Desktop / Docker Engine。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安装 pnpm / corepack。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准备并填写环境变量文件 .env。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自动执行数据库迁移与种子数据初始化。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确保邮件服务可用。</w:t>
      </w:r>
    </w:p>
    <w:p>
      <w:pPr>
        <w:numPr>
          <w:ilvl w:val="0"/>
          <w:numId w:val="10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提供一个外部可访问的 UAT 环境，而不仅是本地开发环境。</w:t>
      </w:r>
    </w:p>
    <w:p>
      <w:r>
        <w:br w:type="page"/>
      </w:r>
    </w:p>
    <w:p>
      <w:pPr>
        <w:pStyle w:val="Heading1"/>
      </w:pPr>
      <w:r>
        <w:t>七、首阶段建议：最小可用功能包</w:t>
      </w:r>
    </w:p>
    <w:p>
      <w:pPr>
        <w:spacing w:after="120" w:line="276" w:lineRule="auto"/>
      </w:pPr>
      <w:r>
        <w:rPr>
          <w:rFonts w:ascii="Arial" w:hAnsi="Arial" w:eastAsia="Noto Sans SC"/>
          <w:color w:val="263238"/>
          <w:sz w:val="22"/>
        </w:rPr>
        <w:t>为尽快进入真实用户验证，建议将第一阶段 UAT 范围收敛为“活动网页版最小闭环”，暂不同时扩展复杂匹配、AI 辅导及正式支付。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3168"/>
        <w:gridCol w:w="5328"/>
      </w:tblGrid>
      <w:tr>
        <w:trPr>
          <w:tblHeader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shd w:fill="C2185B"/>
          </w:tcPr>
          <w:p>
            <w:pPr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shd w:fill="C2185B"/>
          </w:tcPr>
          <w:p>
            <w:pPr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shd w:fill="C2185B"/>
          </w:tcPr>
          <w:p>
            <w:pPr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20"/>
              </w:rPr>
              <w:t>UAT 目标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首页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确认公开页面可访问并有真实演示内容。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登录 / 注册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确认测试用户与新用户可进入账户体系。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活动列表 / 详情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确认活动数据能够显示并可被检索浏览。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活动报名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确认用户可完成报名并得到明确结果。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我的活动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确认用户能够查看自己的报名记录。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/>
                <w:color w:val="C2185B"/>
                <w:sz w:val="20"/>
              </w:rPr>
              <w:t>P0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后台活动管理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Noto Sans SC"/>
                <w:b w:val="0"/>
                <w:color w:val="263238"/>
                <w:sz w:val="20"/>
              </w:rPr>
              <w:t>确认管理员可创建、编辑与查看活动。</w:t>
            </w:r>
          </w:p>
        </w:tc>
      </w:tr>
    </w:tbl>
    <w:p>
      <w:pPr>
        <w:pStyle w:val="Heading1"/>
      </w:pPr>
      <w:r>
        <w:t>八、UAT 验收标准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完整服务栈能够稳定启动，关键健康检查通过。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用户端、管理端、API、OpenAPI 与邮件测试界面可以访问。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数据库迁移与必要种子数据可重复执行。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测试用户能够实际登录。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活动列表、详情、报名与“我的活动”能够形成完整闭环。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管理员能够创建或编辑活动，并在用户端看到更新结果。</w:t>
      </w:r>
    </w:p>
    <w:p>
      <w:pPr>
        <w:pStyle w:val="ListBullet"/>
        <w:spacing w:after="60" w:line="276" w:lineRule="auto"/>
        <w:ind w:left="360" w:hanging="259"/>
      </w:pPr>
      <w:r>
        <w:rPr>
          <w:rFonts w:ascii="Arial" w:hAnsi="Arial" w:eastAsia="Noto Sans SC"/>
          <w:color w:val="263238"/>
          <w:sz w:val="22"/>
        </w:rPr>
        <w:t>auth 与 activities 相关 E2E 测试能够执行并留存结果。</w:t>
      </w:r>
    </w:p>
    <w:p>
      <w:pPr>
        <w:pStyle w:val="Heading1"/>
      </w:pPr>
      <w:r>
        <w:t>九、建议下一步</w:t>
      </w:r>
    </w:p>
    <w:p>
      <w:pPr>
        <w:numPr>
          <w:ilvl w:val="0"/>
          <w:numId w:val="11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先完成本机 Docker Desktop、corepack / pnpm 与项目环境变量配置。</w:t>
      </w:r>
    </w:p>
    <w:p>
      <w:pPr>
        <w:numPr>
          <w:ilvl w:val="0"/>
          <w:numId w:val="11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严格按照仓库 README 与 Docker Compose 启动完整服务栈，不先重构代码。</w:t>
      </w:r>
    </w:p>
    <w:p>
      <w:pPr>
        <w:numPr>
          <w:ilvl w:val="0"/>
          <w:numId w:val="11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执行迁移与种子数据，验证 test / test 登录及活动主流程。</w:t>
      </w:r>
    </w:p>
    <w:p>
      <w:pPr>
        <w:numPr>
          <w:ilvl w:val="0"/>
          <w:numId w:val="11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将实际通过与失败的步骤记录为 UAT Preflight Evidence。</w:t>
      </w:r>
    </w:p>
    <w:p>
      <w:pPr>
        <w:numPr>
          <w:ilvl w:val="0"/>
          <w:numId w:val="11"/>
        </w:numPr>
        <w:spacing w:after="60" w:line="276" w:lineRule="auto"/>
        <w:ind w:left="461" w:hanging="317"/>
      </w:pPr>
      <w:r>
        <w:rPr>
          <w:rFonts w:ascii="Arial" w:hAnsi="Arial" w:eastAsia="Noto Sans SC"/>
          <w:color w:val="263238"/>
          <w:sz w:val="22"/>
        </w:rPr>
        <w:t>只有在明确缺口后，再使用 VAV 功能包流程建立独立分支、修改、测试并交付。</w:t>
      </w:r>
    </w:p>
    <w:p>
      <w:pPr>
        <w:spacing w:before="100" w:after="0" w:line="252" w:lineRule="auto"/>
      </w:pPr>
      <w:r>
        <w:rPr>
          <w:rFonts w:ascii="Arial" w:hAnsi="Arial" w:eastAsia="Noto Sans SC"/>
          <w:b/>
          <w:color w:val="C2185B"/>
          <w:sz w:val="19"/>
        </w:rPr>
        <w:t>最终判断：代码基础已存在，但尚未达到可直接对外进行 5–10 人 UAT 的状态；应先跑通运行环境、依赖链、数据初始化与活动报名主流程，再扩大功能范围。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SC"/>
        <w:color w:val="546E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Noto Sans SC"/>
        <w:color w:val="546E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SC"/>
        <w:b/>
        <w:color w:val="546E7A"/>
        <w:sz w:val="17"/>
      </w:rPr>
      <w:t>VAV PROJECT  |  UAT READINESS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Noto Sans SC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C218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C218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546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