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对称约束多法向附面层网格生成方法</w:t>
        <w:br/>
        <w:t>研究创新点整理</w:t>
      </w:r>
    </w:p>
    <w:p>
      <w:pPr>
        <w:pStyle w:val="NoteText"/>
        <w:jc w:val="center"/>
      </w:pPr>
      <w:r>
        <w:t>围绕 wall–symmetry 交界处的多法向配置、虚拟拓扑与对称面重构</w:t>
      </w:r>
    </w:p>
    <w:p>
      <w:pPr>
        <w:pStyle w:val="Heading1"/>
      </w:pPr>
      <w:r>
        <w:t>1. 研究背景与问题来源</w:t>
      </w:r>
    </w:p>
    <w:p>
      <w:pPr>
        <w:ind w:firstLine="420"/>
      </w:pPr>
      <w:r>
        <w:t>在 Advancing Layer Method（ALM）中，附面层网格质量高度依赖前沿顶点的推进方向。对于一般光滑壁面，单一法向通常能够满足推进需求；但在尖锐凸角、凹凸混合角和复杂连接处，单法向可能导致高畸变、负体积，甚至不存在同时对所有邻接面的合法推进方向。因此，已有研究引入 multiple normals、virtual topology 和 degenerated elements，以提高复杂角点处附面层生成的鲁棒性。</w:t>
      </w:r>
    </w:p>
    <w:p>
      <w:pPr>
        <w:ind w:firstLine="420"/>
      </w:pPr>
      <w:r>
        <w:t>另一方面，在 wall 与 symmetry plane 相交的位置，推进方向还受到额外的对称约束：为了保证新生成的前沿点始终位于对称面内，推进方向必须与对称面切向一致。现有工作通常将“复杂角点多法向”和“对称面特殊边界处理”分别解决，但针对 wall–symmetry 交界处的多法向方向、数量和虚拟拓扑进行统一约束建模的公开方法相对少见。</w:t>
      </w:r>
    </w:p>
    <w:p>
      <w:pPr>
        <w:pStyle w:val="Heading1"/>
      </w:pPr>
      <w:r>
        <w:t>2. 与现有多法向方法的关系</w:t>
      </w:r>
    </w:p>
    <w:p>
      <w:pPr>
        <w:ind w:firstLine="420"/>
      </w:pPr>
      <w:r>
        <w:t>Ye 等（2022）的多法向方法将复杂角点上的多个推进法向和虚拟拓扑统一映射到单位球上，并构造 local visibility graph。其核心约束包括 normal-to-facet visibility 与 normal-to-normal visibility，即既要保证每个局部表面片至少被一个法向“看见”，又要保证法向之间的虚拟连接不穿出 feasible region。该方法为一般 oriented manifold 上的复杂角点提供了较系统的统一框架。</w:t>
      </w:r>
    </w:p>
    <w:p>
      <w:pPr>
        <w:ind w:firstLine="420"/>
      </w:pPr>
      <w:r>
        <w:t>但是，对于 symmetry 顶点，仅满足普通 visibility 条件仍然不够。一个在三维空间中合法的法向可能具有指向对称面外的分量，导致推出后的节点离开 symmetry plane。因此，对称面问题并不是简单地把已有多法向结果“最后投影一下”，而更适合从候选空间和拓扑构造阶段就显式加入 symmetry constraint。</w:t>
      </w:r>
    </w:p>
    <w:p>
      <w:pPr>
        <w:pStyle w:val="Heading1"/>
      </w:pPr>
      <w:r>
        <w:t>3. 拟解决的研究空白</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AF7"/>
            <w:vAlign w:val="center"/>
          </w:tcPr>
          <w:p>
            <w:r>
              <w:rPr>
                <w:rFonts w:ascii="黑体" w:hAnsi="黑体" w:eastAsia="黑体"/>
                <w:b/>
              </w:rPr>
              <w:t>已有能力</w:t>
            </w:r>
          </w:p>
        </w:tc>
        <w:tc>
          <w:tcPr>
            <w:tcW w:type="dxa" w:w="3173"/>
            <w:shd w:fill="D9EAF7"/>
            <w:vAlign w:val="center"/>
          </w:tcPr>
          <w:p>
            <w:r>
              <w:rPr>
                <w:rFonts w:ascii="黑体" w:hAnsi="黑体" w:eastAsia="黑体"/>
                <w:b/>
              </w:rPr>
              <w:t>现有不足</w:t>
            </w:r>
          </w:p>
        </w:tc>
        <w:tc>
          <w:tcPr>
            <w:tcW w:type="dxa" w:w="3173"/>
            <w:shd w:fill="D9EAF7"/>
            <w:vAlign w:val="center"/>
          </w:tcPr>
          <w:p>
            <w:r>
              <w:rPr>
                <w:rFonts w:ascii="黑体" w:hAnsi="黑体" w:eastAsia="黑体"/>
                <w:b/>
              </w:rPr>
              <w:t>拟研究内容</w:t>
            </w:r>
          </w:p>
        </w:tc>
      </w:tr>
      <w:tr>
        <w:tc>
          <w:tcPr>
            <w:tcW w:type="dxa" w:w="3173"/>
            <w:vAlign w:val="center"/>
          </w:tcPr>
          <w:p>
            <w:pPr>
              <w:spacing w:after="40"/>
            </w:pPr>
            <w:r>
              <w:rPr>
                <w:rFonts w:ascii="宋体" w:hAnsi="宋体" w:eastAsia="宋体"/>
                <w:sz w:val="20"/>
              </w:rPr>
              <w:t>复杂 corner 多法向</w:t>
            </w:r>
          </w:p>
        </w:tc>
        <w:tc>
          <w:tcPr>
            <w:tcW w:type="dxa" w:w="3173"/>
            <w:vAlign w:val="center"/>
          </w:tcPr>
          <w:p>
            <w:pPr>
              <w:spacing w:after="40"/>
            </w:pPr>
            <w:r>
              <w:rPr>
                <w:rFonts w:ascii="宋体" w:hAnsi="宋体" w:eastAsia="宋体"/>
                <w:sz w:val="20"/>
              </w:rPr>
              <w:t>未显式加入对称面切向约束</w:t>
            </w:r>
          </w:p>
        </w:tc>
        <w:tc>
          <w:tcPr>
            <w:tcW w:type="dxa" w:w="3173"/>
            <w:vAlign w:val="center"/>
          </w:tcPr>
          <w:p>
            <w:pPr>
              <w:spacing w:after="40"/>
            </w:pPr>
            <w:r>
              <w:rPr>
                <w:rFonts w:ascii="宋体" w:hAnsi="宋体" w:eastAsia="宋体"/>
                <w:sz w:val="20"/>
              </w:rPr>
              <w:t>建立 symmetry-constrained normal feasible space</w:t>
            </w:r>
          </w:p>
        </w:tc>
      </w:tr>
      <w:tr>
        <w:tc>
          <w:tcPr>
            <w:tcW w:type="dxa" w:w="3173"/>
            <w:vAlign w:val="center"/>
          </w:tcPr>
          <w:p>
            <w:pPr>
              <w:spacing w:after="40"/>
            </w:pPr>
            <w:r>
              <w:rPr>
                <w:rFonts w:ascii="宋体" w:hAnsi="宋体" w:eastAsia="宋体"/>
                <w:sz w:val="20"/>
              </w:rPr>
              <w:t>对称面边界处理</w:t>
            </w:r>
          </w:p>
        </w:tc>
        <w:tc>
          <w:tcPr>
            <w:tcW w:type="dxa" w:w="3173"/>
            <w:vAlign w:val="center"/>
          </w:tcPr>
          <w:p>
            <w:pPr>
              <w:spacing w:after="40"/>
            </w:pPr>
            <w:r>
              <w:rPr>
                <w:rFonts w:ascii="宋体" w:hAnsi="宋体" w:eastAsia="宋体"/>
                <w:sz w:val="20"/>
              </w:rPr>
              <w:t>通常作为后处理或表面重构处理</w:t>
            </w:r>
          </w:p>
        </w:tc>
        <w:tc>
          <w:tcPr>
            <w:tcW w:type="dxa" w:w="3173"/>
            <w:vAlign w:val="center"/>
          </w:tcPr>
          <w:p>
            <w:pPr>
              <w:spacing w:after="40"/>
            </w:pPr>
            <w:r>
              <w:rPr>
                <w:rFonts w:ascii="宋体" w:hAnsi="宋体" w:eastAsia="宋体"/>
                <w:sz w:val="20"/>
              </w:rPr>
              <w:t>将 symmetry constraint 前置到多法向求解</w:t>
            </w:r>
          </w:p>
        </w:tc>
      </w:tr>
      <w:tr>
        <w:tc>
          <w:tcPr>
            <w:tcW w:type="dxa" w:w="3173"/>
            <w:vAlign w:val="center"/>
          </w:tcPr>
          <w:p>
            <w:pPr>
              <w:spacing w:after="40"/>
            </w:pPr>
            <w:r>
              <w:rPr>
                <w:rFonts w:ascii="宋体" w:hAnsi="宋体" w:eastAsia="宋体"/>
                <w:sz w:val="20"/>
              </w:rPr>
              <w:t>virtual topology</w:t>
            </w:r>
          </w:p>
        </w:tc>
        <w:tc>
          <w:tcPr>
            <w:tcW w:type="dxa" w:w="3173"/>
            <w:vAlign w:val="center"/>
          </w:tcPr>
          <w:p>
            <w:pPr>
              <w:spacing w:after="40"/>
            </w:pPr>
            <w:r>
              <w:rPr>
                <w:rFonts w:ascii="宋体" w:hAnsi="宋体" w:eastAsia="宋体"/>
                <w:sz w:val="20"/>
              </w:rPr>
              <w:t>主要针对一般 oriented manifold</w:t>
            </w:r>
          </w:p>
        </w:tc>
        <w:tc>
          <w:tcPr>
            <w:tcW w:type="dxa" w:w="3173"/>
            <w:vAlign w:val="center"/>
          </w:tcPr>
          <w:p>
            <w:pPr>
              <w:spacing w:after="40"/>
            </w:pPr>
            <w:r>
              <w:rPr>
                <w:rFonts w:ascii="宋体" w:hAnsi="宋体" w:eastAsia="宋体"/>
                <w:sz w:val="20"/>
              </w:rPr>
              <w:t>建立对称约束下的 virtual topology / stitching</w:t>
            </w:r>
          </w:p>
        </w:tc>
      </w:tr>
      <w:tr>
        <w:tc>
          <w:tcPr>
            <w:tcW w:type="dxa" w:w="3173"/>
            <w:vAlign w:val="center"/>
          </w:tcPr>
          <w:p>
            <w:pPr>
              <w:spacing w:after="40"/>
            </w:pPr>
            <w:r>
              <w:rPr>
                <w:rFonts w:ascii="宋体" w:hAnsi="宋体" w:eastAsia="宋体"/>
                <w:sz w:val="20"/>
              </w:rPr>
              <w:t>symmetry remeshing</w:t>
            </w:r>
          </w:p>
        </w:tc>
        <w:tc>
          <w:tcPr>
            <w:tcW w:type="dxa" w:w="3173"/>
            <w:vAlign w:val="center"/>
          </w:tcPr>
          <w:p>
            <w:pPr>
              <w:spacing w:after="40"/>
            </w:pPr>
            <w:r>
              <w:rPr>
                <w:rFonts w:ascii="宋体" w:hAnsi="宋体" w:eastAsia="宋体"/>
                <w:sz w:val="20"/>
              </w:rPr>
              <w:t>与法向配置相对解耦</w:t>
            </w:r>
          </w:p>
        </w:tc>
        <w:tc>
          <w:tcPr>
            <w:tcW w:type="dxa" w:w="3173"/>
            <w:vAlign w:val="center"/>
          </w:tcPr>
          <w:p>
            <w:pPr>
              <w:spacing w:after="40"/>
            </w:pPr>
            <w:r>
              <w:rPr>
                <w:rFonts w:ascii="宋体" w:hAnsi="宋体" w:eastAsia="宋体"/>
                <w:sz w:val="20"/>
              </w:rPr>
              <w:t>联合 normal configuration 与 symmetry surface reconstruction</w:t>
            </w:r>
          </w:p>
        </w:tc>
      </w:tr>
    </w:tbl>
    <w:p>
      <w:pPr>
        <w:pStyle w:val="Heading1"/>
      </w:pPr>
      <w:r>
        <w:t>4. 核心创新思路：Symmetry-Constrained Multiple Normals</w:t>
      </w:r>
    </w:p>
    <w:p>
      <w:pPr>
        <w:ind w:firstLine="420"/>
      </w:pPr>
      <w:r>
        <w:t>设 wall–symmetry 交界顶点为 P，对称面的单位法向为 n_s。普通多法向算法在单位球 S² 上的 feasible region F′ 中寻找候选法向。对于对称面顶点，所有合法推进方向 d_i 应额外满足：</w:t>
      </w:r>
    </w:p>
    <w:p>
      <w:pPr>
        <w:spacing w:before="60" w:after="100"/>
        <w:jc w:val="center"/>
      </w:pPr>
      <w:r>
        <w:rPr>
          <w:rFonts w:ascii="Cambria Math" w:hAnsi="Cambria Math" w:eastAsia="Cambria Math"/>
          <w:sz w:val="23"/>
        </w:rPr>
        <w:t>dᵢ · nₛ = 0</w:t>
      </w:r>
    </w:p>
    <w:p>
      <w:pPr>
        <w:ind w:firstLine="420"/>
      </w:pPr>
      <w:r>
        <w:t>因此，对称约束下的候选空间可定义为普通 feasible region 与 symmetry great circle 的交集：</w:t>
      </w:r>
    </w:p>
    <w:p>
      <w:pPr>
        <w:spacing w:before="60" w:after="100"/>
        <w:jc w:val="center"/>
      </w:pPr>
      <w:r>
        <w:rPr>
          <w:rFonts w:ascii="Cambria Math" w:hAnsi="Cambria Math" w:eastAsia="Cambria Math"/>
          <w:sz w:val="23"/>
        </w:rPr>
        <w:t>F′ₛ = F′ ∩ Cₛ,    Cₛ = { d ∈ S² | d · nₛ = 0 }</w:t>
      </w:r>
    </w:p>
    <w:p>
      <w:pPr>
        <w:ind w:firstLine="420"/>
      </w:pPr>
      <w:r>
        <w:t>其中 C_s 是单位球上由对称面切空间对应的一条大圆。这样，普通多法向中的二维球面搜索被约束为大圆上的一维区间搜索。该约束不是后处理，而是直接参与候选法向生成、可见性判定和虚拟拓扑构造。</w:t>
      </w:r>
    </w:p>
    <w:p>
      <w:pPr>
        <w:pStyle w:val="Heading2"/>
      </w:pPr>
      <w:r>
        <w:t>4.1 单法向 / 多法向自动切换</w:t>
      </w:r>
    </w:p>
    <w:p>
      <w:pPr>
        <w:ind w:firstLine="420"/>
      </w:pPr>
      <w:r>
        <w:t>若所有 wall 邻接面在 C_s 上仍存在公共 visible interval，则采用一个 symmetry-constrained single normal；若公共区间为空，则将邻接 wall facets 划分为若干连续子集 F₁, F₂, …, F_m，并分别在 V′(F_i) ∩ C_s 中寻找代表法向。这样，多法向的产生由对称约束下的可见性失败自动触发，而不是依赖单纯的二面角阈值。</w:t>
      </w:r>
    </w:p>
    <w:p>
      <w:pPr>
        <w:pStyle w:val="Heading2"/>
      </w:pPr>
      <w:r>
        <w:t>4.2 对称约束下的局部可见图</w:t>
      </w:r>
    </w:p>
    <w:p>
      <w:pPr>
        <w:ind w:firstLine="420"/>
      </w:pPr>
      <w:r>
        <w:t>可进一步定义对称约束局部可见图 G_s = (V_s, E_s)。其顶点集合 V_s 为满足 symmetry constraint 的多个法向，边集合 E_s 表示合法的虚拟连接。与一般多法向相比，需要同时满足三类条件：</w:t>
      </w:r>
    </w:p>
    <w:p>
      <w:pPr>
        <w:ind w:left="397" w:firstLine="0"/>
      </w:pPr>
      <w:r>
        <w:t>（1）Normal-to-facet visibility：每个 wall facet 至少由一个法向覆盖；</w:t>
      </w:r>
    </w:p>
    <w:p>
      <w:pPr>
        <w:ind w:left="397" w:firstLine="0"/>
      </w:pPr>
      <w:r>
        <w:t>（2）Normal-to-normal visibility：法向之间的虚拟连接不穿出局部可行域；</w:t>
      </w:r>
    </w:p>
    <w:p>
      <w:pPr>
        <w:ind w:left="397" w:firstLine="0"/>
      </w:pPr>
      <w:r>
        <w:t>（3）Normal-to-symmetry constraint：所有法向严格位于对称面切空间内，即 dᵢ · nₛ = 0。</w:t>
      </w:r>
    </w:p>
    <w:p>
      <w:pPr>
        <w:pStyle w:val="Heading2"/>
      </w:pPr>
      <w:r>
        <w:t>4.3 多法向与 symmetry surface reconstruction 联合处理</w:t>
      </w:r>
    </w:p>
    <w:p>
      <w:pPr>
        <w:ind w:firstLine="420"/>
      </w:pPr>
      <w:r>
        <w:t>多法向一旦改变 wall–symmetry 交线顶点的复制数量和连接关系，就会同步改变对称面上的局部边界。因此，研究中不宜把 symmetry remeshing 作为完全独立的后处理，而应由多法向 virtual topology 直接提供对称面重构边界：交线方向优先生成结构化或半结构化的 quad strip，必要位置采用 triangle transition，再对剩余 symmetry surface 进行重构。这样可避免“wall 推出后再被动修补 symmetry 面”的不一致。</w:t>
      </w:r>
    </w:p>
    <w:p>
      <w:pPr>
        <w:pStyle w:val="Heading1"/>
      </w:pPr>
      <w:r>
        <w:t>5. 可形成的主要创新点</w:t>
      </w:r>
    </w:p>
    <w:p>
      <w:pPr>
        <w:ind w:firstLine="0" w:left="170"/>
      </w:pPr>
      <w:r>
        <w:rPr>
          <w:b/>
        </w:rPr>
        <w:t xml:space="preserve">创新点 1：建立对称约束多法向的统一数学模型。 </w:t>
      </w:r>
      <w:r>
        <w:t>在普通球面 visibility framework 中显式加入 symmetry tangent constraint，将 wall–symmetry 顶点的多法向问题统一表述为 constrained visibility graph 问题。</w:t>
      </w:r>
    </w:p>
    <w:p>
      <w:pPr>
        <w:ind w:firstLine="0" w:left="170"/>
      </w:pPr>
      <w:r>
        <w:rPr>
          <w:b/>
        </w:rPr>
        <w:t xml:space="preserve">创新点 2：提出大圆约束下的多法向搜索与法向数量判定方法。 </w:t>
      </w:r>
      <w:r>
        <w:t>研究 single normal 何时失效、何时必须分裂为 multiple normals，并尝试给出解存在性条件以及法向数量上界。</w:t>
      </w:r>
    </w:p>
    <w:p>
      <w:pPr>
        <w:ind w:firstLine="0" w:left="170"/>
      </w:pPr>
      <w:r>
        <w:rPr>
          <w:b/>
        </w:rPr>
        <w:t xml:space="preserve">创新点 3：联合求解法向配置、虚拟拓扑和对称面重构。 </w:t>
      </w:r>
      <w:r>
        <w:t>由 multi-normal topology 直接驱动 symmetry boundary strip 与局部 quad/triangle reconstruction，保证壁面附面层和对称面拓扑一致。</w:t>
      </w:r>
    </w:p>
    <w:p>
      <w:pPr>
        <w:ind w:firstLine="0" w:left="170"/>
      </w:pPr>
      <w:r>
        <w:rPr>
          <w:b/>
        </w:rPr>
        <w:t xml:space="preserve">创新点 4：向 internal / non-manifold constraint 扩展。 </w:t>
      </w:r>
      <w:r>
        <w:t>在后续工作中可将 symmetry constraint 推广为一般 constraint-aware multiple-normal framework，为 wall、symmetry、internal 等不同约束面建立统一处理机制。</w:t>
      </w:r>
    </w:p>
    <w:p>
      <w:pPr>
        <w:pStyle w:val="Heading1"/>
      </w:pPr>
      <w:r>
        <w:t>6. 建议的算法技术路线</w:t>
      </w:r>
    </w:p>
    <w:p>
      <w:pPr>
        <w:ind w:left="227" w:firstLine="0"/>
      </w:pPr>
      <w:r>
        <w:rPr>
          <w:b/>
        </w:rPr>
        <w:t xml:space="preserve">1. </w:t>
      </w:r>
      <w:r>
        <w:t>识别 wall–symmetry 交界顶点，并构造该顶点的 wall facet fan、symmetry plane normal 及局部 ridge 信息。</w:t>
      </w:r>
    </w:p>
    <w:p>
      <w:pPr>
        <w:ind w:left="227" w:firstLine="0"/>
      </w:pPr>
      <w:r>
        <w:rPr>
          <w:b/>
        </w:rPr>
        <w:t xml:space="preserve">2. </w:t>
      </w:r>
      <w:r>
        <w:t>按照普通多法向方法建立 wall 几何对应的 visible region / feasible region。</w:t>
      </w:r>
    </w:p>
    <w:p>
      <w:pPr>
        <w:ind w:left="227" w:firstLine="0"/>
      </w:pPr>
      <w:r>
        <w:rPr>
          <w:b/>
        </w:rPr>
        <w:t xml:space="preserve">3. </w:t>
      </w:r>
      <w:r>
        <w:t>用 d · n_s = 0 将候选方向限制到单位球上的 symmetry great circle。</w:t>
      </w:r>
    </w:p>
    <w:p>
      <w:pPr>
        <w:ind w:left="227" w:firstLine="0"/>
      </w:pPr>
      <w:r>
        <w:rPr>
          <w:b/>
        </w:rPr>
        <w:t xml:space="preserve">4. </w:t>
      </w:r>
      <w:r>
        <w:t>在 great circle 上计算 facet-visible intervals，并判断是否存在公共 single-normal interval。</w:t>
      </w:r>
    </w:p>
    <w:p>
      <w:pPr>
        <w:ind w:left="227" w:firstLine="0"/>
      </w:pPr>
      <w:r>
        <w:rPr>
          <w:b/>
        </w:rPr>
        <w:t xml:space="preserve">5. </w:t>
      </w:r>
      <w:r>
        <w:t>若不存在公共区间，则进行 facet partition，生成多个 symmetry-constrained representative normals。</w:t>
      </w:r>
    </w:p>
    <w:p>
      <w:pPr>
        <w:ind w:left="227" w:firstLine="0"/>
      </w:pPr>
      <w:r>
        <w:rPr>
          <w:b/>
        </w:rPr>
        <w:t xml:space="preserve">6. </w:t>
      </w:r>
      <w:r>
        <w:t>构造 G_s = (V_s, E_s)，检查 normal-to-facet、normal-to-normal 和 symmetry constraint。</w:t>
      </w:r>
    </w:p>
    <w:p>
      <w:pPr>
        <w:ind w:left="227" w:firstLine="0"/>
      </w:pPr>
      <w:r>
        <w:rPr>
          <w:b/>
        </w:rPr>
        <w:t xml:space="preserve">7. </w:t>
      </w:r>
      <w:r>
        <w:t>优化法向位置与 virtual topology，目标可同时考虑第一层 Jacobian、正交性、最小角和后续层可生长性。</w:t>
      </w:r>
    </w:p>
    <w:p>
      <w:pPr>
        <w:ind w:left="227" w:firstLine="0"/>
      </w:pPr>
      <w:r>
        <w:rPr>
          <w:b/>
        </w:rPr>
        <w:t xml:space="preserve">8. </w:t>
      </w:r>
      <w:r>
        <w:t>根据 multi-normal connection 在 symmetry plane 上生成 / 重构 quad–triangle strip，并与 wall 层进行 conformal stitching。</w:t>
      </w:r>
    </w:p>
    <w:p>
      <w:pPr>
        <w:ind w:left="227" w:firstLine="0"/>
      </w:pPr>
      <w:r>
        <w:rPr>
          <w:b/>
        </w:rPr>
        <w:t xml:space="preserve">9. </w:t>
      </w:r>
      <w:r>
        <w:t>进入后续 normal smoothing、collision detection、layer termination 和完整附面层推进。</w:t>
      </w:r>
    </w:p>
    <w:p>
      <w:pPr>
        <w:pStyle w:val="Heading1"/>
      </w:pPr>
      <w:r>
        <w:t>7. 需要验证的关键科学与工程问题</w:t>
      </w:r>
    </w:p>
    <w:p>
      <w:pPr>
        <w:pStyle w:val="ListBullet"/>
        <w:ind w:left="340" w:hanging="142"/>
      </w:pPr>
      <w:r>
        <w:t>在什么几何条件下，普通三维 single normal 合法，但 symmetry-constrained single normal 不存在？</w:t>
      </w:r>
    </w:p>
    <w:p>
      <w:pPr>
        <w:pStyle w:val="ListBullet"/>
        <w:ind w:left="340" w:hanging="142"/>
      </w:pPr>
      <w:r>
        <w:t>对于给定 wall facet fan 与 symmetry plane，是否总能找到有限个满足约束的多法向？若能，法向数量上界如何估计？</w:t>
      </w:r>
    </w:p>
    <w:p>
      <w:pPr>
        <w:pStyle w:val="ListBullet"/>
        <w:ind w:left="340" w:hanging="142"/>
      </w:pPr>
      <w:r>
        <w:t>直接约束求解与“普通多法向后投影到 symmetry plane”相比，哪一种在第一层正体积率、最差 skewness 和后续层可生长性方面更好？</w:t>
      </w:r>
    </w:p>
    <w:p>
      <w:pPr>
        <w:pStyle w:val="ListBullet"/>
        <w:ind w:left="340" w:hanging="142"/>
      </w:pPr>
      <w:r>
        <w:t>多法向产生的 virtual topology 如何在 symmetry plane 上稳定生成 conformal quad / triangle strip？</w:t>
      </w:r>
    </w:p>
    <w:p>
      <w:pPr>
        <w:pStyle w:val="ListBullet"/>
        <w:ind w:left="340" w:hanging="142"/>
      </w:pPr>
      <w:r>
        <w:t>当 symmetry 与 internal、wall 形成更复杂的非流形交界时，如何先拆分 manifold fan，再进行约束多法向求解？</w:t>
      </w:r>
    </w:p>
    <w:p>
      <w:pPr>
        <w:pStyle w:val="Heading1"/>
      </w:pPr>
      <w:r>
        <w:t>8. 论文创新表述建议与边界</w:t>
      </w:r>
    </w:p>
    <w:p>
      <w:pPr>
        <w:ind w:firstLine="420"/>
      </w:pPr>
      <w:r>
        <w:t>建议避免直接表述“首次提出对称面多法向”。已有文献已经分别涉及 complex-corner multiple normals、symmetry plane 特殊处理以及 symmetry surface remeshing，因此更稳妥的创新表述应强调“统一约束建模”和“联合求解”。</w:t>
      </w:r>
    </w:p>
    <w:p>
      <w:pPr>
        <w:ind w:left="397" w:right="397" w:firstLine="0"/>
      </w:pPr>
      <w:r>
        <w:rPr>
          <w:b/>
        </w:rPr>
        <w:t>推荐表述：提出一种面向 wall–symmetry 交界的对称约束多法向配置方法，在单位球可见性框架中显式引入 symmetry tangent constraint，联合确定多法向数量、方向和虚拟拓扑，并以该拓扑驱动对称面局部重构，从而提高复杂对称边界处附面层网格生成的鲁棒性与一致性。</w:t>
      </w:r>
    </w:p>
    <w:p>
      <w:pPr>
        <w:pStyle w:val="Heading1"/>
      </w:pPr>
      <w:r>
        <w:t>9. 可选论文题目</w:t>
      </w:r>
    </w:p>
    <w:p>
      <w:pPr>
        <w:pStyle w:val="ListBullet"/>
        <w:ind w:left="340" w:hanging="142"/>
      </w:pPr>
      <w:r>
        <w:t>Symmetry-Constrained Multiple Normal Configuration for Advancing-Layer Viscous Mesh Generation</w:t>
      </w:r>
    </w:p>
    <w:p>
      <w:pPr>
        <w:pStyle w:val="ListBullet"/>
        <w:ind w:left="340" w:hanging="142"/>
      </w:pPr>
      <w:r>
        <w:t>A Constraint-Aware Multiple-Normal Method for Boundary-Layer Mesh Generation at Symmetry Intersections</w:t>
      </w:r>
    </w:p>
    <w:p>
      <w:pPr>
        <w:pStyle w:val="ListBullet"/>
        <w:ind w:left="340" w:hanging="142"/>
      </w:pPr>
      <w:r>
        <w:t>面向附面层网格生成的对称约束多法向配置方法</w:t>
      </w:r>
    </w:p>
    <w:p>
      <w:pPr>
        <w:pStyle w:val="ListBullet"/>
        <w:ind w:left="340" w:hanging="142"/>
      </w:pPr>
      <w:r>
        <w:t>面向复杂约束边界的多法向附面层网格生成与局部表面重构方法</w:t>
      </w:r>
    </w:p>
    <w:p>
      <w:pPr>
        <w:pStyle w:val="Heading1"/>
      </w:pPr>
      <w:r>
        <w:t>参考文献（与本研究点直接相关）</w:t>
      </w:r>
    </w:p>
    <w:p>
      <w:pPr>
        <w:ind w:left="283" w:hanging="283"/>
      </w:pPr>
      <w:r>
        <w:t>[1] Ye H., Chen J., Liu T., et al. Multiple normals configuration on an arbitrary manifold for viscous mesh generation. International Journal for Numerical Methods in Engineering, 2022, 123(24): 6079–6110.</w:t>
      </w:r>
    </w:p>
    <w:p>
      <w:pPr>
        <w:ind w:left="283" w:hanging="283"/>
      </w:pPr>
      <w:r>
        <w:t>[2] Aubry R., Löhner R. Generation of viscous grids at ridges and corners. International Journal for Numerical Methods in Engineering, 2009, 77(9): 1247–1289.</w:t>
      </w:r>
    </w:p>
    <w:p>
      <w:pPr>
        <w:ind w:left="283" w:hanging="283"/>
      </w:pPr>
      <w:r>
        <w:t>[3] Ye H., Liu Y., Chen B., et al. Hybrid grid generation for viscous flow simulations in complex geometries. Advances in Aerodynamics, 2020, 2: 17.</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7"/>
      </w:rPr>
      <w:t>对称约束多法向研究创新点整理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Text">
    <w:name w:val="NoteText"/>
    <w:pPr>
      <w:spacing w:line="300" w:lineRule="auto" w:after="80"/>
    </w:pPr>
    <w:rPr>
      <w:rFonts w:ascii="宋体" w:hAnsi="宋体" w:eastAsia="宋体"/>
      <w:i/>
      <w:color w:val="5A5A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