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sz w:val="48"/>
        </w:rPr>
        <w:t>基于最小距离场的</w:t>
        <w:br/>
        <w:t>边界层厚度预测器</w:t>
      </w:r>
    </w:p>
    <w:p>
      <w:pPr>
        <w:jc w:val="center"/>
      </w:pPr>
      <w:r>
        <w:rPr>
          <w:rFonts w:ascii="Noto Sans CJK SC" w:hAnsi="Noto Sans CJK SC" w:eastAsia="Noto Sans CJK SC"/>
          <w:b/>
          <w:sz w:val="28"/>
        </w:rPr>
        <w:t>项目计划书与 Codex 分布式执行 TODO</w:t>
      </w:r>
    </w:p>
    <w:p>
      <w:pPr>
        <w:spacing w:before="440"/>
        <w:jc w:val="center"/>
      </w:pPr>
      <w:r>
        <w:rPr>
          <w:rFonts w:ascii="Noto Sans CJK SC" w:hAnsi="Noto Sans CJK SC" w:eastAsia="Noto Sans CJK SC"/>
          <w:i/>
          <w:sz w:val="22"/>
        </w:rPr>
        <w:t>Distance-Field-Based Boundary-Layer Thickness Predictor</w:t>
      </w:r>
    </w:p>
    <w:p>
      <w:pPr>
        <w:spacing w:before="1200"/>
        <w:jc w:val="center"/>
      </w:pPr>
      <w:r>
        <w:rPr>
          <w:rFonts w:ascii="Noto Sans CJK SC" w:hAnsi="Noto Sans CJK SC" w:eastAsia="Noto Sans CJK SC"/>
          <w:sz w:val="20"/>
        </w:rPr>
        <w:t>版本：V1.0   |   用途：Codex 项目实施总纲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范围：仅预测局部几何厚度上限，不负责后续法向/厚度平滑与棱柱层生成</w:t>
      </w:r>
    </w:p>
    <w:p>
      <w:r>
        <w:br w:type="page"/>
      </w:r>
    </w:p>
    <w:p>
      <w:pPr>
        <w:pStyle w:val="Heading1"/>
      </w:pPr>
      <w:r>
        <w:t>文档结构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1134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章节</w:t>
            </w:r>
          </w:p>
        </w:tc>
        <w:tc>
          <w:tcPr>
            <w:tcW w:type="dxa" w:w="6803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项目目标与理论依据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项目范围与输入输出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总体算法架构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核心数据结构与软件目录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各模块详细设计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邻近单元/局部特征排除模块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分布式 Work Package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TODO-001～050 执行清单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Milestone 与验收标准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标准算例与鲁棒性验证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性能目标与 Profiling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Debug 可视化与诊断输出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Codex 执行规则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14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最终交付物与风险控制</w:t>
            </w:r>
          </w:p>
        </w:tc>
      </w:tr>
    </w:tbl>
    <w:p>
      <w:r>
        <w:br w:type="page"/>
      </w:r>
    </w:p>
    <w:p>
      <w:pPr>
        <w:pStyle w:val="Heading1"/>
      </w:pPr>
      <w:r>
        <w:t>1 项目目标与理论依据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本项目拟实现一个独立的边界层厚度预测模块。模块以离散三角表面及其生长侧为输入，不沿初始法向射线直接决定最大厚度，而是利用最小距离场中的多源竞争结构，识别真正会限制局部边界层空间容量的非局部几何事件，并将这些事件局部归因回原始表面。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核心输出为定义在表面上的局部几何容量场 D_cap(p)。它表达的是：在允许后续 strand 弯曲、CLOVIS 式切向偏移及 marching-vector/spring smoothing 的前提下，表面位置 p 在纯几何意义上的最大可增长厚度上限。</w:t>
      </w:r>
    </w:p>
    <w:p>
      <w:pPr>
        <w:spacing w:before="60" w:after="100"/>
        <w:jc w:val="center"/>
      </w:pPr>
      <w:r>
        <w:rPr>
          <w:rFonts w:ascii="DejaVu Serif" w:hAnsi="DejaVu Serif" w:eastAsia="Noto Serif CJK SC"/>
          <w:sz w:val="22"/>
        </w:rPr>
        <w:t>Surface S  →  D_cap(p)  →  D_safe(p)=η·D_cap(p)  →  h₁(p)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传统 MMD 方法沿给定 marching direction 搜索射线前方的边界，因此计算高效，但在接近 90° 的凹角附近，MMD 本身可能为很大值，真实碰撞仍需依赖 marching-vector smoothing、局部步长调整和 multilevel-difference 控制。最小距离场方法则天然允许 envelope 在凹区发生弯曲，更符合本项目“厚度预测与后续生长方向解耦”的目标。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本项目不尝试构造完整精确的三维 medial axis。完整 medial axis 对三角离散、局部噪声和 sharp feature 非常敏感，而且其完整拓扑并不是厚度预测所必需。本项目只提取对厚度有意义的 critical competition events，并通过 local-feature rejection、candidate persistence 和 source attribution 得到稳定的 D_cap 场。</w:t>
      </w:r>
    </w:p>
    <w:p>
      <w:pPr>
        <w:pStyle w:val="Heading1"/>
      </w:pPr>
      <w:r>
        <w:t>2 项目范围与输入输出</w:t>
      </w:r>
    </w:p>
    <w:p>
      <w:pPr>
        <w:pStyle w:val="Heading2"/>
      </w:pPr>
      <w:r>
        <w:t>2.1 输入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输入项</w:t>
            </w:r>
          </w:p>
        </w:tc>
        <w:tc>
          <w:tcPr>
            <w:tcW w:type="dxa" w:w="6236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TriangularSurfaceMesh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原始三角表面网格；必须具有可用的点、边、面拓扑。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GrowthSide / domain information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指定边界层向哪一侧生长；闭合表面可由 orientation + inside/outside 定义，开放 patch 需显式指定。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目标棱柱层数。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相邻层厚度增长率。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η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几何安全系数；初始默认值可设为 0.60，但作为本项目自己的可调参数。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D_search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最大几何搜索尺度；当几何本身无限制时，返回 UNBOUNDED 而不是强行给有限厚度。</w:t>
            </w:r>
          </w:p>
        </w:tc>
      </w:tr>
    </w:tbl>
    <w:p>
      <w:pPr>
        <w:pStyle w:val="Heading2"/>
      </w:pPr>
      <w:r>
        <w:t>2.2 输出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输出项</w:t>
            </w:r>
          </w:p>
        </w:tc>
        <w:tc>
          <w:tcPr>
            <w:tcW w:type="dxa" w:w="6236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D_cap(v)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每个表面顶点的原始局部几何容量。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D_safe(v)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η·D_cap(v)。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first_layer_height(v)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由 N、r 和 D_safe 反推出的建议第一层厚度。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bounded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区分真实有限约束与 UNBOUNDED / search-limit 截断。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limiting_candidate_id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限制该顶点厚度的 candidate，用于 debug。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candidate metadata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可选输出 candidate center、radius、source points、source triangles、classification、confidence。</w:t>
            </w:r>
          </w:p>
        </w:tc>
      </w:tr>
    </w:tbl>
    <w:p>
      <w:pPr>
        <w:spacing w:before="60" w:after="100"/>
        <w:jc w:val="center"/>
      </w:pPr>
      <w:r>
        <w:rPr>
          <w:rFonts w:ascii="DejaVu Serif" w:hAnsi="DejaVu Serif" w:eastAsia="Noto Serif CJK SC"/>
          <w:sz w:val="22"/>
        </w:rPr>
        <w:t>h₁ = D_safe·(r−1)/(rᴺ−1),   r ≠ 1</w:t>
      </w:r>
    </w:p>
    <w:p>
      <w:pPr>
        <w:spacing w:before="60" w:after="100"/>
        <w:jc w:val="center"/>
      </w:pPr>
      <w:r>
        <w:rPr>
          <w:rFonts w:ascii="DejaVu Serif" w:hAnsi="DejaVu Serif" w:eastAsia="Noto Serif CJK SC"/>
          <w:sz w:val="22"/>
        </w:rPr>
        <w:t>h₁ = D_safe/N,   r = 1</w:t>
      </w:r>
    </w:p>
    <w:p>
      <w:pPr>
        <w:pStyle w:val="Heading2"/>
      </w:pPr>
      <w:r>
        <w:t>2.3 明确不属于本项目的内容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marching-vector smoothing / normal smoothing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thickness-field smoothing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CLOVIS point placement 本身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spring smoothing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prism / strand extrusion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layer termination propagation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cliff-point treatment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tetrahedron / pyramid transition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最终 prism quality / Jacobian repair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以上功能全部留给后续边界层生成模块。厚度预测器不传播停止状态，不对相邻顶点厚度做平滑，也不因为一个局部狭窄处先达到上限而将整个 connected component 的 D_cap 压低。</w:t>
      </w:r>
    </w:p>
    <w:p>
      <w:pPr>
        <w:pStyle w:val="Heading1"/>
      </w:pPr>
      <w:r>
        <w:t>3 总体算法架构</w:t>
      </w:r>
    </w:p>
    <w:p>
      <w:pPr>
        <w:spacing w:before="60" w:after="120"/>
        <w:ind w:left="340" w:right="227"/>
        <w:shd w:fill="F4F6F8"/>
      </w:pPr>
      <w:r>
        <w:rPr>
          <w:rFonts w:ascii="DejaVu Sans Mono" w:hAnsi="DejaVu Sans Mono" w:eastAsia="Noto Sans Mono CJK SC"/>
          <w:sz w:val="17"/>
        </w:rPr>
        <w:t>Triangular surface S</w:t>
        <w:br/>
      </w:r>
      <w:r>
        <w:rPr>
          <w:rFonts w:ascii="DejaVu Sans Mono" w:hAnsi="DejaVu Sans Mono" w:eastAsia="Noto Sans Mono CJK SC"/>
          <w:sz w:val="17"/>
        </w:rPr>
        <w:t xml:space="preserve">    │</w:t>
        <w:br/>
      </w:r>
      <w:r>
        <w:rPr>
          <w:rFonts w:ascii="DejaVu Sans Mono" w:hAnsi="DejaVu Sans Mono" w:eastAsia="Noto Sans Mono CJK SC"/>
          <w:sz w:val="17"/>
        </w:rPr>
        <w:t xml:space="preserve">    ▼</w:t>
        <w:br/>
      </w:r>
      <w:r>
        <w:rPr>
          <w:rFonts w:ascii="DejaVu Sans Mono" w:hAnsi="DejaVu Sans Mono" w:eastAsia="Noto Sans Mono CJK SC"/>
          <w:sz w:val="17"/>
        </w:rPr>
        <w:t>Surface validation + growth-side definition</w:t>
        <w:br/>
      </w:r>
      <w:r>
        <w:rPr>
          <w:rFonts w:ascii="DejaVu Sans Mono" w:hAnsi="DejaVu Sans Mono" w:eastAsia="Noto Sans Mono CJK SC"/>
          <w:sz w:val="17"/>
        </w:rPr>
        <w:t xml:space="preserve">    │</w:t>
        <w:br/>
      </w:r>
      <w:r>
        <w:rPr>
          <w:rFonts w:ascii="DejaVu Sans Mono" w:hAnsi="DejaVu Sans Mono" w:eastAsia="Noto Sans Mono CJK SC"/>
          <w:sz w:val="17"/>
        </w:rPr>
        <w:t xml:space="preserve">    ├─────────────► Feature topology</w:t>
        <w:br/>
      </w:r>
      <w:r>
        <w:rPr>
          <w:rFonts w:ascii="DejaVu Sans Mono" w:hAnsi="DejaVu Sans Mono" w:eastAsia="Noto Sans Mono CJK SC"/>
          <w:sz w:val="17"/>
        </w:rPr>
        <w:t xml:space="preserve">    │                smooth patch / ridge / corner</w:t>
        <w:br/>
      </w:r>
      <w:r>
        <w:rPr>
          <w:rFonts w:ascii="DejaVu Sans Mono" w:hAnsi="DejaVu Sans Mono" w:eastAsia="Noto Sans Mono CJK SC"/>
          <w:sz w:val="17"/>
        </w:rPr>
        <w:t xml:space="preserve">    ▼</w:t>
        <w:br/>
      </w:r>
      <w:r>
        <w:rPr>
          <w:rFonts w:ascii="DejaVu Sans Mono" w:hAnsi="DejaVu Sans Mono" w:eastAsia="Noto Sans Mono CJK SC"/>
          <w:sz w:val="17"/>
        </w:rPr>
        <w:t>BVH / exact point-to-triangle distance</w:t>
        <w:br/>
      </w:r>
      <w:r>
        <w:rPr>
          <w:rFonts w:ascii="DejaVu Sans Mono" w:hAnsi="DejaVu Sans Mono" w:eastAsia="Noto Sans Mono CJK SC"/>
          <w:sz w:val="17"/>
        </w:rPr>
        <w:t xml:space="preserve">    │</w:t>
        <w:br/>
      </w:r>
      <w:r>
        <w:rPr>
          <w:rFonts w:ascii="DejaVu Sans Mono" w:hAnsi="DejaVu Sans Mono" w:eastAsia="Noto Sans Mono CJK SC"/>
          <w:sz w:val="17"/>
        </w:rPr>
        <w:t xml:space="preserve">    ▼</w:t>
        <w:br/>
      </w:r>
      <w:r>
        <w:rPr>
          <w:rFonts w:ascii="DejaVu Sans Mono" w:hAnsi="DejaVu Sans Mono" w:eastAsia="Noto Sans Mono CJK SC"/>
          <w:sz w:val="17"/>
        </w:rPr>
        <w:t>Candidate-region seeding</w:t>
        <w:br/>
      </w:r>
      <w:r>
        <w:rPr>
          <w:rFonts w:ascii="DejaVu Sans Mono" w:hAnsi="DejaVu Sans Mono" w:eastAsia="Noto Sans Mono CJK SC"/>
          <w:sz w:val="17"/>
        </w:rPr>
        <w:t xml:space="preserve">    │</w:t>
        <w:br/>
      </w:r>
      <w:r>
        <w:rPr>
          <w:rFonts w:ascii="DejaVu Sans Mono" w:hAnsi="DejaVu Sans Mono" w:eastAsia="Noto Sans Mono CJK SC"/>
          <w:sz w:val="17"/>
        </w:rPr>
        <w:t xml:space="preserve">    ▼</w:t>
        <w:br/>
      </w:r>
      <w:r>
        <w:rPr>
          <w:rFonts w:ascii="DejaVu Sans Mono" w:hAnsi="DejaVu Sans Mono" w:eastAsia="Noto Sans Mono CJK SC"/>
          <w:sz w:val="17"/>
        </w:rPr>
        <w:t>Adaptive minimum-distance sampling</w:t>
        <w:br/>
      </w:r>
      <w:r>
        <w:rPr>
          <w:rFonts w:ascii="DejaVu Sans Mono" w:hAnsi="DejaVu Sans Mono" w:eastAsia="Noto Sans Mono CJK SC"/>
          <w:sz w:val="17"/>
        </w:rPr>
        <w:t xml:space="preserve">    │</w:t>
        <w:br/>
      </w:r>
      <w:r>
        <w:rPr>
          <w:rFonts w:ascii="DejaVu Sans Mono" w:hAnsi="DejaVu Sans Mono" w:eastAsia="Noto Sans Mono CJK SC"/>
          <w:sz w:val="17"/>
        </w:rPr>
        <w:t xml:space="preserve">    ▼</w:t>
        <w:br/>
      </w:r>
      <w:r>
        <w:rPr>
          <w:rFonts w:ascii="DejaVu Sans Mono" w:hAnsi="DejaVu Sans Mono" w:eastAsia="Noto Sans Mono CJK SC"/>
          <w:sz w:val="17"/>
        </w:rPr>
        <w:t>Nearest-source competition detection</w:t>
        <w:br/>
      </w:r>
      <w:r>
        <w:rPr>
          <w:rFonts w:ascii="DejaVu Sans Mono" w:hAnsi="DejaVu Sans Mono" w:eastAsia="Noto Sans Mono CJK SC"/>
          <w:sz w:val="17"/>
        </w:rPr>
        <w:t xml:space="preserve">    │</w:t>
        <w:br/>
      </w:r>
      <w:r>
        <w:rPr>
          <w:rFonts w:ascii="DejaVu Sans Mono" w:hAnsi="DejaVu Sans Mono" w:eastAsia="Noto Sans Mono CJK SC"/>
          <w:sz w:val="17"/>
        </w:rPr>
        <w:t xml:space="preserve">    ▼</w:t>
        <w:br/>
      </w:r>
      <w:r>
        <w:rPr>
          <w:rFonts w:ascii="DejaVu Sans Mono" w:hAnsi="DejaVu Sans Mono" w:eastAsia="Noto Sans Mono CJK SC"/>
          <w:sz w:val="17"/>
        </w:rPr>
        <w:t>Candidate refinement and validation</w:t>
        <w:br/>
      </w:r>
      <w:r>
        <w:rPr>
          <w:rFonts w:ascii="DejaVu Sans Mono" w:hAnsi="DejaVu Sans Mono" w:eastAsia="Noto Sans Mono CJK SC"/>
          <w:sz w:val="17"/>
        </w:rPr>
        <w:t xml:space="preserve">    │</w:t>
        <w:br/>
      </w:r>
      <w:r>
        <w:rPr>
          <w:rFonts w:ascii="DejaVu Sans Mono" w:hAnsi="DejaVu Sans Mono" w:eastAsia="Noto Sans Mono CJK SC"/>
          <w:sz w:val="17"/>
        </w:rPr>
        <w:t xml:space="preserve">    ▼</w:t>
        <w:br/>
      </w:r>
      <w:r>
        <w:rPr>
          <w:rFonts w:ascii="DejaVu Sans Mono" w:hAnsi="DejaVu Sans Mono" w:eastAsia="Noto Sans Mono CJK SC"/>
          <w:sz w:val="17"/>
        </w:rPr>
        <w:t>Source canonicalization</w:t>
        <w:br/>
      </w:r>
      <w:r>
        <w:rPr>
          <w:rFonts w:ascii="DejaVu Sans Mono" w:hAnsi="DejaVu Sans Mono" w:eastAsia="Noto Sans Mono CJK SC"/>
          <w:sz w:val="17"/>
        </w:rPr>
        <w:t xml:space="preserve">    │</w:t>
        <w:br/>
      </w:r>
      <w:r>
        <w:rPr>
          <w:rFonts w:ascii="DejaVu Sans Mono" w:hAnsi="DejaVu Sans Mono" w:eastAsia="Noto Sans Mono CJK SC"/>
          <w:sz w:val="17"/>
        </w:rPr>
        <w:t xml:space="preserve">    ▼</w:t>
        <w:br/>
      </w:r>
      <w:r>
        <w:rPr>
          <w:rFonts w:ascii="DejaVu Sans Mono" w:hAnsi="DejaVu Sans Mono" w:eastAsia="Noto Sans Mono CJK SC"/>
          <w:sz w:val="17"/>
        </w:rPr>
        <w:t>Local-feature rejection</w:t>
        <w:br/>
      </w:r>
      <w:r>
        <w:rPr>
          <w:rFonts w:ascii="DejaVu Sans Mono" w:hAnsi="DejaVu Sans Mono" w:eastAsia="Noto Sans Mono CJK SC"/>
          <w:sz w:val="17"/>
        </w:rPr>
        <w:t xml:space="preserve">    │</w:t>
        <w:br/>
      </w:r>
      <w:r>
        <w:rPr>
          <w:rFonts w:ascii="DejaVu Sans Mono" w:hAnsi="DejaVu Sans Mono" w:eastAsia="Noto Sans Mono CJK SC"/>
          <w:sz w:val="17"/>
        </w:rPr>
        <w:t xml:space="preserve">    ▼</w:t>
        <w:br/>
      </w:r>
      <w:r>
        <w:rPr>
          <w:rFonts w:ascii="DejaVu Sans Mono" w:hAnsi="DejaVu Sans Mono" w:eastAsia="Noto Sans Mono CJK SC"/>
          <w:sz w:val="17"/>
        </w:rPr>
        <w:t>Persistence / confidence filtering</w:t>
        <w:br/>
      </w:r>
      <w:r>
        <w:rPr>
          <w:rFonts w:ascii="DejaVu Sans Mono" w:hAnsi="DejaVu Sans Mono" w:eastAsia="Noto Sans Mono CJK SC"/>
          <w:sz w:val="17"/>
        </w:rPr>
        <w:t xml:space="preserve">    │</w:t>
        <w:br/>
      </w:r>
      <w:r>
        <w:rPr>
          <w:rFonts w:ascii="DejaVu Sans Mono" w:hAnsi="DejaVu Sans Mono" w:eastAsia="Noto Sans Mono CJK SC"/>
          <w:sz w:val="17"/>
        </w:rPr>
        <w:t xml:space="preserve">    ▼</w:t>
        <w:br/>
      </w:r>
      <w:r>
        <w:rPr>
          <w:rFonts w:ascii="DejaVu Sans Mono" w:hAnsi="DejaVu Sans Mono" w:eastAsia="Noto Sans Mono CJK SC"/>
          <w:sz w:val="17"/>
        </w:rPr>
        <w:t>Source attribution back to surface</w:t>
        <w:br/>
      </w:r>
      <w:r>
        <w:rPr>
          <w:rFonts w:ascii="DejaVu Sans Mono" w:hAnsi="DejaVu Sans Mono" w:eastAsia="Noto Sans Mono CJK SC"/>
          <w:sz w:val="17"/>
        </w:rPr>
        <w:t xml:space="preserve">    │</w:t>
        <w:br/>
      </w:r>
      <w:r>
        <w:rPr>
          <w:rFonts w:ascii="DejaVu Sans Mono" w:hAnsi="DejaVu Sans Mono" w:eastAsia="Noto Sans Mono CJK SC"/>
          <w:sz w:val="17"/>
        </w:rPr>
        <w:t xml:space="preserve">    ▼</w:t>
        <w:br/>
      </w:r>
      <w:r>
        <w:rPr>
          <w:rFonts w:ascii="DejaVu Sans Mono" w:hAnsi="DejaVu Sans Mono" w:eastAsia="Noto Sans Mono CJK SC"/>
          <w:sz w:val="17"/>
        </w:rPr>
        <w:t>D_cap(v)</w:t>
        <w:br/>
      </w:r>
      <w:r>
        <w:rPr>
          <w:rFonts w:ascii="DejaVu Sans Mono" w:hAnsi="DejaVu Sans Mono" w:eastAsia="Noto Sans Mono CJK SC"/>
          <w:sz w:val="17"/>
        </w:rPr>
        <w:t xml:space="preserve">    │</w:t>
        <w:br/>
      </w:r>
      <w:r>
        <w:rPr>
          <w:rFonts w:ascii="DejaVu Sans Mono" w:hAnsi="DejaVu Sans Mono" w:eastAsia="Noto Sans Mono CJK SC"/>
          <w:sz w:val="17"/>
        </w:rPr>
        <w:t xml:space="preserve">    ▼</w:t>
        <w:br/>
      </w:r>
      <w:r>
        <w:rPr>
          <w:rFonts w:ascii="DejaVu Sans Mono" w:hAnsi="DejaVu Sans Mono" w:eastAsia="Noto Sans Mono CJK SC"/>
          <w:sz w:val="17"/>
        </w:rPr>
        <w:t>η, N, r → D_safe(v), h1(v)</w:t>
        <w:br/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设计原则：candidate 只约束产生该 candidate 的局部 source region。严禁将一个 candidate 的半径全局传播到整个表面；变径管、小通道-大腔体等算例必须能够在不同区域得到不同的 D_cap。</w:t>
      </w:r>
    </w:p>
    <w:p>
      <w:pPr>
        <w:pStyle w:val="Heading1"/>
      </w:pPr>
      <w:r>
        <w:t>4 核心数据结构与软件目录</w:t>
      </w:r>
    </w:p>
    <w:p>
      <w:pPr>
        <w:pStyle w:val="Heading2"/>
      </w:pPr>
      <w:r>
        <w:t>4.1 建议目录结构</w:t>
      </w:r>
    </w:p>
    <w:p>
      <w:pPr>
        <w:spacing w:before="60" w:after="120"/>
        <w:ind w:left="340" w:right="227"/>
        <w:shd w:fill="F4F6F8"/>
      </w:pPr>
      <w:r>
        <w:rPr>
          <w:rFonts w:ascii="DejaVu Sans Mono" w:hAnsi="DejaVu Sans Mono" w:eastAsia="Noto Sans Mono CJK SC"/>
          <w:sz w:val="17"/>
        </w:rPr>
        <w:t>thickness_predictor/</w:t>
        <w:br/>
      </w:r>
      <w:r>
        <w:rPr>
          <w:rFonts w:ascii="DejaVu Sans Mono" w:hAnsi="DejaVu Sans Mono" w:eastAsia="Noto Sans Mono CJK SC"/>
          <w:sz w:val="17"/>
        </w:rPr>
        <w:t>├── geometry/</w:t>
        <w:br/>
      </w:r>
      <w:r>
        <w:rPr>
          <w:rFonts w:ascii="DejaVu Sans Mono" w:hAnsi="DejaVu Sans Mono" w:eastAsia="Noto Sans Mono CJK SC"/>
          <w:sz w:val="17"/>
        </w:rPr>
        <w:t>│   ├── SurfaceMesh.*</w:t>
        <w:br/>
      </w:r>
      <w:r>
        <w:rPr>
          <w:rFonts w:ascii="DejaVu Sans Mono" w:hAnsi="DejaVu Sans Mono" w:eastAsia="Noto Sans Mono CJK SC"/>
          <w:sz w:val="17"/>
        </w:rPr>
        <w:t>│   ├── SurfaceTopology.*</w:t>
        <w:br/>
      </w:r>
      <w:r>
        <w:rPr>
          <w:rFonts w:ascii="DejaVu Sans Mono" w:hAnsi="DejaVu Sans Mono" w:eastAsia="Noto Sans Mono CJK SC"/>
          <w:sz w:val="17"/>
        </w:rPr>
        <w:t>│   ├── AABBTree.*</w:t>
        <w:br/>
      </w:r>
      <w:r>
        <w:rPr>
          <w:rFonts w:ascii="DejaVu Sans Mono" w:hAnsi="DejaVu Sans Mono" w:eastAsia="Noto Sans Mono CJK SC"/>
          <w:sz w:val="17"/>
        </w:rPr>
        <w:t>│   ├── ClosestPointQuery.*</w:t>
        <w:br/>
      </w:r>
      <w:r>
        <w:rPr>
          <w:rFonts w:ascii="DejaVu Sans Mono" w:hAnsi="DejaVu Sans Mono" w:eastAsia="Noto Sans Mono CJK SC"/>
          <w:sz w:val="17"/>
        </w:rPr>
        <w:t>│   └── GeometryPredicates.*</w:t>
        <w:br/>
      </w:r>
      <w:r>
        <w:rPr>
          <w:rFonts w:ascii="DejaVu Sans Mono" w:hAnsi="DejaVu Sans Mono" w:eastAsia="Noto Sans Mono CJK SC"/>
          <w:sz w:val="17"/>
        </w:rPr>
        <w:t>├── features/</w:t>
        <w:br/>
      </w:r>
      <w:r>
        <w:rPr>
          <w:rFonts w:ascii="DejaVu Sans Mono" w:hAnsi="DejaVu Sans Mono" w:eastAsia="Noto Sans Mono CJK SC"/>
          <w:sz w:val="17"/>
        </w:rPr>
        <w:t>│   ├── FeatureDetector.*</w:t>
        <w:br/>
      </w:r>
      <w:r>
        <w:rPr>
          <w:rFonts w:ascii="DejaVu Sans Mono" w:hAnsi="DejaVu Sans Mono" w:eastAsia="Noto Sans Mono CJK SC"/>
          <w:sz w:val="17"/>
        </w:rPr>
        <w:t>│   ├── SmoothPatch.*</w:t>
        <w:br/>
      </w:r>
      <w:r>
        <w:rPr>
          <w:rFonts w:ascii="DejaVu Sans Mono" w:hAnsi="DejaVu Sans Mono" w:eastAsia="Noto Sans Mono CJK SC"/>
          <w:sz w:val="17"/>
        </w:rPr>
        <w:t>│   ├── FeatureRidge.*</w:t>
        <w:br/>
      </w:r>
      <w:r>
        <w:rPr>
          <w:rFonts w:ascii="DejaVu Sans Mono" w:hAnsi="DejaVu Sans Mono" w:eastAsia="Noto Sans Mono CJK SC"/>
          <w:sz w:val="17"/>
        </w:rPr>
        <w:t>│   └── FeatureCorner.*</w:t>
        <w:br/>
      </w:r>
      <w:r>
        <w:rPr>
          <w:rFonts w:ascii="DejaVu Sans Mono" w:hAnsi="DejaVu Sans Mono" w:eastAsia="Noto Sans Mono CJK SC"/>
          <w:sz w:val="17"/>
        </w:rPr>
        <w:t>├── distance/</w:t>
        <w:br/>
      </w:r>
      <w:r>
        <w:rPr>
          <w:rFonts w:ascii="DejaVu Sans Mono" w:hAnsi="DejaVu Sans Mono" w:eastAsia="Noto Sans Mono CJK SC"/>
          <w:sz w:val="17"/>
        </w:rPr>
        <w:t>│   ├── DistanceSample.*</w:t>
        <w:br/>
      </w:r>
      <w:r>
        <w:rPr>
          <w:rFonts w:ascii="DejaVu Sans Mono" w:hAnsi="DejaVu Sans Mono" w:eastAsia="Noto Sans Mono CJK SC"/>
          <w:sz w:val="17"/>
        </w:rPr>
        <w:t>│   ├── AdaptiveOctree.*</w:t>
        <w:br/>
      </w:r>
      <w:r>
        <w:rPr>
          <w:rFonts w:ascii="DejaVu Sans Mono" w:hAnsi="DejaVu Sans Mono" w:eastAsia="Noto Sans Mono CJK SC"/>
          <w:sz w:val="17"/>
        </w:rPr>
        <w:t>│   └── CandidateRegionSeeder.*</w:t>
        <w:br/>
      </w:r>
      <w:r>
        <w:rPr>
          <w:rFonts w:ascii="DejaVu Sans Mono" w:hAnsi="DejaVu Sans Mono" w:eastAsia="Noto Sans Mono CJK SC"/>
          <w:sz w:val="17"/>
        </w:rPr>
        <w:t>├── medial/</w:t>
        <w:br/>
      </w:r>
      <w:r>
        <w:rPr>
          <w:rFonts w:ascii="DejaVu Sans Mono" w:hAnsi="DejaVu Sans Mono" w:eastAsia="Noto Sans Mono CJK SC"/>
          <w:sz w:val="17"/>
        </w:rPr>
        <w:t>│   ├── SourceCanonicalizer.*</w:t>
        <w:br/>
      </w:r>
      <w:r>
        <w:rPr>
          <w:rFonts w:ascii="DejaVu Sans Mono" w:hAnsi="DejaVu Sans Mono" w:eastAsia="Noto Sans Mono CJK SC"/>
          <w:sz w:val="17"/>
        </w:rPr>
        <w:t>│   ├── CompetitionCandidate.*</w:t>
        <w:br/>
      </w:r>
      <w:r>
        <w:rPr>
          <w:rFonts w:ascii="DejaVu Sans Mono" w:hAnsi="DejaVu Sans Mono" w:eastAsia="Noto Sans Mono CJK SC"/>
          <w:sz w:val="17"/>
        </w:rPr>
        <w:t>│   ├── CandidateExtractor.*</w:t>
        <w:br/>
      </w:r>
      <w:r>
        <w:rPr>
          <w:rFonts w:ascii="DejaVu Sans Mono" w:hAnsi="DejaVu Sans Mono" w:eastAsia="Noto Sans Mono CJK SC"/>
          <w:sz w:val="17"/>
        </w:rPr>
        <w:t>│   └── CandidateRefiner.*</w:t>
        <w:br/>
      </w:r>
      <w:r>
        <w:rPr>
          <w:rFonts w:ascii="DejaVu Sans Mono" w:hAnsi="DejaVu Sans Mono" w:eastAsia="Noto Sans Mono CJK SC"/>
          <w:sz w:val="17"/>
        </w:rPr>
        <w:t>├── classification/</w:t>
        <w:br/>
      </w:r>
      <w:r>
        <w:rPr>
          <w:rFonts w:ascii="DejaVu Sans Mono" w:hAnsi="DejaVu Sans Mono" w:eastAsia="Noto Sans Mono CJK SC"/>
          <w:sz w:val="17"/>
        </w:rPr>
        <w:t>│   ├── LocalFeatureClassifier.*</w:t>
        <w:br/>
      </w:r>
      <w:r>
        <w:rPr>
          <w:rFonts w:ascii="DejaVu Sans Mono" w:hAnsi="DejaVu Sans Mono" w:eastAsia="Noto Sans Mono CJK SC"/>
          <w:sz w:val="17"/>
        </w:rPr>
        <w:t>│   ├── RidgeClassifier.*</w:t>
        <w:br/>
      </w:r>
      <w:r>
        <w:rPr>
          <w:rFonts w:ascii="DejaVu Sans Mono" w:hAnsi="DejaVu Sans Mono" w:eastAsia="Noto Sans Mono CJK SC"/>
          <w:sz w:val="17"/>
        </w:rPr>
        <w:t>│   ├── CornerClassifier.*</w:t>
        <w:br/>
      </w:r>
      <w:r>
        <w:rPr>
          <w:rFonts w:ascii="DejaVu Sans Mono" w:hAnsi="DejaVu Sans Mono" w:eastAsia="Noto Sans Mono CJK SC"/>
          <w:sz w:val="17"/>
        </w:rPr>
        <w:t>│   ├── GeodesicClassifier.*</w:t>
        <w:br/>
      </w:r>
      <w:r>
        <w:rPr>
          <w:rFonts w:ascii="DejaVu Sans Mono" w:hAnsi="DejaVu Sans Mono" w:eastAsia="Noto Sans Mono CJK SC"/>
          <w:sz w:val="17"/>
        </w:rPr>
        <w:t>│   └── CandidateConfidence.*</w:t>
        <w:br/>
      </w:r>
      <w:r>
        <w:rPr>
          <w:rFonts w:ascii="DejaVu Sans Mono" w:hAnsi="DejaVu Sans Mono" w:eastAsia="Noto Sans Mono CJK SC"/>
          <w:sz w:val="17"/>
        </w:rPr>
        <w:t>├── attribution/</w:t>
        <w:br/>
      </w:r>
      <w:r>
        <w:rPr>
          <w:rFonts w:ascii="DejaVu Sans Mono" w:hAnsi="DejaVu Sans Mono" w:eastAsia="Noto Sans Mono CJK SC"/>
          <w:sz w:val="17"/>
        </w:rPr>
        <w:t>│   ├── SourceAttribution.*</w:t>
        <w:br/>
      </w:r>
      <w:r>
        <w:rPr>
          <w:rFonts w:ascii="DejaVu Sans Mono" w:hAnsi="DejaVu Sans Mono" w:eastAsia="Noto Sans Mono CJK SC"/>
          <w:sz w:val="17"/>
        </w:rPr>
        <w:t>│   └── CapacityField.*</w:t>
        <w:br/>
      </w:r>
      <w:r>
        <w:rPr>
          <w:rFonts w:ascii="DejaVu Sans Mono" w:hAnsi="DejaVu Sans Mono" w:eastAsia="Noto Sans Mono CJK SC"/>
          <w:sz w:val="17"/>
        </w:rPr>
        <w:t>├── predictor/</w:t>
        <w:br/>
      </w:r>
      <w:r>
        <w:rPr>
          <w:rFonts w:ascii="DejaVu Sans Mono" w:hAnsi="DejaVu Sans Mono" w:eastAsia="Noto Sans Mono CJK SC"/>
          <w:sz w:val="17"/>
        </w:rPr>
        <w:t>│   ├── ThicknessPredictor.*</w:t>
        <w:br/>
      </w:r>
      <w:r>
        <w:rPr>
          <w:rFonts w:ascii="DejaVu Sans Mono" w:hAnsi="DejaVu Sans Mono" w:eastAsia="Noto Sans Mono CJK SC"/>
          <w:sz w:val="17"/>
        </w:rPr>
        <w:t>│   └── ThicknessOptions.*</w:t>
        <w:br/>
      </w:r>
      <w:r>
        <w:rPr>
          <w:rFonts w:ascii="DejaVu Sans Mono" w:hAnsi="DejaVu Sans Mono" w:eastAsia="Noto Sans Mono CJK SC"/>
          <w:sz w:val="17"/>
        </w:rPr>
        <w:t>├── tests/</w:t>
        <w:br/>
      </w:r>
      <w:r>
        <w:rPr>
          <w:rFonts w:ascii="DejaVu Sans Mono" w:hAnsi="DejaVu Sans Mono" w:eastAsia="Noto Sans Mono CJK SC"/>
          <w:sz w:val="17"/>
        </w:rPr>
        <w:t>└── examples/</w:t>
        <w:br/>
      </w:r>
    </w:p>
    <w:p>
      <w:pPr>
        <w:pStyle w:val="Heading2"/>
      </w:pPr>
      <w:r>
        <w:t>4.2 推荐数据结构</w:t>
      </w:r>
    </w:p>
    <w:p>
      <w:pPr>
        <w:spacing w:before="60" w:after="120"/>
        <w:ind w:left="340" w:right="227"/>
        <w:shd w:fill="F4F6F8"/>
      </w:pPr>
      <w:r>
        <w:rPr>
          <w:rFonts w:ascii="DejaVu Sans Mono" w:hAnsi="DejaVu Sans Mono" w:eastAsia="Noto Sans Mono CJK SC"/>
          <w:sz w:val="17"/>
        </w:rPr>
        <w:t>struct SurfacePoint {</w:t>
        <w:br/>
      </w:r>
      <w:r>
        <w:rPr>
          <w:rFonts w:ascii="DejaVu Sans Mono" w:hAnsi="DejaVu Sans Mono" w:eastAsia="Noto Sans Mono CJK SC"/>
          <w:sz w:val="17"/>
        </w:rPr>
        <w:t xml:space="preserve">    TriangleId triangle;</w:t>
        <w:br/>
      </w:r>
      <w:r>
        <w:rPr>
          <w:rFonts w:ascii="DejaVu Sans Mono" w:hAnsi="DejaVu Sans Mono" w:eastAsia="Noto Sans Mono CJK SC"/>
          <w:sz w:val="17"/>
        </w:rPr>
        <w:t xml:space="preserve">    Vec3 position;</w:t>
        <w:br/>
      </w:r>
      <w:r>
        <w:rPr>
          <w:rFonts w:ascii="DejaVu Sans Mono" w:hAnsi="DejaVu Sans Mono" w:eastAsia="Noto Sans Mono CJK SC"/>
          <w:sz w:val="17"/>
        </w:rPr>
        <w:t xml:space="preserve">    Vec3 barycentric;</w:t>
        <w:br/>
      </w:r>
      <w:r>
        <w:rPr>
          <w:rFonts w:ascii="DejaVu Sans Mono" w:hAnsi="DejaVu Sans Mono" w:eastAsia="Noto Sans Mono CJK SC"/>
          <w:sz w:val="17"/>
        </w:rPr>
        <w:t>};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struct ClosestSource {</w:t>
        <w:br/>
      </w:r>
      <w:r>
        <w:rPr>
          <w:rFonts w:ascii="DejaVu Sans Mono" w:hAnsi="DejaVu Sans Mono" w:eastAsia="Noto Sans Mono CJK SC"/>
          <w:sz w:val="17"/>
        </w:rPr>
        <w:t xml:space="preserve">    TriangleId triangle;</w:t>
        <w:br/>
      </w:r>
      <w:r>
        <w:rPr>
          <w:rFonts w:ascii="DejaVu Sans Mono" w:hAnsi="DejaVu Sans Mono" w:eastAsia="Noto Sans Mono CJK SC"/>
          <w:sz w:val="17"/>
        </w:rPr>
        <w:t xml:space="preserve">    SurfacePoint point;</w:t>
        <w:br/>
      </w:r>
      <w:r>
        <w:rPr>
          <w:rFonts w:ascii="DejaVu Sans Mono" w:hAnsi="DejaVu Sans Mono" w:eastAsia="Noto Sans Mono CJK SC"/>
          <w:sz w:val="17"/>
        </w:rPr>
        <w:t xml:space="preserve">    double distance;</w:t>
        <w:br/>
      </w:r>
      <w:r>
        <w:rPr>
          <w:rFonts w:ascii="DejaVu Sans Mono" w:hAnsi="DejaVu Sans Mono" w:eastAsia="Noto Sans Mono CJK SC"/>
          <w:sz w:val="17"/>
        </w:rPr>
        <w:t>};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struct CompetitionCandidate {</w:t>
        <w:br/>
      </w:r>
      <w:r>
        <w:rPr>
          <w:rFonts w:ascii="DejaVu Sans Mono" w:hAnsi="DejaVu Sans Mono" w:eastAsia="Noto Sans Mono CJK SC"/>
          <w:sz w:val="17"/>
        </w:rPr>
        <w:t xml:space="preserve">    Vec3 center;</w:t>
        <w:br/>
      </w:r>
      <w:r>
        <w:rPr>
          <w:rFonts w:ascii="DejaVu Sans Mono" w:hAnsi="DejaVu Sans Mono" w:eastAsia="Noto Sans Mono CJK SC"/>
          <w:sz w:val="17"/>
        </w:rPr>
        <w:t xml:space="preserve">    double radius;</w:t>
        <w:br/>
      </w:r>
      <w:r>
        <w:rPr>
          <w:rFonts w:ascii="DejaVu Sans Mono" w:hAnsi="DejaVu Sans Mono" w:eastAsia="Noto Sans Mono CJK SC"/>
          <w:sz w:val="17"/>
        </w:rPr>
        <w:t xml:space="preserve">    std::vector&lt;ClosestSource&gt; sources;</w:t>
        <w:br/>
      </w:r>
      <w:r>
        <w:rPr>
          <w:rFonts w:ascii="DejaVu Sans Mono" w:hAnsi="DejaVu Sans Mono" w:eastAsia="Noto Sans Mono CJK SC"/>
          <w:sz w:val="17"/>
        </w:rPr>
        <w:t xml:space="preserve">    CandidateType type;</w:t>
        <w:br/>
      </w:r>
      <w:r>
        <w:rPr>
          <w:rFonts w:ascii="DejaVu Sans Mono" w:hAnsi="DejaVu Sans Mono" w:eastAsia="Noto Sans Mono CJK SC"/>
          <w:sz w:val="17"/>
        </w:rPr>
        <w:t xml:space="preserve">    double confidence;</w:t>
        <w:br/>
      </w:r>
      <w:r>
        <w:rPr>
          <w:rFonts w:ascii="DejaVu Sans Mono" w:hAnsi="DejaVu Sans Mono" w:eastAsia="Noto Sans Mono CJK SC"/>
          <w:sz w:val="17"/>
        </w:rPr>
        <w:t xml:space="preserve">    int refinement_level;</w:t>
        <w:br/>
      </w:r>
      <w:r>
        <w:rPr>
          <w:rFonts w:ascii="DejaVu Sans Mono" w:hAnsi="DejaVu Sans Mono" w:eastAsia="Noto Sans Mono CJK SC"/>
          <w:sz w:val="17"/>
        </w:rPr>
        <w:t>};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enum class CandidateType {</w:t>
        <w:br/>
      </w:r>
      <w:r>
        <w:rPr>
          <w:rFonts w:ascii="DejaVu Sans Mono" w:hAnsi="DejaVu Sans Mono" w:eastAsia="Noto Sans Mono CJK SC"/>
          <w:sz w:val="17"/>
        </w:rPr>
        <w:t xml:space="preserve">    Unknown, Local, NonLocal, Ambiguous</w:t>
        <w:br/>
      </w:r>
      <w:r>
        <w:rPr>
          <w:rFonts w:ascii="DejaVu Sans Mono" w:hAnsi="DejaVu Sans Mono" w:eastAsia="Noto Sans Mono CJK SC"/>
          <w:sz w:val="17"/>
        </w:rPr>
        <w:t>};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struct ThicknessResult {</w:t>
        <w:br/>
      </w:r>
      <w:r>
        <w:rPr>
          <w:rFonts w:ascii="DejaVu Sans Mono" w:hAnsi="DejaVu Sans Mono" w:eastAsia="Noto Sans Mono CJK SC"/>
          <w:sz w:val="17"/>
        </w:rPr>
        <w:t xml:space="preserve">    double D_cap;</w:t>
        <w:br/>
      </w:r>
      <w:r>
        <w:rPr>
          <w:rFonts w:ascii="DejaVu Sans Mono" w:hAnsi="DejaVu Sans Mono" w:eastAsia="Noto Sans Mono CJK SC"/>
          <w:sz w:val="17"/>
        </w:rPr>
        <w:t xml:space="preserve">    double D_safe;</w:t>
        <w:br/>
      </w:r>
      <w:r>
        <w:rPr>
          <w:rFonts w:ascii="DejaVu Sans Mono" w:hAnsi="DejaVu Sans Mono" w:eastAsia="Noto Sans Mono CJK SC"/>
          <w:sz w:val="17"/>
        </w:rPr>
        <w:t xml:space="preserve">    double first_layer_height;</w:t>
        <w:br/>
      </w:r>
      <w:r>
        <w:rPr>
          <w:rFonts w:ascii="DejaVu Sans Mono" w:hAnsi="DejaVu Sans Mono" w:eastAsia="Noto Sans Mono CJK SC"/>
          <w:sz w:val="17"/>
        </w:rPr>
        <w:t xml:space="preserve">    CandidateId limiting_candidate;</w:t>
        <w:br/>
      </w:r>
      <w:r>
        <w:rPr>
          <w:rFonts w:ascii="DejaVu Sans Mono" w:hAnsi="DejaVu Sans Mono" w:eastAsia="Noto Sans Mono CJK SC"/>
          <w:sz w:val="17"/>
        </w:rPr>
        <w:t xml:space="preserve">    bool bounded;</w:t>
        <w:br/>
      </w:r>
      <w:r>
        <w:rPr>
          <w:rFonts w:ascii="DejaVu Sans Mono" w:hAnsi="DejaVu Sans Mono" w:eastAsia="Noto Sans Mono CJK SC"/>
          <w:sz w:val="17"/>
        </w:rPr>
        <w:t>};</w:t>
        <w:br/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注意：所有 distance / competition 逻辑必须保存 closest point，而不仅是 triangle ID。多个 triangle 可能因为共享一条 edge 或 vertex 而对应同一个真实几何 source；若只保存 ID，会产生大量由三角离散自身引起的假多源事件。</w:t>
      </w:r>
    </w:p>
    <w:p>
      <w:pPr>
        <w:pStyle w:val="Heading1"/>
      </w:pPr>
      <w:r>
        <w:t>5 各模块详细设计</w:t>
      </w:r>
    </w:p>
    <w:p>
      <w:pPr>
        <w:pStyle w:val="Heading2"/>
      </w:pPr>
      <w:r>
        <w:t>5.1 Surface validation 与 Growth Side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检测退化三角形、重复面、非流形边和不一致 orientation。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建立 vertex-face、edge-face、face-face、connected-component 邻接。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明确 blocking wall 与 non-blocking / artificial boundary；例如 far-field 不应被错误当成厚度碰撞源。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所有 candidate 必须位于合法 growth side 内。</w:t>
      </w:r>
    </w:p>
    <w:p>
      <w:pPr>
        <w:pStyle w:val="Heading2"/>
      </w:pPr>
      <w:r>
        <w:t>5.2 BVH 与最小距离查询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建立 surface AABB/BVH tree。核心查询至少包括 point→closest triangle、point→closest surface point 和 point→若干最近独立 source。候选点验证必须重新调用全局 BVH，而不能只相信局部 octree 的 source label。</w:t>
      </w:r>
    </w:p>
    <w:p>
      <w:pPr>
        <w:spacing w:before="60" w:after="120"/>
        <w:ind w:left="340" w:right="227"/>
        <w:shd w:fill="F4F6F8"/>
      </w:pPr>
      <w:r>
        <w:rPr>
          <w:rFonts w:ascii="DejaVu Sans Mono" w:hAnsi="DejaVu Sans Mono" w:eastAsia="Noto Sans Mono CJK SC"/>
          <w:sz w:val="17"/>
        </w:rPr>
        <w:t>ClosestSource queryClosestPoint(const Vec3&amp; x);</w:t>
        <w:br/>
      </w:r>
      <w:r>
        <w:rPr>
          <w:rFonts w:ascii="DejaVu Sans Mono" w:hAnsi="DejaVu Sans Mono" w:eastAsia="Noto Sans Mono CJK SC"/>
          <w:sz w:val="17"/>
        </w:rPr>
        <w:t>std::vector&lt;ClosestSource&gt; queryKClosestSources(const Vec3&amp; x, int k);</w:t>
        <w:br/>
      </w:r>
    </w:p>
    <w:p>
      <w:pPr>
        <w:pStyle w:val="Heading2"/>
      </w:pPr>
      <w:r>
        <w:t>5.3 Feature Topology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预处理相邻三角面的二面角，将 surface 分解为 smooth patches、feature ridges 和 feature corners。Feature 标签只用于解释 local singularity，不直接决定 D_cap。</w:t>
      </w:r>
    </w:p>
    <w:p>
      <w:pPr>
        <w:spacing w:before="60" w:after="100"/>
        <w:jc w:val="center"/>
      </w:pPr>
      <w:r>
        <w:rPr>
          <w:rFonts w:ascii="DejaVu Serif" w:hAnsi="DejaVu Serif" w:eastAsia="Noto Serif CJK SC"/>
          <w:sz w:val="22"/>
        </w:rPr>
        <w:t>θ_e = arccos(n₁ · n₂)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feature_angle_threshold 应作为可调参数。Roget 的工作曾使用约 ±45° 作为其 convex/concave 标记阈值，但本项目不能将该值作为唯一 local/non-local 判据。</w:t>
      </w:r>
    </w:p>
    <w:p>
      <w:pPr>
        <w:pStyle w:val="Heading2"/>
      </w:pPr>
      <w:r>
        <w:t>5.4 Candidate Region Seeder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优先使用 BVH node-pair / patch proximity 搜索确定值得构造 distance field 的空间区域，避免在整个流体包围盒上建立均匀高分辨率网格。该阶段只做候选区域筛选，不做最终 collision 分类。</w:t>
      </w:r>
    </w:p>
    <w:p>
      <w:pPr>
        <w:pStyle w:val="Heading2"/>
      </w:pPr>
      <w:r>
        <w:t>5.5 Adaptive Distance Field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在候选区域建立 adaptive octree。每个 sample 至少保存 d1、d2、source1、source2，以及 closest surface points。以下情况触发 refinement：最近 source label 在 cell 角点发生变化；d2−d1 相对 cell size 足够小；或 cell 内存在不同 feature patch 的竞争迹象。</w:t>
      </w:r>
    </w:p>
    <w:p>
      <w:pPr>
        <w:spacing w:before="60" w:after="100"/>
        <w:jc w:val="center"/>
      </w:pPr>
      <w:r>
        <w:rPr>
          <w:rFonts w:ascii="DejaVu Serif" w:hAnsi="DejaVu Serif" w:eastAsia="Noto Serif CJK SC"/>
          <w:sz w:val="22"/>
        </w:rPr>
        <w:t>d₂ − d₁ &lt; C_d · h_cell</w:t>
      </w:r>
    </w:p>
    <w:p>
      <w:pPr>
        <w:pStyle w:val="Heading2"/>
      </w:pPr>
      <w:r>
        <w:t>5.6 Competition Candidate Extraction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在 source-switch cell 中，对可能竞争的 primitive i、j 定义差值函数，并在背景 cell edge 或局部空间内寻找零点。第一版优先使用稳定的二分搜索。</w:t>
      </w:r>
    </w:p>
    <w:p>
      <w:pPr>
        <w:spacing w:before="60" w:after="100"/>
        <w:jc w:val="center"/>
      </w:pPr>
      <w:r>
        <w:rPr>
          <w:rFonts w:ascii="DejaVu Serif" w:hAnsi="DejaVu Serif" w:eastAsia="Noto Serif CJK SC"/>
          <w:sz w:val="22"/>
        </w:rPr>
        <w:t>f(x) = d(x, S_i) − d(x, S_j)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得到 candidate center m 后，必须用全局 BVH 再验证：两个 source 的距离近似相等，且该距离确实等于到整个 surface 的全局最小距离。</w:t>
      </w:r>
    </w:p>
    <w:p>
      <w:pPr>
        <w:spacing w:before="60" w:after="100"/>
        <w:jc w:val="center"/>
      </w:pPr>
      <w:r>
        <w:rPr>
          <w:rFonts w:ascii="DejaVu Serif" w:hAnsi="DejaVu Serif" w:eastAsia="Noto Serif CJK SC"/>
          <w:sz w:val="22"/>
        </w:rPr>
        <w:t>d(m,S_i) ≈ d(m,S_j) ≈ d(m,S) = ρ</w:t>
      </w:r>
    </w:p>
    <w:p>
      <w:pPr>
        <w:pStyle w:val="Heading2"/>
      </w:pPr>
      <w:r>
        <w:t>5.7 Candidate Persistence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AMBIGUOUS candidate 对所在 cell 再细化一级或多级。若中心、半径和 source attribution 随 refinement 收敛，则提高置信度；若 candidate 消失、跳变或 source identity 不稳定，则认为是粗采样/三角化噪声。</w:t>
      </w:r>
    </w:p>
    <w:p>
      <w:pPr>
        <w:spacing w:before="60" w:after="100"/>
        <w:jc w:val="center"/>
      </w:pPr>
      <w:r>
        <w:rPr>
          <w:rFonts w:ascii="DejaVu Serif" w:hAnsi="DejaVu Serif" w:eastAsia="Noto Serif CJK SC"/>
          <w:sz w:val="22"/>
        </w:rPr>
        <w:t>||mʹ−m|| &lt; ε_m,    |ρʹ−ρ|/ρ &lt; ε_ρ</w:t>
      </w:r>
    </w:p>
    <w:p>
      <w:pPr>
        <w:pStyle w:val="Heading2"/>
      </w:pPr>
      <w:r>
        <w:t>5.8 Source Attribution 与 D_cap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每个有效 NONLOCAL candidate 只约束其 contact source 对应的局部 surface region。禁止对整个 connected component 传播。第一版可将 ρ 归因给包含 contact point 的三角形顶点；第二版可利用 barycentric weights 或局部 patch 范围做更精细归因。</w:t>
      </w:r>
    </w:p>
    <w:p>
      <w:pPr>
        <w:spacing w:before="60" w:after="100"/>
        <w:jc w:val="center"/>
      </w:pPr>
      <w:r>
        <w:rPr>
          <w:rFonts w:ascii="DejaVu Serif" w:hAnsi="DejaVu Serif" w:eastAsia="Noto Serif CJK SC"/>
          <w:sz w:val="22"/>
        </w:rPr>
        <w:t>D_cap(v) = min { ρ_C | C 被归因到顶点 v }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若某个顶点在 D_search 内不存在有效限制事件，则应返回 UNBOUNDED 或 bounded=false，而不是把 D_search 伪装成真实几何上限。</w:t>
      </w:r>
    </w:p>
    <w:p>
      <w:pPr>
        <w:pStyle w:val="Heading1"/>
      </w:pPr>
      <w:r>
        <w:t>6 邻近单元 / 局部特征排除模块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该模块是算法鲁棒性的核心。它回答的不是“两个 triangle 是否邻接”，而是“当前多源等距事件能否在尺度 ρ 下由同一个局部几何 feature 解释”。只有无法由局部 feature 解释、且在 intrinsic topology 上表现为非局部自接近/多体接近的 candidate，才参与 D_cap。</w:t>
      </w:r>
    </w:p>
    <w:p>
      <w:pPr>
        <w:pStyle w:val="Heading2"/>
      </w:pPr>
      <w:r>
        <w:t>6.1 Source Canonicalization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先将 closest source 从 triangle-ID 层提升到几何 primitive 层。若两个 triangle 的 closest point 实际落在同一共享 edge/vertex 的同一位置，则合并为一个 source。canonical primitive 类型建议为 FaceInterior、MeshEdge、MeshVertex。</w:t>
      </w:r>
    </w:p>
    <w:p>
      <w:pPr>
        <w:pStyle w:val="Heading2"/>
      </w:pPr>
      <w:r>
        <w:t>6.2 四级过滤策略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304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级别</w:t>
            </w:r>
          </w:p>
        </w:tc>
        <w:tc>
          <w:tcPr>
            <w:tcW w:type="dxa" w:w="3402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判据</w:t>
            </w:r>
          </w:p>
        </w:tc>
        <w:tc>
          <w:tcPr>
            <w:tcW w:type="dxa" w:w="3969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结果/说明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Level 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同一 canonical source；q1≈q2；同一 edge/vertex source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 LOCAL。消除三角离散造成的假多源。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Level 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 triangle、共享 edge、共享 vertex、极小 k-ring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cheap LOCAL reject；k-ring 只作快速过滤，不能作为最终物理判据。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Level 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两个 source 可由同一 feature ridge 或 corner 解释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做 ridge/corner geometry consistency 检查后决定 LOCAL。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Level 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以上均不能明确解释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 truncated geodesic / intrinsic test；输出 LOCAL、NONLOCAL 或 AMBIGUOUS。</w:t>
            </w:r>
          </w:p>
        </w:tc>
      </w:tr>
    </w:tbl>
    <w:p>
      <w:pPr>
        <w:pStyle w:val="Heading2"/>
      </w:pPr>
      <w:r>
        <w:t>6.3 Ridge 局部事件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如果两个 source 所属 smooth patch 共享同一 feature ridge R，首先检查二者沿 ridge 的轴向位置是否接近。将 q1、q2 投影到 ridge 得到 c1、c2，并计算 ridge arc distance。</w:t>
      </w:r>
    </w:p>
    <w:p>
      <w:pPr>
        <w:spacing w:before="60" w:after="100"/>
        <w:jc w:val="center"/>
      </w:pPr>
      <w:r>
        <w:rPr>
          <w:rFonts w:ascii="DejaVu Serif" w:hAnsi="DejaVu Serif" w:eastAsia="Noto Serif CJK SC"/>
          <w:sz w:val="22"/>
        </w:rPr>
        <w:t>s_parallel = d_R(c₁,c₂),    s_parallel/ρ &lt; C_parallel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只有两 source 位于 ridge 上大致同一截面范围内，才可能被同一个局部 wedge 解释。随后计算二者到 ridge 的 surface distance s1、s2，以及 growth-side wedge angle α。理想二维 wedge 的局部几何关系为：</w:t>
      </w:r>
    </w:p>
    <w:p>
      <w:pPr>
        <w:spacing w:before="60" w:after="100"/>
        <w:jc w:val="center"/>
      </w:pPr>
      <w:r>
        <w:rPr>
          <w:rFonts w:ascii="DejaVu Serif" w:hAnsi="DejaVu Serif" w:eastAsia="Noto Serif CJK SC"/>
          <w:sz w:val="22"/>
        </w:rPr>
        <w:t>s₁ + s₂ ≈ 2ρ·cot(α/2)</w:t>
      </w:r>
    </w:p>
    <w:p>
      <w:pPr>
        <w:spacing w:before="60" w:after="100"/>
        <w:jc w:val="center"/>
      </w:pPr>
      <w:r>
        <w:rPr>
          <w:rFonts w:ascii="DejaVu Serif" w:hAnsi="DejaVu Serif" w:eastAsia="Noto Serif CJK SC"/>
          <w:sz w:val="22"/>
        </w:rPr>
        <w:t>χ_R = (s₁+s₂) / [2ρ·cot(α/2)]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当 s_parallel/ρ 较小、χ_R 位于容差范围内，且 source attribution 稳定时，将 candidate 判为 LOCAL RIDGE EVENT 并排除。使用 angle-aware wedge consistency 的原因是：尖锐小角度 ridge 的 geodesic/source separation 可以远大于 ρ，固定 d_g/ρ 阈值会误判。</w:t>
      </w:r>
    </w:p>
    <w:p>
      <w:pPr>
        <w:pStyle w:val="Heading2"/>
      </w:pPr>
      <w:r>
        <w:t>6.4 Corner 局部事件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如果多个 source patch 共同 incident 到同一个 feature vertex v，则检查 source 是否真的处于该 corner 的 ρ 尺度邻域。第一版不必推导复杂 trihedral corner 解析式，采用拓扑 incidence + 尺度化 surface distance 即可。</w:t>
      </w:r>
    </w:p>
    <w:p>
      <w:pPr>
        <w:spacing w:before="60" w:after="100"/>
        <w:jc w:val="center"/>
      </w:pPr>
      <w:r>
        <w:rPr>
          <w:rFonts w:ascii="DejaVu Serif" w:hAnsi="DejaVu Serif" w:eastAsia="Noto Serif CJK SC"/>
          <w:sz w:val="22"/>
        </w:rPr>
        <w:t>max_i d_S(q_i,v) / ρ &lt; C_c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若成立，则 candidate 可由单个局部 corner feature 解释，判为 LOCAL；若 source 距 corner 很远，即使拓扑上最终连到同一 corner，也不能排除。</w:t>
      </w:r>
    </w:p>
    <w:p>
      <w:pPr>
        <w:pStyle w:val="Heading2"/>
      </w:pPr>
      <w:r>
        <w:t>6.5 Smooth Patch 与真正自接近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同一个 smooth patch 绝不能直接 reject。U 型或折返表面可能在同一 patch 内发生真实自接近。应比较 intrinsic surface distance 与 Euclidean separation。</w:t>
      </w:r>
    </w:p>
    <w:p>
      <w:pPr>
        <w:spacing w:before="60" w:after="100"/>
        <w:jc w:val="center"/>
      </w:pPr>
      <w:r>
        <w:rPr>
          <w:rFonts w:ascii="DejaVu Serif" w:hAnsi="DejaVu Serif" w:eastAsia="Noto Serif CJK SC"/>
          <w:sz w:val="22"/>
        </w:rPr>
        <w:t>Γ = d_g(q₁,q₂) / ||q₁−q₂||</w:t>
      </w:r>
    </w:p>
    <w:p>
      <w:pPr>
        <w:spacing w:before="60" w:after="100"/>
        <w:jc w:val="center"/>
      </w:pPr>
      <w:r>
        <w:rPr>
          <w:rFonts w:ascii="DejaVu Serif" w:hAnsi="DejaVu Serif" w:eastAsia="Noto Serif CJK SC"/>
          <w:sz w:val="22"/>
        </w:rPr>
        <w:t>Γ_ρ = d_g(q₁,q₂) / (2ρ)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若空间距离很小但沿表面需要绕很远，即 d_g ≫ ||q1−q2||，应保留为 NONLOCAL。geodesic 应放在最后执行，并采用 truncated Dijkstra：若搜索距离超过 C_g·ρ 仍未到达 q2，即可停止并判定为明显非局部，不需要求完整最短路。</w:t>
      </w:r>
    </w:p>
    <w:p>
      <w:pPr>
        <w:pStyle w:val="Heading2"/>
      </w:pPr>
      <w:r>
        <w:t>6.6 Candidate significance 与 AMBIGUOUS</w:t>
      </w:r>
    </w:p>
    <w:p>
      <w:pPr>
        <w:spacing w:before="60" w:after="100"/>
        <w:jc w:val="center"/>
      </w:pPr>
      <w:r>
        <w:rPr>
          <w:rFonts w:ascii="DejaVu Serif" w:hAnsi="DejaVu Serif" w:eastAsia="Noto Serif CJK SC"/>
          <w:sz w:val="22"/>
        </w:rPr>
        <w:t>σ = ||q₁−q₂|| / (2ρ)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平行 gap 等强竞争事件通常 σ 接近 1；局部 faceting noise 往往 σ 很小。σ 只能作为 confidence 辅助指标，不能单独决定分类。最终分类建议保留三态：LOCAL、NONLOCAL、AMBIGUOUS。AMBIGUOUS 必须通过进一步 refinement 与 persistence test 再决策。</w:t>
      </w:r>
    </w:p>
    <w:p>
      <w:pPr>
        <w:pStyle w:val="Heading1"/>
      </w:pPr>
      <w:r>
        <w:t>7 分布式 Work Package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907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WP</w:t>
            </w:r>
          </w:p>
        </w:tc>
        <w:tc>
          <w:tcPr>
            <w:tcW w:type="dxa" w:w="4082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工作内容</w:t>
            </w:r>
          </w:p>
        </w:tc>
        <w:tc>
          <w:tcPr>
            <w:tcW w:type="dxa" w:w="1247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可并行</w:t>
            </w:r>
          </w:p>
        </w:tc>
        <w:tc>
          <w:tcPr>
            <w:tcW w:type="dxa" w:w="2268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主要依赖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WP-A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Surface / BVH / closest-point 内核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WP-B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Feature topology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SurfaceMesh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WP-C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标准算例生成器与自动测试框架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WP-D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Adaptive octree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 geometry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WP-E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Surface proximity seeding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BVH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WP-F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Competition candidate extraction / refinement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阶段后续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 + D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WP-G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 canonicalization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mesh topology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WP-H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Ridge / corner classifier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WP-I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Truncated geodesic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surface topology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WP-J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LocalFeatureClassifier 集成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阶段后续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 + H + I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WP-K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Candidate persistence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阶段后续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 + F + J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WP-L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 attribution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candidate format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WP-M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Thickness conversion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完全独立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WP-N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 integration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全部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WP-O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性能 profiling / parallelization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</w:tr>
    </w:tbl>
    <w:p>
      <w:pPr>
        <w:pStyle w:val="Heading1"/>
      </w:pPr>
      <w:r>
        <w:t>8 TODO-001～050 执行清单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1134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TODO</w:t>
            </w:r>
          </w:p>
        </w:tc>
        <w:tc>
          <w:tcPr>
            <w:tcW w:type="dxa" w:w="7370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任务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001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 public interfaces 和所有核心数据结构；暂不实现算法。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002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SurfaceMesh connectivity：vertex-face、edge-face、face-face、connected components。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003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实现鲁棒 point-to-triangle closest point。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004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surface AABB/BVH tree。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005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closest-point query。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006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k-nearest independent surface source query。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007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edge dihedral angle。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008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smooth / feature edge classification。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009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smooth-patch flood fill。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010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构建 feature ridge graph。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构建 feature corner graph。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 analytical benchmark meshes：parallel plates、square duct、circular duct、variable-radius duct、90° corner、U-shape、two-body gap。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coarse surface proximity search。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由 proximity pairs 生成 candidate spatial AABBs。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adaptive octree。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016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 octree samples 附加 closest-source 信息。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017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competition-based refinement criterion。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018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检测 source-switch cells。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019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octree edge 上 pairwise equidistance root finding。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020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 CompetitionCandidate。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使用全局 BVH 重新查询 candidate。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 candidate 的 true nearest-source competition。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SourceCanonicalizer。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合并 duplicate face/edge/vertex closest sources。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trivial adjacency rejection。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026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common feature-ridge lookup。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027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closest-point projection onto ridge。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028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ridge arc-distance。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029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local ridge-angle estimation。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030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wedge-consistency classifier。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common feature-corner lookup。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corner-locality classifier。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truncated surface Dijkstra。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geodesic local/non-local classifier。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candidate significance metrics：source separation、σ、distance ratios。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036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LOCAL / NONLOCAL / AMBIGUOUS 总分类器。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037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AMBIGUOUS candidate adaptive re-refinement。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038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candidate persistence test。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039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candidate contacts → surface triangle attribution。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040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triangle contacts → surface vertices attribution。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计算 raw D_cap per vertex。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 bounded / unbounded 状态。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safety-factor conversion。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geometric-series first-layer conversion。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VTK/VTU debug export：candidate centers、radii、source lines、candidate type、D_cap。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046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执行全部 analytical benchmark tests。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047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 mesh-refinement invariance tests。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048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 performance profiling。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049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 distance queries 加 OpenMP/TBB 并行。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050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撰写 final API documentation 和 algorithm report。</w:t>
            </w:r>
          </w:p>
        </w:tc>
      </w:tr>
    </w:tbl>
    <w:p>
      <w:pPr>
        <w:pStyle w:val="Heading1"/>
      </w:pPr>
      <w:r>
        <w:t>9 Milestone 与验收标准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28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Milestone</w:t>
            </w:r>
          </w:p>
        </w:tc>
        <w:tc>
          <w:tcPr>
            <w:tcW w:type="dxa" w:w="2438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范围</w:t>
            </w:r>
          </w:p>
        </w:tc>
        <w:tc>
          <w:tcPr>
            <w:tcW w:type="dxa" w:w="5102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关键验收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M1 Geometry Kernel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TODO-001～011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distance query 正确；feature topology 可视化正确；基础单元测试全部通过。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M2 Candidate Detection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TODO-013～022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平行板间找到 ρ≈W/2；source-switch 与 root-finding 稳定。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M3 Local Feature Filtering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TODO-023～038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90°/30° ridge 被判 LOCAL；U-shape 同 patch 自接近被判 NONLOCAL；AMBIGUOUS 可通过 refinement 收敛。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M4 Capacity Field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TODO-039～044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变径管不同区域得到不同 D_cap；禁止全局传播最小值。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M5 Robustness &amp; Delivery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TODO-045～050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网格加密结果收敛；性能达标；VTK debug 和 API 文档完整。</w:t>
            </w:r>
          </w:p>
        </w:tc>
      </w:tr>
    </w:tbl>
    <w:p>
      <w:pPr>
        <w:pStyle w:val="Heading1"/>
      </w:pPr>
      <w:r>
        <w:t>10 标准算例与鲁棒性验证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907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Case</w:t>
            </w:r>
          </w:p>
        </w:tc>
        <w:tc>
          <w:tcPr>
            <w:tcW w:type="dxa" w:w="4195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几何/目的</w:t>
            </w:r>
          </w:p>
        </w:tc>
        <w:tc>
          <w:tcPr>
            <w:tcW w:type="dxa" w:w="4309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期望结果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两平行平板，间距 W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D_cap≈W/2。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90° local ridge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局部 competition 可存在，但 classifier=LOCAL，不应令 D_cap→0。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30° sharp ridge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即使 d_g/ρ 较大，wedge classifier 仍应识别为 LOCAL。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U-shaped surface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同一 connected component / smooth patch 的真实 self-proximity 必须为 NONLOCAL。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两独立物体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面对区域 D_cap≈gap/2。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半径 R 圆管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向内局部 D_cap≈R。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变径管 R1→R2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D_cap 随局部半径变化，禁止全管取 min(R)。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匚型二维/挤出三维槽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上下壁竞争结构应位于中间区域。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外凸球向外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无几何阻挡时 bounded=false / UNBOUNDED。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同一几何 10k→40k→160k 三角形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D_cap 随离散加密基本收敛；用于发现 faceting-induced false branches。</w:t>
            </w:r>
          </w:p>
        </w:tc>
      </w:tr>
    </w:tbl>
    <w:p>
      <w:pPr>
        <w:pStyle w:val="Heading1"/>
      </w:pPr>
      <w:r>
        <w:t>11 性能目标与 Profiling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第一版性能目标：约 10^5 三角形表面、8～16 核 CPU，正常模式厚度预测目标 &lt;30 s，可接受上限 &lt;60 s。成熟实现希望达到 10～20 s 量级。该指标为工程开发目标，不是文献 benchmark。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Profiling 项</w:t>
            </w:r>
          </w:p>
        </w:tc>
        <w:tc>
          <w:tcPr>
            <w:tcW w:type="dxa" w:w="6236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必须记录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BVH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构建时间、节点数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Distance query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总调用次数、总耗时、平均耗时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Octree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 cell 数、最大深度、refined cell 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Candidates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raw candidate 数、valid 数、LOCAL/NONLOCAL/AMBIGUOUS 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Geodesic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调用次数、truncated early-stop 比率、耗时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Persistence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二次 refinement candidate 数、通过率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Parallel efficiency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1/4/8/16 线程 wall time</w:t>
            </w:r>
          </w:p>
        </w:tc>
      </w:tr>
    </w:tbl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最重要的性能原则：不要构造全域均匀细 distance grid；不要为每个 candidate 运行完整全表面 Dijkstra；不要重建完整 medial surface topology。</w:t>
      </w:r>
    </w:p>
    <w:p>
      <w:pPr>
        <w:pStyle w:val="Heading1"/>
      </w:pPr>
      <w:r>
        <w:t>12 Debug 可视化与诊断输出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计算几何算法必须从第一版开始支持可视化诊断。建议输出 VTK/VTU/VTP，以便在 ParaView 中直接检查 candidate 与 source attribution。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对象</w:t>
            </w:r>
          </w:p>
        </w:tc>
        <w:tc>
          <w:tcPr>
            <w:tcW w:type="dxa" w:w="6236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建议字段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Surface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D_cap、D_safe、h1、patch_id、feature_type、limiting_candidate_id、bounded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Candidate points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radius、candidate_type、confidence、refinement_level、source_count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 connection lines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q1—m—q2 或多 source 连接；可按 LOCAL/NONLOCAL/AMBIGUOUS 分类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Feature graph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ridge id、corner id、smooth patch id</w:t>
            </w:r>
          </w:p>
        </w:tc>
      </w:tr>
    </w:tbl>
    <w:p>
      <w:pPr>
        <w:pStyle w:val="Heading1"/>
      </w:pPr>
      <w:r>
        <w:t>13 Codex 执行规则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以下规则建议原样放入 Codex 的项目级 instruction / AGENTS.md 或 THICKNESS_PREDICTOR_PLAN.md：</w:t>
      </w:r>
    </w:p>
    <w:p>
      <w:pPr>
        <w:spacing w:before="60" w:after="120"/>
        <w:ind w:left="340" w:right="227"/>
        <w:shd w:fill="F4F6F8"/>
      </w:pPr>
      <w:r>
        <w:rPr>
          <w:rFonts w:ascii="DejaVu Sans Mono" w:hAnsi="DejaVu Sans Mono" w:eastAsia="Noto Sans Mono CJK SC"/>
          <w:sz w:val="17"/>
        </w:rPr>
        <w:t>1. The thickness predictor is a pure geometry-prediction module.</w:t>
        <w:br/>
      </w:r>
      <w:r>
        <w:rPr>
          <w:rFonts w:ascii="DejaVu Sans Mono" w:hAnsi="DejaVu Sans Mono" w:eastAsia="Noto Sans Mono CJK SC"/>
          <w:sz w:val="17"/>
        </w:rPr>
        <w:t>2. Do NOT perform thickness smoothing, marching-vector smoothing, strand generation, prism generation, cliff propagation or transition-element generation.</w:t>
        <w:br/>
      </w:r>
      <w:r>
        <w:rPr>
          <w:rFonts w:ascii="DejaVu Sans Mono" w:hAnsi="DejaVu Sans Mono" w:eastAsia="Noto Sans Mono CJK SC"/>
          <w:sz w:val="17"/>
        </w:rPr>
        <w:t>3. Local ridge/corner singularities must not automatically limit predicted thickness.</w:t>
        <w:br/>
      </w:r>
      <w:r>
        <w:rPr>
          <w:rFonts w:ascii="DejaVu Sans Mono" w:hAnsi="DejaVu Sans Mono" w:eastAsia="Noto Sans Mono CJK SC"/>
          <w:sz w:val="17"/>
        </w:rPr>
        <w:t>4. A candidate constrains only the surface sources responsible for that candidate. Never propagate a local minimum globally across a connected component.</w:t>
        <w:br/>
      </w:r>
      <w:r>
        <w:rPr>
          <w:rFonts w:ascii="DejaVu Sans Mono" w:hAnsi="DejaVu Sans Mono" w:eastAsia="Noto Sans Mono CJK SC"/>
          <w:sz w:val="17"/>
        </w:rPr>
        <w:t>5. Genuine non-local self-proximity must be preserved even when both source points belong to the same smooth surface patch.</w:t>
        <w:br/>
      </w:r>
      <w:r>
        <w:rPr>
          <w:rFonts w:ascii="DejaVu Sans Mono" w:hAnsi="DejaVu Sans Mono" w:eastAsia="Noto Sans Mono CJK SC"/>
          <w:sz w:val="17"/>
        </w:rPr>
        <w:t>6. Do not use initial-normal ray intersection as the primary thickness criterion.</w:t>
        <w:br/>
      </w:r>
      <w:r>
        <w:rPr>
          <w:rFonts w:ascii="DejaVu Sans Mono" w:hAnsi="DejaVu Sans Mono" w:eastAsia="Noto Sans Mono CJK SC"/>
          <w:sz w:val="17"/>
        </w:rPr>
        <w:t>7. All expensive classification paths must remain debuggable: every rejection must have a reason code.</w:t>
        <w:br/>
      </w:r>
      <w:r>
        <w:rPr>
          <w:rFonts w:ascii="DejaVu Sans Mono" w:hAnsi="DejaVu Sans Mono" w:eastAsia="Noto Sans Mono CJK SC"/>
          <w:sz w:val="17"/>
        </w:rPr>
        <w:t>8. Do not replace a bounded/unbounded distinction with max_search_distance silently.</w:t>
        <w:br/>
      </w:r>
      <w:r>
        <w:rPr>
          <w:rFonts w:ascii="DejaVu Sans Mono" w:hAnsi="DejaVu Sans Mono" w:eastAsia="Noto Sans Mono CJK SC"/>
          <w:sz w:val="17"/>
        </w:rPr>
        <w:t>9. Every TODO must have unit tests or benchmark acceptance criteria before being marked complete.</w:t>
        <w:br/>
      </w:r>
      <w:r>
        <w:rPr>
          <w:rFonts w:ascii="DejaVu Sans Mono" w:hAnsi="DejaVu Sans Mono" w:eastAsia="Noto Sans Mono CJK SC"/>
          <w:sz w:val="17"/>
        </w:rPr>
        <w:t>10. Keep LocalFeatureClassifier independent from later mesh-growth logic.</w:t>
        <w:br/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建议第一轮 Codex 不要一次完成全部 TODO。优先完成 WP-A、WP-B、WP-C、WP-D、WP-F、WP-G，先验证 Surface → Distance Field → CompetitionCandidate 是否正确；第二轮加入 Local Feature Rejection；第三轮再做 Source Attribution → D_cap。</w:t>
      </w:r>
    </w:p>
    <w:p>
      <w:pPr>
        <w:pStyle w:val="Heading1"/>
      </w:pPr>
      <w:r>
        <w:t>14 最终交付物与风险控制</w:t>
      </w:r>
    </w:p>
    <w:p>
      <w:pPr>
        <w:pStyle w:val="Heading2"/>
      </w:pPr>
      <w:r>
        <w:t>14.1 最终交付物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可编译的 C++17/20 库与示例 CLI。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ThicknessPredictor 公共 API 与 ThicknessOptions。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全部标准几何自动测试。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VTK/VTU/VTP debug 输出。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性能 benchmark 报告。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THICKNESS_PREDICTOR_PLAN.md、API 文档与算法说明。</w:t>
      </w:r>
    </w:p>
    <w:p>
      <w:pPr>
        <w:pStyle w:val="Heading2"/>
      </w:pPr>
      <w:r>
        <w:t>14.2 主要风险与应对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风险</w:t>
            </w:r>
          </w:p>
        </w:tc>
        <w:tc>
          <w:tcPr>
            <w:tcW w:type="dxa" w:w="3005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表现</w:t>
            </w:r>
          </w:p>
        </w:tc>
        <w:tc>
          <w:tcPr>
            <w:tcW w:type="dxa" w:w="4819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应对策略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三角化噪声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大量极短、跳变的 candidate branches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 canonicalization + significance + persistence + mesh-refinement test。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局部 ridge/corner 误限厚度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sharp feature 附近 D_cap 接近 0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Feature topology + ridge/corner geometry consistency；不使用 raw medial minimum。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同一 smooth patch 自接近被错删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 型/折返表面漏检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 patch 不直接 reject；truncated geodesic + intrinsic/Euclidean ratio。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变径管全局取最小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大管区域被小管限制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严格 source attribution；candidate 只约束 contact region。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运行时间过高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octree/sample/geodesic 数量爆炸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proximity seeding、adaptive refinement、truncated geodesic、parallel distance query。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无几何阻挡时返回伪有限值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外凸自由表面被 D_search 截断当真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显式 bounded/unbounded 状态。</w:t>
            </w:r>
          </w:p>
        </w:tc>
      </w:tr>
    </w:tbl>
    <w:p>
      <w:pPr>
        <w:pStyle w:val="Heading1"/>
      </w:pPr>
      <w:r>
        <w:t>附录 A 推荐公共接口草案</w:t>
      </w:r>
    </w:p>
    <w:p>
      <w:pPr>
        <w:spacing w:before="60" w:after="120"/>
        <w:ind w:left="340" w:right="227"/>
        <w:shd w:fill="F4F6F8"/>
      </w:pPr>
      <w:r>
        <w:rPr>
          <w:rFonts w:ascii="DejaVu Sans Mono" w:hAnsi="DejaVu Sans Mono" w:eastAsia="Noto Sans Mono CJK SC"/>
          <w:sz w:val="17"/>
        </w:rPr>
        <w:t>struct ThicknessOptions {</w:t>
        <w:br/>
      </w:r>
      <w:r>
        <w:rPr>
          <w:rFonts w:ascii="DejaVu Sans Mono" w:hAnsi="DejaVu Sans Mono" w:eastAsia="Noto Sans Mono CJK SC"/>
          <w:sz w:val="17"/>
        </w:rPr>
        <w:t xml:space="preserve">    int num_layers = 40;</w:t>
        <w:br/>
      </w:r>
      <w:r>
        <w:rPr>
          <w:rFonts w:ascii="DejaVu Sans Mono" w:hAnsi="DejaVu Sans Mono" w:eastAsia="Noto Sans Mono CJK SC"/>
          <w:sz w:val="17"/>
        </w:rPr>
        <w:t xml:space="preserve">    double growth_ratio = 1.15;</w:t>
        <w:br/>
      </w:r>
      <w:r>
        <w:rPr>
          <w:rFonts w:ascii="DejaVu Sans Mono" w:hAnsi="DejaVu Sans Mono" w:eastAsia="Noto Sans Mono CJK SC"/>
          <w:sz w:val="17"/>
        </w:rPr>
        <w:t xml:space="preserve">    double safety_factor = 0.60;</w:t>
        <w:br/>
      </w:r>
      <w:r>
        <w:rPr>
          <w:rFonts w:ascii="DejaVu Sans Mono" w:hAnsi="DejaVu Sans Mono" w:eastAsia="Noto Sans Mono CJK SC"/>
          <w:sz w:val="17"/>
        </w:rPr>
        <w:t xml:space="preserve">    double max_search_distance = 0.0;</w:t>
        <w:br/>
      </w:r>
      <w:r>
        <w:rPr>
          <w:rFonts w:ascii="DejaVu Sans Mono" w:hAnsi="DejaVu Sans Mono" w:eastAsia="Noto Sans Mono CJK SC"/>
          <w:sz w:val="17"/>
        </w:rPr>
        <w:t xml:space="preserve">    double feature_angle_threshold = 30.0;</w:t>
        <w:br/>
      </w:r>
      <w:r>
        <w:rPr>
          <w:rFonts w:ascii="DejaVu Sans Mono" w:hAnsi="DejaVu Sans Mono" w:eastAsia="Noto Sans Mono CJK SC"/>
          <w:sz w:val="17"/>
        </w:rPr>
        <w:t xml:space="preserve">    int max_octree_depth = 10;</w:t>
        <w:br/>
      </w:r>
      <w:r>
        <w:rPr>
          <w:rFonts w:ascii="DejaVu Sans Mono" w:hAnsi="DejaVu Sans Mono" w:eastAsia="Noto Sans Mono CJK SC"/>
          <w:sz w:val="17"/>
        </w:rPr>
        <w:t xml:space="preserve">    double distance_tolerance = 1e-6;</w:t>
        <w:br/>
      </w:r>
      <w:r>
        <w:rPr>
          <w:rFonts w:ascii="DejaVu Sans Mono" w:hAnsi="DejaVu Sans Mono" w:eastAsia="Noto Sans Mono CJK SC"/>
          <w:sz w:val="17"/>
        </w:rPr>
        <w:t xml:space="preserve">    double candidate_tolerance = 1e-4;</w:t>
        <w:br/>
      </w:r>
      <w:r>
        <w:rPr>
          <w:rFonts w:ascii="DejaVu Sans Mono" w:hAnsi="DejaVu Sans Mono" w:eastAsia="Noto Sans Mono CJK SC"/>
          <w:sz w:val="17"/>
        </w:rPr>
        <w:t>};</w:t>
        <w:br/>
      </w:r>
      <w:r>
        <w:rPr>
          <w:rFonts w:ascii="DejaVu Sans Mono" w:hAnsi="DejaVu Sans Mono" w:eastAsia="Noto Sans Mono CJK SC"/>
          <w:sz w:val="17"/>
        </w:rPr>
        <w:br/>
      </w:r>
      <w:r>
        <w:rPr>
          <w:rFonts w:ascii="DejaVu Sans Mono" w:hAnsi="DejaVu Sans Mono" w:eastAsia="Noto Sans Mono CJK SC"/>
          <w:sz w:val="17"/>
        </w:rPr>
        <w:t>ThicknessPredictionResult predictThickness(</w:t>
        <w:br/>
      </w:r>
      <w:r>
        <w:rPr>
          <w:rFonts w:ascii="DejaVu Sans Mono" w:hAnsi="DejaVu Sans Mono" w:eastAsia="Noto Sans Mono CJK SC"/>
          <w:sz w:val="17"/>
        </w:rPr>
        <w:t xml:space="preserve">    const SurfaceMesh&amp; mesh,</w:t>
        <w:br/>
      </w:r>
      <w:r>
        <w:rPr>
          <w:rFonts w:ascii="DejaVu Sans Mono" w:hAnsi="DejaVu Sans Mono" w:eastAsia="Noto Sans Mono CJK SC"/>
          <w:sz w:val="17"/>
        </w:rPr>
        <w:t xml:space="preserve">    const GrowthDomain&amp; growth_domain,</w:t>
        <w:br/>
      </w:r>
      <w:r>
        <w:rPr>
          <w:rFonts w:ascii="DejaVu Sans Mono" w:hAnsi="DejaVu Sans Mono" w:eastAsia="Noto Sans Mono CJK SC"/>
          <w:sz w:val="17"/>
        </w:rPr>
        <w:t xml:space="preserve">    const ThicknessOptions&amp; options);</w:t>
        <w:br/>
      </w:r>
    </w:p>
    <w:p>
      <w:pPr>
        <w:pStyle w:val="Heading1"/>
      </w:pPr>
      <w:r>
        <w:t>附录 B 完成判据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sz w:val="21"/>
        </w:rPr>
        <w:t>项目可以认为达到 V1.0 完成状态，当且仅当：所有标准几何测试通过；90°/30° 局部 ridge 不被误作为厚度极限；U-shaped/self-proximity 被保留；变径管得到局部容量而非全局最小值；同一 CAD 几何的多级三角化结果基本收敛；bounded/unbounded 状态正确；Debug VTK 可以解释每一个异常 D_cap 的来源；性能满足约定目标。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Boundary-Layer Thickness Predictor · Project Plan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