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A52409">
      <w:pPr>
        <w:spacing w:after="0" w:line="256" w:lineRule="auto"/>
        <w:ind w:firstLine="0"/>
        <w:jc w:val="left"/>
      </w:pPr>
      <w:r>
        <w:rPr>
          <w:rStyle w:val="translated-span"/>
          <w:sz w:val="48"/>
          <w:szCs w:val="48"/>
        </w:rPr>
        <w:t>走向公平和隐私保护联</w:t>
      </w:r>
      <w:r>
        <w:rPr>
          <w:rStyle w:val="translated-span"/>
          <w:sz w:val="48"/>
          <w:szCs w:val="48"/>
        </w:rPr>
        <w:t>盟</w:t>
      </w:r>
    </w:p>
    <w:p w:rsidR="00000000" w:rsidRDefault="00A52409">
      <w:pPr>
        <w:spacing w:after="0" w:line="256" w:lineRule="auto"/>
        <w:ind w:firstLine="0"/>
        <w:jc w:val="center"/>
      </w:pPr>
      <w:r>
        <w:rPr>
          <w:rStyle w:val="translated-span"/>
          <w:sz w:val="48"/>
          <w:szCs w:val="48"/>
        </w:rPr>
        <w:t>深层模</w:t>
      </w:r>
      <w:r>
        <w:rPr>
          <w:rStyle w:val="translated-span"/>
          <w:sz w:val="48"/>
          <w:szCs w:val="48"/>
        </w:rPr>
        <w:t>型</w:t>
      </w:r>
    </w:p>
    <w:p w:rsidR="00000000" w:rsidRDefault="00A52409">
      <w:pPr>
        <w:spacing w:after="25" w:line="256" w:lineRule="auto"/>
        <w:ind w:left="181" w:firstLine="0"/>
        <w:jc w:val="left"/>
      </w:pPr>
      <w:r>
        <w:rPr>
          <w:rStyle w:val="translated-span"/>
          <w:sz w:val="22"/>
          <w:szCs w:val="22"/>
        </w:rPr>
        <w:t>Lingjuan Lyu</w:t>
      </w:r>
      <w:r>
        <w:rPr>
          <w:rStyle w:val="translated-span"/>
          <w:sz w:val="22"/>
          <w:szCs w:val="22"/>
        </w:rPr>
        <w:t>，</w:t>
      </w:r>
      <w:r>
        <w:rPr>
          <w:rStyle w:val="translated-span"/>
          <w:sz w:val="22"/>
          <w:szCs w:val="22"/>
        </w:rPr>
        <w:t>IEEE</w:t>
      </w:r>
      <w:r>
        <w:rPr>
          <w:rStyle w:val="translated-span"/>
          <w:sz w:val="22"/>
          <w:szCs w:val="22"/>
        </w:rPr>
        <w:t>成员，</w:t>
      </w:r>
      <w:r>
        <w:rPr>
          <w:rStyle w:val="translated-span"/>
          <w:sz w:val="22"/>
          <w:szCs w:val="22"/>
        </w:rPr>
        <w:t>Jiangshan Yu</w:t>
      </w:r>
      <w:r>
        <w:rPr>
          <w:rStyle w:val="translated-span"/>
          <w:sz w:val="22"/>
          <w:szCs w:val="22"/>
        </w:rPr>
        <w:t>，</w:t>
      </w:r>
      <w:r>
        <w:rPr>
          <w:rStyle w:val="translated-span"/>
          <w:sz w:val="22"/>
          <w:szCs w:val="22"/>
        </w:rPr>
        <w:t>Karthik Nandakumar</w:t>
      </w:r>
      <w:r>
        <w:rPr>
          <w:rStyle w:val="translated-span"/>
          <w:sz w:val="22"/>
          <w:szCs w:val="22"/>
        </w:rPr>
        <w:t>，</w:t>
      </w:r>
      <w:r>
        <w:rPr>
          <w:rStyle w:val="translated-span"/>
          <w:sz w:val="22"/>
          <w:szCs w:val="22"/>
        </w:rPr>
        <w:t>IEEE</w:t>
      </w:r>
      <w:r>
        <w:rPr>
          <w:rStyle w:val="translated-span"/>
          <w:sz w:val="22"/>
          <w:szCs w:val="22"/>
        </w:rPr>
        <w:t>高级成员，</w:t>
      </w:r>
      <w:r>
        <w:rPr>
          <w:rStyle w:val="translated-span"/>
          <w:sz w:val="22"/>
          <w:szCs w:val="22"/>
        </w:rPr>
        <w:t>Li Tong Li</w:t>
      </w:r>
      <w:r>
        <w:rPr>
          <w:rStyle w:val="translated-span"/>
          <w:sz w:val="22"/>
          <w:szCs w:val="22"/>
        </w:rPr>
        <w:t>，</w:t>
      </w:r>
      <w:r>
        <w:rPr>
          <w:rStyle w:val="translated-span"/>
          <w:rFonts w:ascii="Cambria" w:hAnsi="Cambria"/>
          <w:sz w:val="22"/>
          <w:szCs w:val="22"/>
          <w:vertAlign w:val="superscript"/>
        </w:rPr>
        <w:t>∗</w:t>
      </w:r>
    </w:p>
    <w:p w:rsidR="00000000" w:rsidRDefault="00A52409">
      <w:pPr>
        <w:spacing w:after="323" w:line="256" w:lineRule="auto"/>
        <w:ind w:right="122" w:firstLine="0"/>
        <w:jc w:val="center"/>
      </w:pPr>
      <w:r>
        <w:rPr>
          <w:rStyle w:val="translated-span"/>
          <w:sz w:val="22"/>
          <w:szCs w:val="22"/>
        </w:rPr>
        <w:t>Ma Xingjun</w:t>
      </w:r>
      <w:r>
        <w:rPr>
          <w:rStyle w:val="translated-span"/>
          <w:sz w:val="22"/>
          <w:szCs w:val="22"/>
        </w:rPr>
        <w:t>，</w:t>
      </w:r>
      <w:r>
        <w:rPr>
          <w:rStyle w:val="translated-span"/>
          <w:sz w:val="22"/>
          <w:szCs w:val="22"/>
        </w:rPr>
        <w:t>Jiong Jin</w:t>
      </w:r>
      <w:r>
        <w:rPr>
          <w:rStyle w:val="translated-span"/>
          <w:sz w:val="22"/>
          <w:szCs w:val="22"/>
        </w:rPr>
        <w:t>，成员，</w:t>
      </w:r>
      <w:r>
        <w:rPr>
          <w:rStyle w:val="translated-span"/>
          <w:sz w:val="22"/>
          <w:szCs w:val="22"/>
        </w:rPr>
        <w:t>IEEE</w:t>
      </w:r>
      <w:r>
        <w:rPr>
          <w:rStyle w:val="translated-span"/>
          <w:sz w:val="22"/>
          <w:szCs w:val="22"/>
        </w:rPr>
        <w:t>、</w:t>
      </w:r>
      <w:r>
        <w:rPr>
          <w:rStyle w:val="translated-span"/>
          <w:sz w:val="22"/>
          <w:szCs w:val="22"/>
        </w:rPr>
        <w:t>Han Yu</w:t>
      </w:r>
      <w:r>
        <w:rPr>
          <w:rStyle w:val="translated-span"/>
          <w:sz w:val="22"/>
          <w:szCs w:val="22"/>
        </w:rPr>
        <w:t>和</w:t>
      </w:r>
      <w:r>
        <w:rPr>
          <w:rStyle w:val="translated-span"/>
          <w:sz w:val="22"/>
          <w:szCs w:val="22"/>
        </w:rPr>
        <w:t>Kee Siong N</w:t>
      </w:r>
      <w:r>
        <w:rPr>
          <w:rStyle w:val="translated-span"/>
          <w:sz w:val="22"/>
          <w:szCs w:val="22"/>
        </w:rPr>
        <w:t>g</w:t>
      </w:r>
      <w:r>
        <w:rPr>
          <w:rStyle w:val="translated-span"/>
          <w:rFonts w:ascii="Cambria" w:hAnsi="Cambria"/>
          <w:sz w:val="22"/>
          <w:szCs w:val="22"/>
          <w:vertAlign w:val="superscript"/>
        </w:rPr>
        <w:t>∗</w:t>
      </w:r>
    </w:p>
    <w:p w:rsidR="00000000" w:rsidRDefault="00A52409">
      <w:pPr>
        <w:spacing w:after="217" w:line="252" w:lineRule="auto"/>
        <w:ind w:left="298" w:right="296" w:firstLine="0"/>
        <w:jc w:val="left"/>
      </w:pPr>
      <w:r>
        <w:rPr>
          <w:rStyle w:val="translated-span"/>
          <w:b/>
          <w:bCs/>
          <w:sz w:val="16"/>
          <w:szCs w:val="16"/>
        </w:rPr>
        <w:t>摘</w:t>
      </w:r>
      <w:r>
        <w:rPr>
          <w:rStyle w:val="translated-span"/>
          <w:b/>
          <w:bCs/>
          <w:sz w:val="16"/>
          <w:szCs w:val="16"/>
        </w:rPr>
        <w:t>要</w:t>
      </w:r>
      <w:r>
        <w:rPr>
          <w:rStyle w:val="translated-span"/>
          <w:sz w:val="16"/>
          <w:szCs w:val="16"/>
        </w:rPr>
        <w:t>-</w:t>
      </w:r>
      <w:r>
        <w:rPr>
          <w:rStyle w:val="translated-span"/>
          <w:sz w:val="16"/>
          <w:szCs w:val="16"/>
        </w:rPr>
        <w:t>目前独立的深度学习框架往往导致过度适应和低效用</w:t>
      </w:r>
      <w:r>
        <w:rPr>
          <w:rStyle w:val="translated-span"/>
          <w:sz w:val="16"/>
          <w:szCs w:val="16"/>
        </w:rPr>
        <w:t>。</w:t>
      </w:r>
      <w:r>
        <w:rPr>
          <w:rStyle w:val="translated-span"/>
          <w:sz w:val="16"/>
          <w:szCs w:val="16"/>
        </w:rPr>
        <w:t>这个问题可以通过部署一个中央服务器来训练来自各方的联合数据的全局模型的集中式框架，或者利用参数服务器聚合本地模型更新的分布式框架来解决</w:t>
      </w:r>
      <w:r>
        <w:rPr>
          <w:rStyle w:val="translated-span"/>
          <w:sz w:val="16"/>
          <w:szCs w:val="16"/>
        </w:rPr>
        <w:t>。</w:t>
      </w:r>
      <w:r>
        <w:rPr>
          <w:rStyle w:val="translated-span"/>
          <w:sz w:val="16"/>
          <w:szCs w:val="16"/>
        </w:rPr>
        <w:t>基于服务器的解决方案容易出现单点故障</w:t>
      </w:r>
      <w:r>
        <w:rPr>
          <w:rStyle w:val="translated-span"/>
          <w:sz w:val="16"/>
          <w:szCs w:val="16"/>
        </w:rPr>
        <w:t>的问题</w:t>
      </w:r>
      <w:r>
        <w:rPr>
          <w:rStyle w:val="translated-span"/>
          <w:sz w:val="16"/>
          <w:szCs w:val="16"/>
        </w:rPr>
        <w:t>。</w:t>
      </w:r>
      <w:r>
        <w:rPr>
          <w:rStyle w:val="translated-span"/>
          <w:sz w:val="16"/>
          <w:szCs w:val="16"/>
        </w:rPr>
        <w:t>在这方面，诸如联合学习（</w:t>
      </w:r>
      <w:r>
        <w:rPr>
          <w:rStyle w:val="translated-span"/>
          <w:sz w:val="16"/>
          <w:szCs w:val="16"/>
        </w:rPr>
        <w:t>FL</w:t>
      </w:r>
      <w:r>
        <w:rPr>
          <w:rStyle w:val="translated-span"/>
          <w:sz w:val="16"/>
          <w:szCs w:val="16"/>
        </w:rPr>
        <w:t>）这样的协作学习框架更加健壮</w:t>
      </w:r>
      <w:r>
        <w:rPr>
          <w:rStyle w:val="translated-span"/>
          <w:sz w:val="16"/>
          <w:szCs w:val="16"/>
        </w:rPr>
        <w:t>。</w:t>
      </w:r>
      <w:r>
        <w:rPr>
          <w:rStyle w:val="translated-span"/>
          <w:sz w:val="16"/>
          <w:szCs w:val="16"/>
        </w:rPr>
        <w:t>现有的联合学习框架忽略了参与的一个重要方面：公平</w:t>
      </w:r>
      <w:r>
        <w:rPr>
          <w:rStyle w:val="translated-span"/>
          <w:sz w:val="16"/>
          <w:szCs w:val="16"/>
        </w:rPr>
        <w:t>。</w:t>
      </w:r>
      <w:r>
        <w:rPr>
          <w:rStyle w:val="translated-span"/>
          <w:sz w:val="16"/>
          <w:szCs w:val="16"/>
        </w:rPr>
        <w:t>所有缔约方都得到了相同的最终模式，而不考虑它们的贡献</w:t>
      </w:r>
      <w:r>
        <w:rPr>
          <w:rStyle w:val="translated-span"/>
          <w:sz w:val="16"/>
          <w:szCs w:val="16"/>
        </w:rPr>
        <w:t>。</w:t>
      </w:r>
      <w:r>
        <w:rPr>
          <w:rStyle w:val="translated-span"/>
          <w:sz w:val="16"/>
          <w:szCs w:val="16"/>
        </w:rPr>
        <w:t>为了解决这些问题，我们提出了一个分散公平和隐私保护的深度学习（</w:t>
      </w:r>
      <w:r>
        <w:rPr>
          <w:rStyle w:val="translated-span"/>
          <w:sz w:val="16"/>
          <w:szCs w:val="16"/>
        </w:rPr>
        <w:t>FPPDL</w:t>
      </w:r>
      <w:r>
        <w:rPr>
          <w:rStyle w:val="translated-span"/>
          <w:sz w:val="16"/>
          <w:szCs w:val="16"/>
        </w:rPr>
        <w:t>）框架，将公平性纳入联邦深度学习模型</w:t>
      </w:r>
      <w:r>
        <w:rPr>
          <w:rStyle w:val="translated-span"/>
          <w:sz w:val="16"/>
          <w:szCs w:val="16"/>
        </w:rPr>
        <w:t>。</w:t>
      </w:r>
      <w:r>
        <w:rPr>
          <w:rStyle w:val="translated-span"/>
          <w:sz w:val="16"/>
          <w:szCs w:val="16"/>
        </w:rPr>
        <w:t>特别地，我们设计了一个本地可信度互评机制来保证公平性，并设计了一个三层洋葱式加密方案来保证准确性和隐私性</w:t>
      </w:r>
      <w:r>
        <w:rPr>
          <w:rStyle w:val="translated-span"/>
          <w:sz w:val="16"/>
          <w:szCs w:val="16"/>
        </w:rPr>
        <w:t>。</w:t>
      </w:r>
      <w:r>
        <w:rPr>
          <w:rStyle w:val="translated-span"/>
          <w:sz w:val="16"/>
          <w:szCs w:val="16"/>
        </w:rPr>
        <w:t>与现有的</w:t>
      </w:r>
      <w:r>
        <w:rPr>
          <w:rStyle w:val="translated-span"/>
          <w:sz w:val="16"/>
          <w:szCs w:val="16"/>
        </w:rPr>
        <w:t>FL</w:t>
      </w:r>
      <w:r>
        <w:rPr>
          <w:rStyle w:val="translated-span"/>
          <w:sz w:val="16"/>
          <w:szCs w:val="16"/>
        </w:rPr>
        <w:t>范式不同，在</w:t>
      </w:r>
      <w:r>
        <w:rPr>
          <w:rStyle w:val="translated-span"/>
          <w:sz w:val="16"/>
          <w:szCs w:val="16"/>
        </w:rPr>
        <w:t>FPPDL</w:t>
      </w:r>
      <w:r>
        <w:rPr>
          <w:rStyle w:val="translated-span"/>
          <w:sz w:val="16"/>
          <w:szCs w:val="16"/>
        </w:rPr>
        <w:t>下，每个参与者都会收到不同版本的</w:t>
      </w:r>
      <w:r>
        <w:rPr>
          <w:rStyle w:val="translated-span"/>
          <w:sz w:val="16"/>
          <w:szCs w:val="16"/>
        </w:rPr>
        <w:t>FL</w:t>
      </w:r>
      <w:r>
        <w:rPr>
          <w:rStyle w:val="translated-span"/>
          <w:sz w:val="16"/>
          <w:szCs w:val="16"/>
        </w:rPr>
        <w:t>模型，其表现与其贡献相称</w:t>
      </w:r>
      <w:r>
        <w:rPr>
          <w:rStyle w:val="translated-span"/>
          <w:sz w:val="16"/>
          <w:szCs w:val="16"/>
        </w:rPr>
        <w:t>。</w:t>
      </w:r>
      <w:r>
        <w:rPr>
          <w:rStyle w:val="translated-span"/>
          <w:sz w:val="16"/>
          <w:szCs w:val="16"/>
        </w:rPr>
        <w:t>在基准数据集上的实验表明，</w:t>
      </w:r>
      <w:r>
        <w:rPr>
          <w:rStyle w:val="translated-span"/>
          <w:sz w:val="16"/>
          <w:szCs w:val="16"/>
        </w:rPr>
        <w:t>FP</w:t>
      </w:r>
      <w:r>
        <w:rPr>
          <w:rStyle w:val="translated-span"/>
          <w:sz w:val="16"/>
          <w:szCs w:val="16"/>
        </w:rPr>
        <w:t>PDL</w:t>
      </w:r>
      <w:r>
        <w:rPr>
          <w:rStyle w:val="translated-span"/>
          <w:sz w:val="16"/>
          <w:szCs w:val="16"/>
        </w:rPr>
        <w:t>平衡了公平性、隐私性和准确性</w:t>
      </w:r>
      <w:r>
        <w:rPr>
          <w:rStyle w:val="translated-span"/>
          <w:sz w:val="16"/>
          <w:szCs w:val="16"/>
        </w:rPr>
        <w:t>。</w:t>
      </w:r>
      <w:r>
        <w:rPr>
          <w:rStyle w:val="translated-span"/>
          <w:sz w:val="16"/>
          <w:szCs w:val="16"/>
        </w:rPr>
        <w:t>它使联合学习生态系统能够发现并孤立低贡献方，从而促进负责任的参与</w:t>
      </w:r>
      <w:r>
        <w:rPr>
          <w:rStyle w:val="translated-span"/>
          <w:sz w:val="16"/>
          <w:szCs w:val="16"/>
        </w:rPr>
        <w:t>。</w:t>
      </w:r>
    </w:p>
    <w:p w:rsidR="00000000" w:rsidRDefault="00A52409">
      <w:pPr>
        <w:spacing w:after="155" w:line="220" w:lineRule="auto"/>
        <w:ind w:left="308" w:hanging="10"/>
      </w:pPr>
      <w:r>
        <w:rPr>
          <w:rStyle w:val="translated-span"/>
          <w:b/>
          <w:bCs/>
          <w:sz w:val="16"/>
          <w:szCs w:val="16"/>
        </w:rPr>
        <w:t>索引术</w:t>
      </w:r>
      <w:r>
        <w:rPr>
          <w:rStyle w:val="translated-span"/>
          <w:b/>
          <w:bCs/>
          <w:sz w:val="16"/>
          <w:szCs w:val="16"/>
        </w:rPr>
        <w:t>语</w:t>
      </w:r>
      <w:r>
        <w:rPr>
          <w:rStyle w:val="translated-span"/>
          <w:sz w:val="16"/>
          <w:szCs w:val="16"/>
        </w:rPr>
        <w:t>-</w:t>
      </w:r>
      <w:r>
        <w:rPr>
          <w:rStyle w:val="translated-span"/>
          <w:sz w:val="16"/>
          <w:szCs w:val="16"/>
        </w:rPr>
        <w:t>联合学习，隐私保护，深度学习，公平，加密</w:t>
      </w:r>
      <w:r>
        <w:rPr>
          <w:rStyle w:val="translated-span"/>
          <w:sz w:val="16"/>
          <w:szCs w:val="16"/>
        </w:rPr>
        <w:t>。</w:t>
      </w:r>
    </w:p>
    <w:p w:rsidR="00000000" w:rsidRDefault="00A52409">
      <w:pPr>
        <w:spacing w:after="0" w:line="256" w:lineRule="auto"/>
        <w:ind w:firstLine="0"/>
        <w:jc w:val="center"/>
      </w:pPr>
      <w:r>
        <w:rPr>
          <w:noProof/>
        </w:rPr>
        <w:drawing>
          <wp:inline distT="0" distB="0" distL="0" distR="0">
            <wp:extent cx="3190875" cy="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190875" cy="9525"/>
                    </a:xfrm>
                    <a:prstGeom prst="rect">
                      <a:avLst/>
                    </a:prstGeom>
                    <a:noFill/>
                    <a:ln>
                      <a:noFill/>
                    </a:ln>
                  </pic:spPr>
                </pic:pic>
              </a:graphicData>
            </a:graphic>
          </wp:inline>
        </w:drawing>
      </w:r>
      <w:r>
        <w:rPr>
          <w:rStyle w:val="translated-span"/>
          <w:sz w:val="22"/>
          <w:szCs w:val="22"/>
        </w:rPr>
        <w:t>F</w:t>
      </w:r>
    </w:p>
    <w:p w:rsidR="00000000" w:rsidRDefault="00A52409">
      <w:pPr>
        <w:spacing w:after="0" w:line="240" w:lineRule="auto"/>
        <w:ind w:firstLine="0"/>
        <w:jc w:val="left"/>
        <w:rPr>
          <w:rFonts w:ascii="宋体" w:hAnsi="宋体"/>
          <w:color w:val="auto"/>
          <w:sz w:val="24"/>
          <w:szCs w:val="24"/>
        </w:rPr>
      </w:pPr>
    </w:p>
    <w:p w:rsidR="00000000" w:rsidRDefault="00A52409">
      <w:pPr>
        <w:pStyle w:val="1"/>
        <w:spacing w:after="138"/>
        <w:ind w:left="344" w:hanging="353"/>
        <w:rPr>
          <w:rFonts w:hint="eastAsia"/>
        </w:rPr>
      </w:pPr>
      <w:r>
        <w:rPr>
          <w:sz w:val="22"/>
          <w:szCs w:val="22"/>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22"/>
          <w:szCs w:val="22"/>
        </w:rPr>
        <w:t>简</w:t>
      </w:r>
      <w:r>
        <w:rPr>
          <w:rStyle w:val="translated-span"/>
          <w:sz w:val="22"/>
          <w:szCs w:val="22"/>
        </w:rPr>
        <w:t>介</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96"/>
      </w:tblGrid>
      <w:tr w:rsidR="00000000">
        <w:trPr>
          <w:divId w:val="1003629851"/>
          <w:tblCellSpacing w:w="0" w:type="dxa"/>
        </w:trPr>
        <w:tc>
          <w:tcPr>
            <w:tcW w:w="0" w:type="auto"/>
            <w:hideMark/>
          </w:tcPr>
          <w:p w:rsidR="00000000" w:rsidRDefault="00A52409">
            <w:pPr>
              <w:spacing w:after="0" w:line="462" w:lineRule="atLeast"/>
              <w:ind w:left="-15" w:firstLine="0"/>
            </w:pPr>
            <w:r>
              <w:rPr>
                <w:rStyle w:val="translated-span"/>
                <w:sz w:val="55"/>
                <w:szCs w:val="55"/>
              </w:rPr>
              <w:t>D</w:t>
            </w:r>
          </w:p>
        </w:tc>
      </w:tr>
    </w:tbl>
    <w:p w:rsidR="00000000" w:rsidRDefault="00A52409">
      <w:pPr>
        <w:ind w:left="-15" w:firstLine="0"/>
      </w:pPr>
      <w:r>
        <w:rPr>
          <w:rStyle w:val="translated-span"/>
          <w:sz w:val="15"/>
          <w:szCs w:val="15"/>
        </w:rPr>
        <w:t>EEP</w:t>
      </w:r>
      <w:r>
        <w:rPr>
          <w:rStyle w:val="translated-span"/>
          <w:sz w:val="15"/>
          <w:szCs w:val="15"/>
        </w:rPr>
        <w:t>学习已经成为解决图像分类和语音识别等具有挑战性的现实问题的重要技术</w:t>
      </w:r>
      <w:r>
        <w:rPr>
          <w:rStyle w:val="translated-span"/>
          <w:sz w:val="15"/>
          <w:szCs w:val="15"/>
        </w:rPr>
        <w:t>。</w:t>
      </w:r>
      <w:r>
        <w:rPr>
          <w:rStyle w:val="translated-span"/>
          <w:sz w:val="15"/>
          <w:szCs w:val="15"/>
        </w:rPr>
        <w:t>经验证据表明，深度学习模型可以从大规模的数据集中受益匪浅</w:t>
      </w:r>
      <w:r>
        <w:rPr>
          <w:rStyle w:val="translated-span"/>
          <w:sz w:val="15"/>
          <w:szCs w:val="15"/>
        </w:rPr>
        <w:t>[1]</w:t>
      </w:r>
      <w:r>
        <w:rPr>
          <w:rStyle w:val="translated-span"/>
          <w:sz w:val="15"/>
          <w:szCs w:val="15"/>
        </w:rPr>
        <w:t>。</w:t>
      </w:r>
      <w:r>
        <w:rPr>
          <w:rStyle w:val="translated-span"/>
          <w:sz w:val="15"/>
          <w:szCs w:val="15"/>
        </w:rPr>
        <w:t>然而，由于数据收集和注释</w:t>
      </w:r>
      <w:r>
        <w:rPr>
          <w:rStyle w:val="translated-span"/>
          <w:sz w:val="15"/>
          <w:szCs w:val="15"/>
        </w:rPr>
        <w:t>[2]</w:t>
      </w:r>
      <w:r>
        <w:rPr>
          <w:rStyle w:val="translated-span"/>
          <w:sz w:val="15"/>
          <w:szCs w:val="15"/>
        </w:rPr>
        <w:t>，</w:t>
      </w:r>
      <w:r>
        <w:rPr>
          <w:rStyle w:val="translated-span"/>
          <w:sz w:val="15"/>
          <w:szCs w:val="15"/>
        </w:rPr>
        <w:t>[3]</w:t>
      </w:r>
      <w:r>
        <w:rPr>
          <w:rStyle w:val="translated-span"/>
          <w:sz w:val="15"/>
          <w:szCs w:val="15"/>
        </w:rPr>
        <w:t>所需的大量时间和精力，大型数据集并不总是适用于新的域</w:t>
      </w:r>
      <w:r>
        <w:rPr>
          <w:rStyle w:val="translated-span"/>
          <w:sz w:val="15"/>
          <w:szCs w:val="15"/>
        </w:rPr>
        <w:t>。</w:t>
      </w:r>
      <w:r>
        <w:rPr>
          <w:rStyle w:val="translated-span"/>
          <w:sz w:val="15"/>
          <w:szCs w:val="15"/>
        </w:rPr>
        <w:t>此外，在大规模数据集上训练复杂的深部网络在计算上是昂贵的，并且在实践中可能不适用</w:t>
      </w:r>
      <w:r>
        <w:rPr>
          <w:rStyle w:val="translated-span"/>
          <w:sz w:val="15"/>
          <w:szCs w:val="15"/>
        </w:rPr>
        <w:t>于一方</w:t>
      </w:r>
      <w:r>
        <w:rPr>
          <w:rStyle w:val="translated-span"/>
          <w:sz w:val="15"/>
          <w:szCs w:val="15"/>
        </w:rPr>
        <w:t>。</w:t>
      </w:r>
      <w:r>
        <w:rPr>
          <w:rStyle w:val="translated-span"/>
          <w:sz w:val="15"/>
          <w:szCs w:val="15"/>
        </w:rPr>
        <w:t>因此，在一组当事人之间以协作的方式进行深度学习的需求很高</w:t>
      </w:r>
      <w:r>
        <w:rPr>
          <w:rStyle w:val="translated-span"/>
          <w:sz w:val="15"/>
          <w:szCs w:val="15"/>
        </w:rPr>
        <w:t>。</w:t>
      </w:r>
    </w:p>
    <w:p w:rsidR="00000000" w:rsidRDefault="00A52409">
      <w:pPr>
        <w:ind w:left="-15"/>
      </w:pPr>
      <w:r>
        <w:rPr>
          <w:rStyle w:val="translated-span"/>
        </w:rPr>
        <w:t>这一趋势的动机是，一方拥有的数据可能非常同质，导致过度拟合，当模型应用于以前看不到的数据时，会对准确性产生负面影响，即泛化能力差</w:t>
      </w:r>
      <w:r>
        <w:rPr>
          <w:rStyle w:val="translated-span"/>
        </w:rPr>
        <w:t>。</w:t>
      </w:r>
      <w:r>
        <w:rPr>
          <w:rStyle w:val="translated-span"/>
        </w:rPr>
        <w:t>利用多方数据进行深度培</w:t>
      </w:r>
      <w:r>
        <w:rPr>
          <w:rStyle w:val="translated-span"/>
        </w:rPr>
        <w:t>训</w:t>
      </w:r>
    </w:p>
    <w:tbl>
      <w:tblPr>
        <w:tblW w:w="5048" w:type="dxa"/>
        <w:tblInd w:w="-8" w:type="dxa"/>
        <w:tblCellMar>
          <w:left w:w="0" w:type="dxa"/>
          <w:right w:w="0" w:type="dxa"/>
        </w:tblCellMar>
        <w:tblLook w:val="04A0" w:firstRow="1" w:lastRow="0" w:firstColumn="1" w:lastColumn="0" w:noHBand="0" w:noVBand="1"/>
      </w:tblPr>
      <w:tblGrid>
        <w:gridCol w:w="5048"/>
      </w:tblGrid>
      <w:tr w:rsidR="00000000">
        <w:trPr>
          <w:trHeight w:val="3503"/>
        </w:trPr>
        <w:tc>
          <w:tcPr>
            <w:tcW w:w="5048" w:type="dxa"/>
            <w:tcMar>
              <w:top w:w="0" w:type="dxa"/>
              <w:left w:w="0" w:type="dxa"/>
              <w:bottom w:w="4" w:type="dxa"/>
              <w:right w:w="0" w:type="dxa"/>
            </w:tcMar>
            <w:vAlign w:val="bottom"/>
            <w:hideMark/>
          </w:tcPr>
          <w:p w:rsidR="00000000" w:rsidRDefault="00A52409">
            <w:pPr>
              <w:spacing w:after="196" w:line="256" w:lineRule="auto"/>
              <w:ind w:left="1268" w:firstLine="0"/>
              <w:jc w:val="left"/>
            </w:pPr>
            <w:r>
              <w:rPr>
                <w:noProof/>
                <w:sz w:val="22"/>
                <w:szCs w:val="22"/>
              </w:rPr>
              <w:drawing>
                <wp:inline distT="0" distB="0" distL="0" distR="0">
                  <wp:extent cx="1609725" cy="9525"/>
                  <wp:effectExtent l="0" t="0" r="0" b="0"/>
                  <wp:docPr id="2" name="Group 15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148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09725" cy="9525"/>
                          </a:xfrm>
                          <a:prstGeom prst="rect">
                            <a:avLst/>
                          </a:prstGeom>
                          <a:noFill/>
                          <a:ln>
                            <a:noFill/>
                          </a:ln>
                        </pic:spPr>
                      </pic:pic>
                    </a:graphicData>
                  </a:graphic>
                </wp:inline>
              </w:drawing>
            </w:r>
          </w:p>
          <w:p w:rsidR="00000000" w:rsidRDefault="00A52409">
            <w:pPr>
              <w:spacing w:after="14" w:line="220" w:lineRule="auto"/>
              <w:ind w:left="277" w:hanging="277"/>
            </w:pPr>
            <w:r>
              <w:rPr>
                <w:rStyle w:val="translated-span"/>
                <w:rFonts w:ascii="Cambria" w:hAnsi="Cambria"/>
                <w:sz w:val="16"/>
                <w:szCs w:val="16"/>
              </w:rPr>
              <w:t>•</w:t>
            </w:r>
            <w:r>
              <w:rPr>
                <w:rStyle w:val="translated-span"/>
                <w:i/>
                <w:iCs/>
                <w:sz w:val="16"/>
                <w:szCs w:val="16"/>
              </w:rPr>
              <w:t>五十、</w:t>
            </w:r>
            <w:r>
              <w:rPr>
                <w:rStyle w:val="translated-span"/>
                <w:i/>
                <w:iCs/>
                <w:sz w:val="16"/>
                <w:szCs w:val="16"/>
              </w:rPr>
              <w:t xml:space="preserve"> </w:t>
            </w:r>
            <w:r>
              <w:rPr>
                <w:rStyle w:val="translated-span"/>
                <w:i/>
                <w:iCs/>
                <w:sz w:val="16"/>
                <w:szCs w:val="16"/>
              </w:rPr>
              <w:t>吕在新加坡国立大学计算机科学系工作</w:t>
            </w:r>
            <w:r>
              <w:rPr>
                <w:rStyle w:val="translated-span"/>
                <w:i/>
                <w:iCs/>
                <w:sz w:val="16"/>
                <w:szCs w:val="16"/>
              </w:rPr>
              <w:t>。</w:t>
            </w:r>
            <w:r>
              <w:rPr>
                <w:rStyle w:val="translated-span"/>
                <w:i/>
                <w:iCs/>
                <w:sz w:val="16"/>
                <w:szCs w:val="16"/>
              </w:rPr>
              <w:t>电子邮件</w:t>
            </w:r>
            <w:r>
              <w:rPr>
                <w:rStyle w:val="translated-span"/>
                <w:i/>
                <w:iCs/>
                <w:sz w:val="16"/>
                <w:szCs w:val="16"/>
              </w:rPr>
              <w:t>：</w:t>
            </w:r>
            <w:r>
              <w:rPr>
                <w:rStyle w:val="translated-span"/>
                <w:i/>
                <w:iCs/>
                <w:sz w:val="16"/>
                <w:szCs w:val="16"/>
              </w:rPr>
              <w:t>lyulj@comp.nus.edu.sg</w:t>
            </w:r>
            <w:r>
              <w:rPr>
                <w:rStyle w:val="translated-span"/>
                <w:i/>
                <w:iCs/>
                <w:sz w:val="16"/>
                <w:szCs w:val="16"/>
              </w:rPr>
              <w:t>。</w:t>
            </w:r>
          </w:p>
          <w:p w:rsidR="00000000" w:rsidRDefault="00A52409">
            <w:pPr>
              <w:spacing w:after="15" w:line="220" w:lineRule="auto"/>
              <w:ind w:left="277" w:hanging="277"/>
            </w:pPr>
            <w:r>
              <w:rPr>
                <w:rStyle w:val="translated-span"/>
                <w:rFonts w:ascii="Cambria" w:hAnsi="Cambria"/>
                <w:sz w:val="16"/>
                <w:szCs w:val="16"/>
              </w:rPr>
              <w:t>•</w:t>
            </w:r>
            <w:r>
              <w:rPr>
                <w:rStyle w:val="translated-span"/>
                <w:i/>
                <w:iCs/>
                <w:sz w:val="16"/>
                <w:szCs w:val="16"/>
              </w:rPr>
              <w:t>J</w:t>
            </w:r>
            <w:r>
              <w:rPr>
                <w:rStyle w:val="translated-span"/>
                <w:i/>
                <w:iCs/>
                <w:sz w:val="16"/>
                <w:szCs w:val="16"/>
              </w:rPr>
              <w:t>、</w:t>
            </w:r>
            <w:r>
              <w:rPr>
                <w:rStyle w:val="translated-span"/>
                <w:i/>
                <w:iCs/>
                <w:sz w:val="16"/>
                <w:szCs w:val="16"/>
              </w:rPr>
              <w:t xml:space="preserve"> </w:t>
            </w:r>
            <w:r>
              <w:rPr>
                <w:rStyle w:val="translated-span"/>
                <w:i/>
                <w:iCs/>
                <w:sz w:val="16"/>
                <w:szCs w:val="16"/>
              </w:rPr>
              <w:t>余教授在澳大利亚克莱顿莫纳什大学信息技术学院工作</w:t>
            </w:r>
            <w:r>
              <w:rPr>
                <w:rStyle w:val="translated-span"/>
                <w:i/>
                <w:iCs/>
                <w:sz w:val="16"/>
                <w:szCs w:val="16"/>
              </w:rPr>
              <w:t>。</w:t>
            </w:r>
            <w:r>
              <w:rPr>
                <w:rStyle w:val="translated-span"/>
                <w:i/>
                <w:iCs/>
                <w:sz w:val="16"/>
                <w:szCs w:val="16"/>
              </w:rPr>
              <w:t>E</w:t>
            </w:r>
            <w:r>
              <w:rPr>
                <w:rStyle w:val="translated-span"/>
                <w:i/>
                <w:iCs/>
                <w:sz w:val="16"/>
                <w:szCs w:val="16"/>
              </w:rPr>
              <w:t>-</w:t>
            </w:r>
            <w:r>
              <w:rPr>
                <w:rStyle w:val="translated-span"/>
                <w:i/>
                <w:iCs/>
                <w:sz w:val="16"/>
                <w:szCs w:val="16"/>
              </w:rPr>
              <w:t>邮箱：</w:t>
            </w:r>
            <w:r>
              <w:rPr>
                <w:rStyle w:val="translated-span"/>
                <w:i/>
                <w:iCs/>
                <w:sz w:val="16"/>
                <w:szCs w:val="16"/>
              </w:rPr>
              <w:t>jiangshan.yu@monash.edu</w:t>
            </w:r>
            <w:r>
              <w:rPr>
                <w:rStyle w:val="translated-span"/>
                <w:i/>
                <w:iCs/>
                <w:sz w:val="16"/>
                <w:szCs w:val="16"/>
              </w:rPr>
              <w:t>。</w:t>
            </w:r>
          </w:p>
          <w:p w:rsidR="00000000" w:rsidRDefault="00A52409">
            <w:pPr>
              <w:spacing w:after="14" w:line="220" w:lineRule="auto"/>
              <w:ind w:left="277" w:hanging="277"/>
            </w:pPr>
            <w:r>
              <w:rPr>
                <w:rStyle w:val="translated-span"/>
                <w:rFonts w:ascii="Cambria" w:hAnsi="Cambria"/>
                <w:sz w:val="16"/>
                <w:szCs w:val="16"/>
              </w:rPr>
              <w:t>•</w:t>
            </w:r>
            <w:r>
              <w:rPr>
                <w:rStyle w:val="translated-span"/>
                <w:i/>
                <w:iCs/>
                <w:sz w:val="16"/>
                <w:szCs w:val="16"/>
              </w:rPr>
              <w:t>K</w:t>
            </w:r>
            <w:r>
              <w:rPr>
                <w:rStyle w:val="translated-span"/>
                <w:i/>
                <w:iCs/>
                <w:sz w:val="16"/>
                <w:szCs w:val="16"/>
              </w:rPr>
              <w:t>、</w:t>
            </w:r>
            <w:r>
              <w:rPr>
                <w:rStyle w:val="translated-span"/>
                <w:i/>
                <w:iCs/>
                <w:sz w:val="16"/>
                <w:szCs w:val="16"/>
              </w:rPr>
              <w:t xml:space="preserve"> Nandakumar</w:t>
            </w:r>
            <w:r>
              <w:rPr>
                <w:rStyle w:val="translated-span"/>
                <w:i/>
                <w:iCs/>
                <w:sz w:val="16"/>
                <w:szCs w:val="16"/>
              </w:rPr>
              <w:t>在</w:t>
            </w:r>
            <w:r>
              <w:rPr>
                <w:rStyle w:val="translated-span"/>
                <w:i/>
                <w:iCs/>
                <w:sz w:val="16"/>
                <w:szCs w:val="16"/>
              </w:rPr>
              <w:t>IBM</w:t>
            </w:r>
            <w:r>
              <w:rPr>
                <w:rStyle w:val="translated-span"/>
                <w:i/>
                <w:iCs/>
                <w:sz w:val="16"/>
                <w:szCs w:val="16"/>
              </w:rPr>
              <w:t>新加坡</w:t>
            </w:r>
            <w:r>
              <w:rPr>
                <w:rStyle w:val="translated-span"/>
                <w:i/>
                <w:iCs/>
                <w:sz w:val="16"/>
                <w:szCs w:val="16"/>
              </w:rPr>
              <w:t>实验室工作，</w:t>
            </w:r>
            <w:r>
              <w:rPr>
                <w:rStyle w:val="translated-span"/>
                <w:i/>
                <w:iCs/>
                <w:sz w:val="16"/>
                <w:szCs w:val="16"/>
              </w:rPr>
              <w:t>018983</w:t>
            </w:r>
            <w:r>
              <w:rPr>
                <w:rStyle w:val="translated-span"/>
                <w:i/>
                <w:iCs/>
                <w:sz w:val="16"/>
                <w:szCs w:val="16"/>
              </w:rPr>
              <w:t>。</w:t>
            </w:r>
            <w:r>
              <w:rPr>
                <w:rStyle w:val="translated-span"/>
                <w:i/>
                <w:iCs/>
                <w:sz w:val="16"/>
                <w:szCs w:val="16"/>
              </w:rPr>
              <w:t>电子邮件：</w:t>
            </w:r>
            <w:r>
              <w:rPr>
                <w:rStyle w:val="translated-span"/>
                <w:i/>
                <w:iCs/>
                <w:sz w:val="16"/>
                <w:szCs w:val="16"/>
              </w:rPr>
              <w:t>nkarthik@sg.ibm.com</w:t>
            </w:r>
            <w:r>
              <w:rPr>
                <w:rStyle w:val="translated-span"/>
                <w:i/>
                <w:iCs/>
                <w:sz w:val="16"/>
                <w:szCs w:val="16"/>
              </w:rPr>
              <w:t>。</w:t>
            </w:r>
          </w:p>
          <w:p w:rsidR="00000000" w:rsidRDefault="00A52409">
            <w:pPr>
              <w:spacing w:after="14" w:line="220" w:lineRule="auto"/>
              <w:ind w:left="277" w:hanging="277"/>
            </w:pPr>
            <w:r>
              <w:rPr>
                <w:rStyle w:val="translated-span"/>
                <w:rFonts w:ascii="Cambria" w:hAnsi="Cambria"/>
                <w:sz w:val="16"/>
                <w:szCs w:val="16"/>
              </w:rPr>
              <w:t>•</w:t>
            </w:r>
            <w:r>
              <w:rPr>
                <w:rStyle w:val="translated-span"/>
                <w:i/>
                <w:iCs/>
                <w:sz w:val="16"/>
                <w:szCs w:val="16"/>
              </w:rPr>
              <w:t>Y</w:t>
            </w:r>
            <w:r>
              <w:rPr>
                <w:rStyle w:val="translated-span"/>
                <w:i/>
                <w:iCs/>
                <w:sz w:val="16"/>
                <w:szCs w:val="16"/>
              </w:rPr>
              <w:t>、</w:t>
            </w:r>
            <w:r>
              <w:rPr>
                <w:rStyle w:val="translated-span"/>
                <w:i/>
                <w:iCs/>
                <w:sz w:val="16"/>
                <w:szCs w:val="16"/>
              </w:rPr>
              <w:t xml:space="preserve"> </w:t>
            </w:r>
            <w:r>
              <w:rPr>
                <w:rStyle w:val="translated-span"/>
                <w:i/>
                <w:iCs/>
                <w:sz w:val="16"/>
                <w:szCs w:val="16"/>
              </w:rPr>
              <w:t>李和</w:t>
            </w:r>
            <w:r>
              <w:rPr>
                <w:rStyle w:val="translated-span"/>
                <w:i/>
                <w:iCs/>
                <w:sz w:val="16"/>
                <w:szCs w:val="16"/>
              </w:rPr>
              <w:t>X.Ma</w:t>
            </w:r>
            <w:r>
              <w:rPr>
                <w:rStyle w:val="translated-span"/>
                <w:i/>
                <w:iCs/>
                <w:sz w:val="16"/>
                <w:szCs w:val="16"/>
              </w:rPr>
              <w:t>是澳大利亚墨尔本大学计算机与信息系统学院的一员，邮编</w:t>
            </w:r>
            <w:r>
              <w:rPr>
                <w:rStyle w:val="translated-span"/>
                <w:i/>
                <w:iCs/>
                <w:sz w:val="16"/>
                <w:szCs w:val="16"/>
              </w:rPr>
              <w:t>3010</w:t>
            </w:r>
            <w:r>
              <w:rPr>
                <w:rStyle w:val="translated-span"/>
                <w:i/>
                <w:iCs/>
                <w:sz w:val="16"/>
                <w:szCs w:val="16"/>
              </w:rPr>
              <w:t>。</w:t>
            </w:r>
            <w:r>
              <w:rPr>
                <w:rStyle w:val="translated-span"/>
                <w:i/>
                <w:iCs/>
                <w:sz w:val="16"/>
                <w:szCs w:val="16"/>
              </w:rPr>
              <w:t>电子邮件</w:t>
            </w:r>
            <w:r>
              <w:rPr>
                <w:rStyle w:val="translated-span"/>
                <w:i/>
                <w:iCs/>
                <w:sz w:val="16"/>
                <w:szCs w:val="16"/>
              </w:rPr>
              <w:t>：</w:t>
            </w:r>
            <w:r>
              <w:rPr>
                <w:rStyle w:val="translated-span"/>
                <w:i/>
                <w:iCs/>
                <w:sz w:val="16"/>
                <w:szCs w:val="16"/>
              </w:rPr>
              <w:t>yitongl4@student.unimelb.edu.au</w:t>
            </w:r>
            <w:r>
              <w:rPr>
                <w:rStyle w:val="translated-span"/>
                <w:i/>
                <w:iCs/>
                <w:sz w:val="16"/>
                <w:szCs w:val="16"/>
              </w:rPr>
              <w:t>；</w:t>
            </w:r>
            <w:r>
              <w:rPr>
                <w:rStyle w:val="translated-span"/>
                <w:i/>
                <w:iCs/>
                <w:sz w:val="16"/>
                <w:szCs w:val="16"/>
              </w:rPr>
              <w:t>马兴</w:t>
            </w:r>
            <w:r>
              <w:rPr>
                <w:rStyle w:val="translated-span"/>
                <w:i/>
                <w:iCs/>
                <w:sz w:val="16"/>
                <w:szCs w:val="16"/>
              </w:rPr>
              <w:t>军</w:t>
            </w:r>
            <w:r>
              <w:rPr>
                <w:rStyle w:val="translated-span"/>
                <w:i/>
                <w:iCs/>
                <w:sz w:val="16"/>
                <w:szCs w:val="16"/>
              </w:rPr>
              <w:t>@</w:t>
            </w:r>
            <w:r>
              <w:rPr>
                <w:rStyle w:val="translated-span"/>
                <w:i/>
                <w:iCs/>
                <w:sz w:val="16"/>
                <w:szCs w:val="16"/>
              </w:rPr>
              <w:t>unimelb.edu.au</w:t>
            </w:r>
            <w:r>
              <w:rPr>
                <w:rStyle w:val="translated-span"/>
                <w:i/>
                <w:iCs/>
                <w:sz w:val="16"/>
                <w:szCs w:val="16"/>
              </w:rPr>
              <w:t>大</w:t>
            </w:r>
            <w:r>
              <w:rPr>
                <w:rStyle w:val="translated-span"/>
                <w:i/>
                <w:iCs/>
                <w:sz w:val="16"/>
                <w:szCs w:val="16"/>
              </w:rPr>
              <w:t>学</w:t>
            </w:r>
            <w:r>
              <w:rPr>
                <w:rStyle w:val="translated-span"/>
                <w:i/>
                <w:iCs/>
                <w:sz w:val="16"/>
                <w:szCs w:val="16"/>
              </w:rPr>
              <w:t>.</w:t>
            </w:r>
          </w:p>
          <w:p w:rsidR="00000000" w:rsidRDefault="00A52409">
            <w:pPr>
              <w:spacing w:after="15" w:line="220" w:lineRule="auto"/>
              <w:ind w:left="277" w:hanging="277"/>
            </w:pPr>
            <w:r>
              <w:rPr>
                <w:rStyle w:val="translated-span"/>
                <w:rFonts w:ascii="Cambria" w:hAnsi="Cambria"/>
                <w:sz w:val="16"/>
                <w:szCs w:val="16"/>
              </w:rPr>
              <w:t>•</w:t>
            </w:r>
            <w:r>
              <w:rPr>
                <w:rStyle w:val="translated-span"/>
                <w:i/>
                <w:iCs/>
                <w:sz w:val="16"/>
                <w:szCs w:val="16"/>
              </w:rPr>
              <w:t>J</w:t>
            </w:r>
            <w:r>
              <w:rPr>
                <w:rStyle w:val="translated-span"/>
                <w:i/>
                <w:iCs/>
                <w:sz w:val="16"/>
                <w:szCs w:val="16"/>
              </w:rPr>
              <w:t>、</w:t>
            </w:r>
            <w:r>
              <w:rPr>
                <w:rStyle w:val="translated-span"/>
                <w:i/>
                <w:iCs/>
                <w:sz w:val="16"/>
                <w:szCs w:val="16"/>
              </w:rPr>
              <w:t xml:space="preserve"> Jin</w:t>
            </w:r>
            <w:r>
              <w:rPr>
                <w:rStyle w:val="translated-span"/>
                <w:i/>
                <w:iCs/>
                <w:sz w:val="16"/>
                <w:szCs w:val="16"/>
              </w:rPr>
              <w:t>现供职于澳大利亚墨尔本斯文伯恩科技大学软件与电气工程学院</w:t>
            </w:r>
            <w:r>
              <w:rPr>
                <w:rStyle w:val="translated-span"/>
                <w:i/>
                <w:iCs/>
                <w:sz w:val="16"/>
                <w:szCs w:val="16"/>
              </w:rPr>
              <w:t>。</w:t>
            </w:r>
            <w:r>
              <w:rPr>
                <w:rStyle w:val="translated-span"/>
                <w:i/>
                <w:iCs/>
                <w:sz w:val="16"/>
                <w:szCs w:val="16"/>
              </w:rPr>
              <w:t>电子邮件</w:t>
            </w:r>
            <w:r>
              <w:rPr>
                <w:rStyle w:val="translated-span"/>
                <w:i/>
                <w:iCs/>
                <w:sz w:val="16"/>
                <w:szCs w:val="16"/>
              </w:rPr>
              <w:t>：</w:t>
            </w:r>
            <w:r>
              <w:rPr>
                <w:rStyle w:val="translated-span"/>
                <w:i/>
                <w:iCs/>
                <w:sz w:val="16"/>
                <w:szCs w:val="16"/>
              </w:rPr>
              <w:t>jiongjin@swin.edu.au</w:t>
            </w:r>
            <w:r>
              <w:rPr>
                <w:rStyle w:val="translated-span"/>
                <w:i/>
                <w:iCs/>
                <w:sz w:val="16"/>
                <w:szCs w:val="16"/>
              </w:rPr>
              <w:t>。</w:t>
            </w:r>
          </w:p>
          <w:p w:rsidR="00000000" w:rsidRDefault="00A52409">
            <w:pPr>
              <w:spacing w:after="7" w:line="230" w:lineRule="auto"/>
              <w:ind w:left="277" w:hanging="277"/>
            </w:pPr>
            <w:r>
              <w:rPr>
                <w:rStyle w:val="translated-span"/>
                <w:rFonts w:ascii="Cambria" w:hAnsi="Cambria"/>
                <w:sz w:val="16"/>
                <w:szCs w:val="16"/>
              </w:rPr>
              <w:t>•</w:t>
            </w:r>
            <w:r>
              <w:rPr>
                <w:rStyle w:val="translated-span"/>
                <w:i/>
                <w:iCs/>
                <w:sz w:val="16"/>
                <w:szCs w:val="16"/>
              </w:rPr>
              <w:t>韩宇是新加坡南洋理工大学计算机科学与工程学院的学生</w:t>
            </w:r>
            <w:r>
              <w:rPr>
                <w:rStyle w:val="translated-span"/>
                <w:i/>
                <w:iCs/>
                <w:sz w:val="16"/>
                <w:szCs w:val="16"/>
              </w:rPr>
              <w:t>。</w:t>
            </w:r>
            <w:r>
              <w:rPr>
                <w:rStyle w:val="translated-span"/>
                <w:i/>
                <w:iCs/>
                <w:sz w:val="16"/>
                <w:szCs w:val="16"/>
              </w:rPr>
              <w:t>电子邮件</w:t>
            </w:r>
            <w:r>
              <w:rPr>
                <w:rStyle w:val="translated-span"/>
                <w:i/>
                <w:iCs/>
                <w:sz w:val="16"/>
                <w:szCs w:val="16"/>
              </w:rPr>
              <w:t>：</w:t>
            </w:r>
            <w:r>
              <w:rPr>
                <w:rStyle w:val="translated-span"/>
                <w:i/>
                <w:iCs/>
                <w:sz w:val="16"/>
                <w:szCs w:val="16"/>
              </w:rPr>
              <w:t>韩</w:t>
            </w:r>
            <w:r>
              <w:rPr>
                <w:rStyle w:val="translated-span"/>
                <w:i/>
                <w:iCs/>
                <w:sz w:val="16"/>
                <w:szCs w:val="16"/>
              </w:rPr>
              <w:t>愈</w:t>
            </w:r>
            <w:r>
              <w:rPr>
                <w:rStyle w:val="translated-span"/>
                <w:i/>
                <w:iCs/>
                <w:sz w:val="16"/>
                <w:szCs w:val="16"/>
              </w:rPr>
              <w:t>@</w:t>
            </w:r>
            <w:r>
              <w:rPr>
                <w:rStyle w:val="translated-span"/>
                <w:i/>
                <w:iCs/>
                <w:sz w:val="16"/>
                <w:szCs w:val="16"/>
              </w:rPr>
              <w:t>南洋理工大</w:t>
            </w:r>
            <w:r>
              <w:rPr>
                <w:rStyle w:val="translated-span"/>
                <w:i/>
                <w:iCs/>
                <w:sz w:val="16"/>
                <w:szCs w:val="16"/>
              </w:rPr>
              <w:t>学</w:t>
            </w:r>
            <w:r>
              <w:rPr>
                <w:rStyle w:val="translated-span"/>
                <w:i/>
                <w:iCs/>
                <w:sz w:val="16"/>
                <w:szCs w:val="16"/>
              </w:rPr>
              <w:t>.</w:t>
            </w:r>
          </w:p>
          <w:p w:rsidR="00000000" w:rsidRDefault="00A52409">
            <w:pPr>
              <w:spacing w:after="91" w:line="220" w:lineRule="auto"/>
              <w:ind w:left="277" w:hanging="277"/>
            </w:pPr>
            <w:r>
              <w:rPr>
                <w:rStyle w:val="translated-span"/>
                <w:rFonts w:ascii="Cambria" w:hAnsi="Cambria"/>
                <w:sz w:val="16"/>
                <w:szCs w:val="16"/>
              </w:rPr>
              <w:t>•</w:t>
            </w:r>
            <w:r>
              <w:rPr>
                <w:rStyle w:val="translated-span"/>
                <w:i/>
                <w:iCs/>
                <w:sz w:val="16"/>
                <w:szCs w:val="16"/>
              </w:rPr>
              <w:t xml:space="preserve">Kee Siong </w:t>
            </w:r>
            <w:r>
              <w:rPr>
                <w:rStyle w:val="translated-span"/>
                <w:i/>
                <w:iCs/>
                <w:sz w:val="16"/>
                <w:szCs w:val="16"/>
              </w:rPr>
              <w:t>Ng</w:t>
            </w:r>
            <w:r>
              <w:rPr>
                <w:rStyle w:val="translated-span"/>
                <w:i/>
                <w:iCs/>
                <w:sz w:val="16"/>
                <w:szCs w:val="16"/>
              </w:rPr>
              <w:t>是澳大利亚国立大学软件创新研究所的成员</w:t>
            </w:r>
            <w:r>
              <w:rPr>
                <w:rStyle w:val="translated-span"/>
                <w:i/>
                <w:iCs/>
                <w:sz w:val="16"/>
                <w:szCs w:val="16"/>
              </w:rPr>
              <w:t>。</w:t>
            </w:r>
            <w:r>
              <w:rPr>
                <w:rStyle w:val="translated-span"/>
                <w:i/>
                <w:iCs/>
                <w:sz w:val="16"/>
                <w:szCs w:val="16"/>
              </w:rPr>
              <w:t>电子邮件</w:t>
            </w:r>
            <w:r>
              <w:rPr>
                <w:rStyle w:val="translated-span"/>
                <w:i/>
                <w:iCs/>
                <w:sz w:val="16"/>
                <w:szCs w:val="16"/>
              </w:rPr>
              <w:t>：</w:t>
            </w:r>
            <w:r>
              <w:rPr>
                <w:rStyle w:val="translated-span"/>
                <w:i/>
                <w:iCs/>
                <w:sz w:val="16"/>
                <w:szCs w:val="16"/>
              </w:rPr>
              <w:t>保</w:t>
            </w:r>
            <w:r>
              <w:rPr>
                <w:rStyle w:val="translated-span"/>
                <w:i/>
                <w:iCs/>
                <w:sz w:val="16"/>
                <w:szCs w:val="16"/>
              </w:rPr>
              <w:t>持</w:t>
            </w:r>
            <w:r>
              <w:rPr>
                <w:rStyle w:val="translated-span"/>
                <w:i/>
                <w:iCs/>
                <w:sz w:val="16"/>
                <w:szCs w:val="16"/>
              </w:rPr>
              <w:t>@</w:t>
            </w:r>
            <w:r>
              <w:rPr>
                <w:rStyle w:val="translated-span"/>
                <w:i/>
                <w:iCs/>
                <w:sz w:val="16"/>
                <w:szCs w:val="16"/>
              </w:rPr>
              <w:t>澳大利亚教育</w:t>
            </w:r>
            <w:r>
              <w:rPr>
                <w:rStyle w:val="translated-span"/>
                <w:i/>
                <w:iCs/>
                <w:sz w:val="16"/>
                <w:szCs w:val="16"/>
              </w:rPr>
              <w:t>局</w:t>
            </w:r>
            <w:r>
              <w:rPr>
                <w:rStyle w:val="translated-span"/>
                <w:i/>
                <w:iCs/>
                <w:sz w:val="16"/>
                <w:szCs w:val="16"/>
              </w:rPr>
              <w:t>.</w:t>
            </w:r>
          </w:p>
          <w:p w:rsidR="00000000" w:rsidRDefault="00A52409">
            <w:pPr>
              <w:spacing w:after="0" w:line="256" w:lineRule="auto"/>
              <w:ind w:left="8" w:firstLine="0"/>
              <w:jc w:val="left"/>
            </w:pPr>
            <w:r>
              <w:rPr>
                <w:rStyle w:val="translated-span"/>
                <w:rFonts w:ascii="Cambria" w:hAnsi="Cambria"/>
                <w:sz w:val="16"/>
                <w:szCs w:val="16"/>
                <w:vertAlign w:val="superscript"/>
              </w:rPr>
              <w:t>∗</w:t>
            </w:r>
            <w:r>
              <w:rPr>
                <w:rStyle w:val="translated-span"/>
                <w:i/>
                <w:iCs/>
                <w:sz w:val="16"/>
                <w:szCs w:val="16"/>
              </w:rPr>
              <w:t>通讯作者</w:t>
            </w:r>
            <w:r>
              <w:rPr>
                <w:rStyle w:val="translated-span"/>
                <w:i/>
                <w:iCs/>
                <w:sz w:val="16"/>
                <w:szCs w:val="16"/>
              </w:rPr>
              <w:t>。</w:t>
            </w:r>
          </w:p>
        </w:tc>
      </w:tr>
    </w:tbl>
    <w:p w:rsidR="00000000" w:rsidRDefault="00A52409">
      <w:pPr>
        <w:ind w:left="-15" w:firstLine="0"/>
      </w:pPr>
      <w:r>
        <w:rPr>
          <w:rStyle w:val="translated-span"/>
        </w:rPr>
        <w:t>模型可以帮助缓解这个问题</w:t>
      </w:r>
      <w:r>
        <w:rPr>
          <w:rStyle w:val="translated-span"/>
        </w:rPr>
        <w:t>。</w:t>
      </w:r>
      <w:r>
        <w:rPr>
          <w:rStyle w:val="translated-span"/>
        </w:rPr>
        <w:t>然而，由于隐私问题，协作模型培训可能不可行</w:t>
      </w:r>
      <w:r>
        <w:rPr>
          <w:rStyle w:val="translated-span"/>
        </w:rPr>
        <w:t>。</w:t>
      </w:r>
      <w:r>
        <w:rPr>
          <w:rStyle w:val="translated-span"/>
        </w:rPr>
        <w:t>联合学习（</w:t>
      </w:r>
      <w:r>
        <w:rPr>
          <w:rStyle w:val="translated-span"/>
        </w:rPr>
        <w:t>FL</w:t>
      </w:r>
      <w:r>
        <w:rPr>
          <w:rStyle w:val="translated-span"/>
        </w:rPr>
        <w:t>）将隐私保护技术融入到协作模型训练中，为这一挑战提供了一个潜在的解决方案</w:t>
      </w:r>
      <w:r>
        <w:rPr>
          <w:rStyle w:val="translated-span"/>
        </w:rPr>
        <w:t>[4]</w:t>
      </w:r>
      <w:r>
        <w:rPr>
          <w:rStyle w:val="translated-span"/>
        </w:rPr>
        <w:t>。</w:t>
      </w:r>
    </w:p>
    <w:p w:rsidR="00000000" w:rsidRDefault="00A52409">
      <w:pPr>
        <w:ind w:left="-15"/>
      </w:pPr>
      <w:r>
        <w:rPr>
          <w:rStyle w:val="translated-span"/>
        </w:rPr>
        <w:t>在当前的联合学习范式</w:t>
      </w:r>
      <w:r>
        <w:rPr>
          <w:rStyle w:val="translated-span"/>
        </w:rPr>
        <w:t>[5]</w:t>
      </w:r>
      <w:r>
        <w:rPr>
          <w:rStyle w:val="translated-span"/>
        </w:rPr>
        <w:t>中，所有参与者在协作模型培训结束时接受相同的联邦模型，而不管他们的贡献如何</w:t>
      </w:r>
      <w:r>
        <w:rPr>
          <w:rStyle w:val="translated-span"/>
        </w:rPr>
        <w:t>。</w:t>
      </w:r>
      <w:r>
        <w:rPr>
          <w:rStyle w:val="translated-span"/>
        </w:rPr>
        <w:t>这使得这种范式容易受到搭便车参与者的攻击</w:t>
      </w:r>
      <w:r>
        <w:rPr>
          <w:rStyle w:val="translated-span"/>
        </w:rPr>
        <w:t>。</w:t>
      </w:r>
      <w:r>
        <w:rPr>
          <w:rStyle w:val="translated-span"/>
        </w:rPr>
        <w:t>例如，几家银行可能会合作建立模型来预测中小企业的信用度</w:t>
      </w:r>
      <w:r>
        <w:rPr>
          <w:rStyle w:val="translated-span"/>
        </w:rPr>
        <w:t>。</w:t>
      </w:r>
      <w:r>
        <w:rPr>
          <w:rStyle w:val="translated-span"/>
        </w:rPr>
        <w:t>然而，拥有更多数据的大型银行可能不愿意根据高质量的</w:t>
      </w:r>
      <w:r>
        <w:rPr>
          <w:rStyle w:val="translated-span"/>
        </w:rPr>
        <w:t>本地数据训练本地模型，因为担心小型银行从共享</w:t>
      </w:r>
      <w:r>
        <w:rPr>
          <w:rStyle w:val="translated-span"/>
        </w:rPr>
        <w:t>FL</w:t>
      </w:r>
      <w:r>
        <w:rPr>
          <w:rStyle w:val="translated-span"/>
        </w:rPr>
        <w:t>模型中获益并侵蚀其市场份额</w:t>
      </w:r>
      <w:r>
        <w:rPr>
          <w:rStyle w:val="translated-span"/>
        </w:rPr>
        <w:t>[4]</w:t>
      </w:r>
      <w:r>
        <w:rPr>
          <w:rStyle w:val="translated-span"/>
        </w:rPr>
        <w:t>。</w:t>
      </w:r>
      <w:r>
        <w:rPr>
          <w:rStyle w:val="translated-span"/>
        </w:rPr>
        <w:t>如果没有隐私的保障和协作公平的承诺，拥有高质量和大数据集的参与者可能会被阻止加入联合学习，从而对健康的外语学习生态系统的形成产生负面影响</w:t>
      </w:r>
      <w:r>
        <w:rPr>
          <w:rStyle w:val="translated-span"/>
        </w:rPr>
        <w:t>。</w:t>
      </w:r>
      <w:r>
        <w:rPr>
          <w:rStyle w:val="translated-span"/>
        </w:rPr>
        <w:t>现有的公平性研究主要集中在保护敏感属性或减少参与者之间预测分布的方差</w:t>
      </w:r>
      <w:r>
        <w:rPr>
          <w:rStyle w:val="translated-span"/>
        </w:rPr>
        <w:t>[6]</w:t>
      </w:r>
      <w:r>
        <w:rPr>
          <w:rStyle w:val="translated-span"/>
        </w:rPr>
        <w:t>，</w:t>
      </w:r>
      <w:r>
        <w:rPr>
          <w:rStyle w:val="translated-span"/>
        </w:rPr>
        <w:t>[7]</w:t>
      </w:r>
      <w:r>
        <w:rPr>
          <w:rStyle w:val="translated-span"/>
        </w:rPr>
        <w:t>。</w:t>
      </w:r>
      <w:r>
        <w:rPr>
          <w:rStyle w:val="translated-span"/>
        </w:rPr>
        <w:t>公平对待联合学习参与者的问题仍然没有解决</w:t>
      </w:r>
      <w:r>
        <w:rPr>
          <w:rStyle w:val="translated-span"/>
        </w:rPr>
        <w:t>[4]</w:t>
      </w:r>
      <w:r>
        <w:rPr>
          <w:rStyle w:val="translated-span"/>
        </w:rPr>
        <w:t>。</w:t>
      </w:r>
    </w:p>
    <w:p w:rsidR="00000000" w:rsidRDefault="00A52409">
      <w:pPr>
        <w:ind w:left="-15"/>
      </w:pPr>
      <w:r>
        <w:rPr>
          <w:rStyle w:val="translated-span"/>
        </w:rPr>
        <w:t>在这篇论文中，我们讨论了公平对待外语参与者的问题，基于他们对构建健康外语生态系统的贡献</w:t>
      </w:r>
      <w:r>
        <w:rPr>
          <w:rStyle w:val="translated-span"/>
        </w:rPr>
        <w:t>。</w:t>
      </w:r>
      <w:r>
        <w:rPr>
          <w:rStyle w:val="translated-span"/>
        </w:rPr>
        <w:t>我们将所提出的框架称为分散公平和隐私保护深度学习（</w:t>
      </w:r>
      <w:r>
        <w:rPr>
          <w:rStyle w:val="translated-span"/>
        </w:rPr>
        <w:t>FPPDL</w:t>
      </w:r>
      <w:r>
        <w:rPr>
          <w:rStyle w:val="translated-span"/>
        </w:rPr>
        <w:t>）框架</w:t>
      </w:r>
      <w:r>
        <w:rPr>
          <w:rStyle w:val="translated-span"/>
        </w:rPr>
        <w:t>。</w:t>
      </w:r>
      <w:r>
        <w:rPr>
          <w:rStyle w:val="translated-span"/>
        </w:rPr>
        <w:t>与</w:t>
      </w:r>
      <w:r>
        <w:rPr>
          <w:rStyle w:val="translated-span"/>
        </w:rPr>
        <w:t>现有的工作（如</w:t>
      </w:r>
      <w:r>
        <w:rPr>
          <w:rStyle w:val="translated-span"/>
        </w:rPr>
        <w:t>[8]</w:t>
      </w:r>
      <w:r>
        <w:rPr>
          <w:rStyle w:val="translated-span"/>
        </w:rPr>
        <w:t>）使用货币奖励来激励良好行为不同，我们提出的解决方案从根本上改变了当前的外语教学模式，因此参与者最终可能不会得到相同的外语学习模式</w:t>
      </w:r>
      <w:r>
        <w:rPr>
          <w:rStyle w:val="translated-span"/>
        </w:rPr>
        <w:t>。</w:t>
      </w:r>
      <w:r>
        <w:rPr>
          <w:rStyle w:val="translated-span"/>
        </w:rPr>
        <w:t>取而代之的是，他们每个人都将得到一个最终的</w:t>
      </w:r>
      <w:r>
        <w:rPr>
          <w:rStyle w:val="translated-span"/>
        </w:rPr>
        <w:t>FL</w:t>
      </w:r>
      <w:r>
        <w:rPr>
          <w:rStyle w:val="translated-span"/>
        </w:rPr>
        <w:t>模型，其表现反映了他们对联合会的个人贡献</w:t>
      </w:r>
      <w:r>
        <w:rPr>
          <w:rStyle w:val="translated-span"/>
        </w:rPr>
        <w:t>。</w:t>
      </w:r>
      <w:r>
        <w:rPr>
          <w:rStyle w:val="translated-span"/>
        </w:rPr>
        <w:t>FPPDL</w:t>
      </w:r>
      <w:r>
        <w:rPr>
          <w:rStyle w:val="translated-span"/>
        </w:rPr>
        <w:t>不要求参与者相互信任或任何第三方</w:t>
      </w:r>
      <w:r>
        <w:rPr>
          <w:rStyle w:val="translated-span"/>
        </w:rPr>
        <w:t>。</w:t>
      </w:r>
      <w:r>
        <w:rPr>
          <w:rStyle w:val="translated-span"/>
        </w:rPr>
        <w:t>它通过区块链技术记录所有操作，包括上传和下载不同的私有人工样本和加密模型更新</w:t>
      </w:r>
      <w:r>
        <w:rPr>
          <w:rStyle w:val="translated-span"/>
        </w:rPr>
        <w:t>。</w:t>
      </w:r>
      <w:r>
        <w:rPr>
          <w:rStyle w:val="translated-span"/>
        </w:rPr>
        <w:t>FPPDL</w:t>
      </w:r>
      <w:r>
        <w:rPr>
          <w:rStyle w:val="translated-span"/>
        </w:rPr>
        <w:t>通过对本地可信度的相互评估，考虑了双方在初始基准测试和隐私保护协作深度学习过程中的相对贡献，实现了协作公平</w:t>
      </w:r>
      <w:r>
        <w:rPr>
          <w:rStyle w:val="translated-span"/>
        </w:rPr>
        <w:t>。</w:t>
      </w:r>
      <w:r>
        <w:rPr>
          <w:rStyle w:val="translated-span"/>
        </w:rPr>
        <w:t>为了保护隐私，我们提出了一个三层</w:t>
      </w:r>
      <w:r>
        <w:rPr>
          <w:rStyle w:val="translated-span"/>
        </w:rPr>
        <w:t>的</w:t>
      </w:r>
      <w:r>
        <w:rPr>
          <w:rStyle w:val="translated-span"/>
        </w:rPr>
        <w:t>onionstyle</w:t>
      </w:r>
      <w:r>
        <w:rPr>
          <w:rStyle w:val="translated-span"/>
        </w:rPr>
        <w:t>加密方案，以保证准确性和隐私性，而不是以牺牲实用性为代价来利用差异隐私</w:t>
      </w:r>
      <w:r>
        <w:rPr>
          <w:rStyle w:val="translated-span"/>
        </w:rPr>
        <w:t>。</w:t>
      </w:r>
    </w:p>
    <w:p w:rsidR="00000000" w:rsidRDefault="00A52409">
      <w:pPr>
        <w:ind w:left="-15"/>
      </w:pPr>
      <w:r>
        <w:rPr>
          <w:rStyle w:val="translated-span"/>
        </w:rPr>
        <w:t>据我们所知，本文首次通过调整分配给每个参与者的</w:t>
      </w:r>
      <w:r>
        <w:rPr>
          <w:rStyle w:val="translated-span"/>
        </w:rPr>
        <w:t>FL</w:t>
      </w:r>
      <w:r>
        <w:rPr>
          <w:rStyle w:val="translated-span"/>
        </w:rPr>
        <w:t>模型的性能水平来实现联合学习中的协作公平</w:t>
      </w:r>
      <w:r>
        <w:rPr>
          <w:rStyle w:val="translated-span"/>
        </w:rPr>
        <w:t>。</w:t>
      </w:r>
      <w:r>
        <w:rPr>
          <w:rStyle w:val="translated-span"/>
        </w:rPr>
        <w:t>基于两个基准数据集在三个实际环境下的大量实验表明，</w:t>
      </w:r>
      <w:r>
        <w:rPr>
          <w:rStyle w:val="translated-span"/>
        </w:rPr>
        <w:t>FPPDL</w:t>
      </w:r>
      <w:r>
        <w:rPr>
          <w:rStyle w:val="translated-span"/>
        </w:rPr>
        <w:t>实现了较高的公平性，提供了与现有集中式和分布式深度学习框架相当的精度，并且优于独立的深度学习</w:t>
      </w:r>
      <w:r>
        <w:rPr>
          <w:rStyle w:val="translated-span"/>
        </w:rPr>
        <w:t>。</w:t>
      </w:r>
    </w:p>
    <w:p w:rsidR="00000000" w:rsidRDefault="00A52409">
      <w:pPr>
        <w:ind w:left="-15"/>
      </w:pPr>
      <w:r>
        <w:rPr>
          <w:rStyle w:val="translated-span"/>
        </w:rPr>
        <w:t>在威胁模型方面，</w:t>
      </w:r>
      <w:r>
        <w:rPr>
          <w:rStyle w:val="translated-span"/>
        </w:rPr>
        <w:t>FPPDL</w:t>
      </w:r>
      <w:r>
        <w:rPr>
          <w:rStyle w:val="translated-span"/>
        </w:rPr>
        <w:t>采用了一个诚实但奇怪的设置：假设每一方在推断其他方的敏感信息时都很好奇；然而，在操作中，假设它是诚实的</w:t>
      </w:r>
      <w:r>
        <w:rPr>
          <w:rStyle w:val="translated-span"/>
        </w:rPr>
        <w:t>。</w:t>
      </w:r>
      <w:r>
        <w:rPr>
          <w:rStyle w:val="translated-span"/>
        </w:rPr>
        <w:t>这一设置是合理的，因为参与协作系统的各</w:t>
      </w:r>
      <w:r>
        <w:rPr>
          <w:rStyle w:val="translated-span"/>
        </w:rPr>
        <w:t>方的主要动机是获得比没有任何协作的独立模型更好的本地模型</w:t>
      </w:r>
      <w:r>
        <w:rPr>
          <w:rStyle w:val="translated-span"/>
        </w:rPr>
        <w:t>。</w:t>
      </w:r>
      <w:r>
        <w:rPr>
          <w:rStyle w:val="translated-span"/>
        </w:rPr>
        <w:t>此外，在我们的方案中，各方被视为金融机构或生物医学机构等依法承担责任的组织</w:t>
      </w:r>
      <w:r>
        <w:rPr>
          <w:rStyle w:val="translated-span"/>
        </w:rPr>
        <w:t>。</w:t>
      </w:r>
      <w:r>
        <w:rPr>
          <w:rStyle w:val="translated-span"/>
        </w:rPr>
        <w:t>然而，在第</w:t>
      </w:r>
      <w:r>
        <w:rPr>
          <w:rStyle w:val="translated-span"/>
        </w:rPr>
        <w:t>7</w:t>
      </w:r>
      <w:r>
        <w:rPr>
          <w:rStyle w:val="translated-span"/>
        </w:rPr>
        <w:t>节中，我们还讨论了我们的本地可信度互评机制如何帮助防止内部攻击者的某些恶意行为，以及如何抵御外部攻击者</w:t>
      </w:r>
      <w:r>
        <w:rPr>
          <w:rStyle w:val="translated-span"/>
        </w:rPr>
        <w:t>。</w:t>
      </w:r>
    </w:p>
    <w:p w:rsidR="00000000" w:rsidRDefault="00A52409">
      <w:pPr>
        <w:spacing w:after="434"/>
        <w:ind w:left="-15"/>
      </w:pPr>
      <w:r>
        <w:rPr>
          <w:rStyle w:val="translated-span"/>
        </w:rPr>
        <w:t>本文的其余部分安排如下</w:t>
      </w:r>
      <w:r>
        <w:rPr>
          <w:rStyle w:val="translated-span"/>
        </w:rPr>
        <w:t>。</w:t>
      </w:r>
      <w:r>
        <w:rPr>
          <w:rStyle w:val="translated-span"/>
        </w:rPr>
        <w:t>第二部分回顾了现有的深度学习框架，以及关于隐私保护的协作深度学习和联合学习中的公平性的相关文献，这些都是我们要解决的主要问题</w:t>
      </w:r>
      <w:r>
        <w:rPr>
          <w:rStyle w:val="translated-span"/>
        </w:rPr>
        <w:t>。</w:t>
      </w:r>
      <w:r>
        <w:rPr>
          <w:rStyle w:val="translated-span"/>
        </w:rPr>
        <w:t>第</w:t>
      </w:r>
      <w:r>
        <w:rPr>
          <w:rStyle w:val="translated-span"/>
        </w:rPr>
        <w:t>5</w:t>
      </w:r>
      <w:r>
        <w:rPr>
          <w:rStyle w:val="translated-span"/>
        </w:rPr>
        <w:t>节介绍了拟议的</w:t>
      </w:r>
      <w:r>
        <w:rPr>
          <w:rStyle w:val="translated-span"/>
        </w:rPr>
        <w:t>FPPDL</w:t>
      </w:r>
      <w:r>
        <w:rPr>
          <w:rStyle w:val="translated-span"/>
        </w:rPr>
        <w:t>框架的技术细节</w:t>
      </w:r>
      <w:r>
        <w:rPr>
          <w:rStyle w:val="translated-span"/>
        </w:rPr>
        <w:t>。</w:t>
      </w:r>
      <w:r>
        <w:rPr>
          <w:rStyle w:val="translated-span"/>
        </w:rPr>
        <w:t>第</w:t>
      </w:r>
      <w:r>
        <w:rPr>
          <w:rStyle w:val="translated-span"/>
        </w:rPr>
        <w:t>6</w:t>
      </w:r>
      <w:r>
        <w:rPr>
          <w:rStyle w:val="translated-span"/>
        </w:rPr>
        <w:t>节从准确性和公平性方面评估了</w:t>
      </w:r>
      <w:r>
        <w:rPr>
          <w:rStyle w:val="translated-span"/>
        </w:rPr>
        <w:t>FPPDL</w:t>
      </w:r>
      <w:r>
        <w:rPr>
          <w:rStyle w:val="translated-span"/>
        </w:rPr>
        <w:t>在不同设置下不同</w:t>
      </w:r>
      <w:r>
        <w:rPr>
          <w:rStyle w:val="translated-span"/>
        </w:rPr>
        <w:t>SGD</w:t>
      </w:r>
      <w:r>
        <w:rPr>
          <w:rStyle w:val="translated-span"/>
        </w:rPr>
        <w:t>框</w:t>
      </w:r>
      <w:r>
        <w:rPr>
          <w:rStyle w:val="translated-span"/>
        </w:rPr>
        <w:t>架下的性能，然后在第</w:t>
      </w:r>
      <w:r>
        <w:rPr>
          <w:rStyle w:val="translated-span"/>
        </w:rPr>
        <w:t>7</w:t>
      </w:r>
      <w:r>
        <w:rPr>
          <w:rStyle w:val="translated-span"/>
        </w:rPr>
        <w:t>节中进行了讨论</w:t>
      </w:r>
      <w:r>
        <w:rPr>
          <w:rStyle w:val="translated-span"/>
        </w:rPr>
        <w:t>。</w:t>
      </w:r>
      <w:r>
        <w:rPr>
          <w:rStyle w:val="translated-span"/>
        </w:rPr>
        <w:t>第八部分总结全文，并指出未来可能的研究方向</w:t>
      </w:r>
      <w:r>
        <w:rPr>
          <w:rStyle w:val="translated-span"/>
        </w:rPr>
        <w:t>。</w:t>
      </w:r>
    </w:p>
    <w:p w:rsidR="00000000" w:rsidRDefault="00A52409">
      <w:pPr>
        <w:pStyle w:val="1"/>
        <w:spacing w:after="41"/>
        <w:ind w:left="344" w:hanging="353"/>
      </w:pPr>
      <w:r>
        <w:rPr>
          <w:sz w:val="22"/>
          <w:szCs w:val="22"/>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22"/>
          <w:szCs w:val="22"/>
        </w:rPr>
        <w:t>相关工</w:t>
      </w:r>
      <w:r>
        <w:rPr>
          <w:rStyle w:val="translated-span"/>
          <w:sz w:val="22"/>
          <w:szCs w:val="22"/>
        </w:rPr>
        <w:t>作</w:t>
      </w:r>
    </w:p>
    <w:p w:rsidR="00000000" w:rsidRDefault="00A52409">
      <w:pPr>
        <w:spacing w:after="359"/>
        <w:ind w:left="-15" w:firstLine="0"/>
      </w:pPr>
      <w:r>
        <w:rPr>
          <w:rStyle w:val="translated-span"/>
        </w:rPr>
        <w:t>在这一部分中，我们回顾了有关深度学习框架、隐私保护和联合学习公平性的相关文献，以使我们的研究与现有研究相关联</w:t>
      </w:r>
      <w:r>
        <w:rPr>
          <w:rStyle w:val="translated-span"/>
        </w:rPr>
        <w:t>。</w:t>
      </w:r>
    </w:p>
    <w:p w:rsidR="00000000" w:rsidRDefault="00A52409">
      <w:pPr>
        <w:pStyle w:val="2"/>
        <w:ind w:left="439" w:hanging="454"/>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深度学习框架概</w:t>
      </w:r>
      <w:r>
        <w:rPr>
          <w:rStyle w:val="translated-span"/>
        </w:rPr>
        <w:t>述</w:t>
      </w:r>
    </w:p>
    <w:p w:rsidR="00000000" w:rsidRDefault="00A52409">
      <w:pPr>
        <w:spacing w:after="26"/>
        <w:ind w:left="-15" w:firstLine="0"/>
      </w:pPr>
      <w:r>
        <w:rPr>
          <w:rStyle w:val="translated-span"/>
        </w:rPr>
        <w:t>一般来说，深度学习框架可以分为以下几类：独立框架；基于服务器的框架，包括集中式框架和分布式框架；分散式框架</w:t>
      </w:r>
      <w:r>
        <w:rPr>
          <w:rStyle w:val="translated-span"/>
        </w:rPr>
        <w:t>。</w:t>
      </w:r>
      <w:r>
        <w:rPr>
          <w:rStyle w:val="translated-span"/>
        </w:rPr>
        <w:t>特别是在分布式框架和分散框架下，各方都参与了全球或共识模式的改进过程</w:t>
      </w:r>
      <w:r>
        <w:rPr>
          <w:rStyle w:val="translated-span"/>
        </w:rPr>
        <w:t>。</w:t>
      </w:r>
      <w:r>
        <w:rPr>
          <w:rStyle w:val="translated-span"/>
        </w:rPr>
        <w:t>因此，我们将其称为协作式深度学习框架</w:t>
      </w:r>
      <w:r>
        <w:rPr>
          <w:rStyle w:val="translated-span"/>
        </w:rPr>
        <w:t>。</w:t>
      </w:r>
      <w:r>
        <w:rPr>
          <w:rStyle w:val="translated-span"/>
        </w:rPr>
        <w:t>表</w:t>
      </w:r>
      <w:r>
        <w:rPr>
          <w:rStyle w:val="translated-span"/>
        </w:rPr>
        <w:t>1</w:t>
      </w:r>
      <w:r>
        <w:rPr>
          <w:rStyle w:val="translated-span"/>
        </w:rPr>
        <w:t>提供了不同深度学习框架之间</w:t>
      </w:r>
      <w:r>
        <w:rPr>
          <w:rStyle w:val="translated-span"/>
        </w:rPr>
        <w:t>的比较</w:t>
      </w:r>
      <w:r>
        <w:rPr>
          <w:rStyle w:val="translated-span"/>
        </w:rPr>
        <w:t>。</w:t>
      </w:r>
    </w:p>
    <w:p w:rsidR="00000000" w:rsidRDefault="00A52409">
      <w:pPr>
        <w:ind w:left="-15"/>
      </w:pPr>
      <w:r>
        <w:rPr>
          <w:rStyle w:val="translated-span"/>
          <w:b/>
          <w:bCs/>
          <w:i/>
          <w:iCs/>
        </w:rPr>
        <w:t>独立框</w:t>
      </w:r>
      <w:r>
        <w:rPr>
          <w:rStyle w:val="translated-span"/>
          <w:b/>
          <w:bCs/>
          <w:i/>
          <w:iCs/>
        </w:rPr>
        <w:t>架</w:t>
      </w:r>
      <w:r>
        <w:rPr>
          <w:rStyle w:val="translated-span"/>
        </w:rPr>
        <w:t>：缔约方在没有任何合作的情况下，根据其本地培训数据单独培训独立模型（图</w:t>
      </w:r>
      <w:r>
        <w:rPr>
          <w:rStyle w:val="translated-span"/>
        </w:rPr>
        <w:t>1</w:t>
      </w:r>
      <w:r>
        <w:rPr>
          <w:rStyle w:val="translated-span"/>
        </w:rPr>
        <w:t>（</w:t>
      </w:r>
      <w:r>
        <w:rPr>
          <w:rStyle w:val="translated-span"/>
        </w:rPr>
        <w:t>a</w:t>
      </w:r>
      <w:r>
        <w:rPr>
          <w:rStyle w:val="translated-span"/>
        </w:rPr>
        <w:t>））</w:t>
      </w:r>
      <w:r>
        <w:rPr>
          <w:rStyle w:val="translated-span"/>
        </w:rPr>
        <w:t>。</w:t>
      </w:r>
      <w:r>
        <w:rPr>
          <w:rStyle w:val="translated-span"/>
        </w:rPr>
        <w:t>然而，独立的模型可能无法概括为看不见的数据</w:t>
      </w:r>
      <w:r>
        <w:rPr>
          <w:rStyle w:val="translated-span"/>
        </w:rPr>
        <w:t>。</w:t>
      </w:r>
    </w:p>
    <w:p w:rsidR="00000000" w:rsidRDefault="00A52409">
      <w:pPr>
        <w:ind w:left="-15"/>
      </w:pPr>
      <w:r>
        <w:rPr>
          <w:rStyle w:val="translated-span"/>
          <w:b/>
          <w:bCs/>
          <w:i/>
          <w:iCs/>
        </w:rPr>
        <w:t>集中框</w:t>
      </w:r>
      <w:r>
        <w:rPr>
          <w:rStyle w:val="translated-span"/>
          <w:b/>
          <w:bCs/>
          <w:i/>
          <w:iCs/>
        </w:rPr>
        <w:t>架</w:t>
      </w:r>
      <w:r>
        <w:rPr>
          <w:rStyle w:val="translated-span"/>
        </w:rPr>
        <w:t>：参与者将他们的数据集中到一个集中的服务器中，以训练一个全局模型（图</w:t>
      </w:r>
      <w:r>
        <w:rPr>
          <w:rStyle w:val="translated-span"/>
        </w:rPr>
        <w:t>1</w:t>
      </w:r>
      <w:r>
        <w:rPr>
          <w:rStyle w:val="translated-span"/>
        </w:rPr>
        <w:t>（</w:t>
      </w:r>
      <w:r>
        <w:rPr>
          <w:rStyle w:val="translated-span"/>
        </w:rPr>
        <w:t>b</w:t>
      </w:r>
      <w:r>
        <w:rPr>
          <w:rStyle w:val="translated-span"/>
        </w:rPr>
        <w:t>））</w:t>
      </w:r>
      <w:r>
        <w:rPr>
          <w:rStyle w:val="translated-span"/>
        </w:rPr>
        <w:t>。</w:t>
      </w:r>
      <w:r>
        <w:rPr>
          <w:rStyle w:val="translated-span"/>
        </w:rPr>
        <w:t>这种集中化的框架非常有效，但是它侵犯了数据隐私，因为所有参与者的数据都暴露在服务器上</w:t>
      </w:r>
      <w:r>
        <w:rPr>
          <w:rStyle w:val="translated-span"/>
        </w:rPr>
        <w:t>。</w:t>
      </w:r>
    </w:p>
    <w:p w:rsidR="00000000" w:rsidRDefault="00A52409">
      <w:pPr>
        <w:ind w:left="-15"/>
      </w:pPr>
      <w:r>
        <w:rPr>
          <w:rStyle w:val="translated-span"/>
          <w:b/>
          <w:bCs/>
          <w:i/>
          <w:iCs/>
        </w:rPr>
        <w:t>分布式框</w:t>
      </w:r>
      <w:r>
        <w:rPr>
          <w:rStyle w:val="translated-span"/>
          <w:b/>
          <w:bCs/>
          <w:i/>
          <w:iCs/>
        </w:rPr>
        <w:t>架</w:t>
      </w:r>
      <w:r>
        <w:rPr>
          <w:rStyle w:val="translated-span"/>
        </w:rPr>
        <w:t>：</w:t>
      </w:r>
      <w:r>
        <w:rPr>
          <w:rStyle w:val="translated-span"/>
        </w:rPr>
        <w:t>Dean</w:t>
      </w:r>
      <w:r>
        <w:rPr>
          <w:rStyle w:val="translated-span"/>
        </w:rPr>
        <w:t>等人</w:t>
      </w:r>
      <w:r>
        <w:rPr>
          <w:rStyle w:val="translated-span"/>
        </w:rPr>
        <w:t>。</w:t>
      </w:r>
      <w:r>
        <w:rPr>
          <w:rStyle w:val="translated-span"/>
        </w:rPr>
        <w:t xml:space="preserve">[9] </w:t>
      </w:r>
      <w:r>
        <w:rPr>
          <w:rStyle w:val="translated-span"/>
        </w:rPr>
        <w:t>首先介绍了分布式深度学习的概念，即各方通过与参数服务器共享本地模型更新来协作训练模型</w:t>
      </w:r>
      <w:r>
        <w:rPr>
          <w:rStyle w:val="translated-span"/>
        </w:rPr>
        <w:t>。</w:t>
      </w:r>
      <w:r>
        <w:rPr>
          <w:rStyle w:val="translated-span"/>
        </w:rPr>
        <w:t>分布式学习在</w:t>
      </w:r>
      <w:r>
        <w:rPr>
          <w:rStyle w:val="translated-span"/>
        </w:rPr>
        <w:t>[5]</w:t>
      </w:r>
      <w:r>
        <w:rPr>
          <w:rStyle w:val="translated-span"/>
        </w:rPr>
        <w:t>、</w:t>
      </w:r>
      <w:r>
        <w:rPr>
          <w:rStyle w:val="translated-span"/>
        </w:rPr>
        <w:t>[10]</w:t>
      </w:r>
      <w:r>
        <w:rPr>
          <w:rStyle w:val="translated-span"/>
        </w:rPr>
        <w:t>、</w:t>
      </w:r>
      <w:r>
        <w:rPr>
          <w:rStyle w:val="translated-span"/>
        </w:rPr>
        <w:t>[11]</w:t>
      </w:r>
      <w:r>
        <w:rPr>
          <w:rStyle w:val="translated-span"/>
        </w:rPr>
        <w:t>中得到了广泛的研究</w:t>
      </w:r>
      <w:r>
        <w:rPr>
          <w:rStyle w:val="translated-span"/>
        </w:rPr>
        <w:t>。</w:t>
      </w:r>
    </w:p>
    <w:p w:rsidR="00000000" w:rsidRDefault="00A52409">
      <w:pPr>
        <w:ind w:left="-15"/>
      </w:pPr>
      <w:r>
        <w:rPr>
          <w:rStyle w:val="translated-span"/>
        </w:rPr>
        <w:t>需要注意</w:t>
      </w:r>
      <w:r>
        <w:rPr>
          <w:rStyle w:val="translated-span"/>
        </w:rPr>
        <w:t>的是，集中式框架和分布式框架都需要一个中央服务器来协调培训过程，这使得它们容易受到以下问题的影响：（</w:t>
      </w:r>
      <w:r>
        <w:rPr>
          <w:rStyle w:val="translated-span"/>
        </w:rPr>
        <w:t>1</w:t>
      </w:r>
      <w:r>
        <w:rPr>
          <w:rStyle w:val="translated-span"/>
        </w:rPr>
        <w:t>）参与方策略：出于隐私考虑，双方可能不想将控制权交给不可信的服务器</w:t>
      </w:r>
      <w:r>
        <w:rPr>
          <w:rStyle w:val="translated-span"/>
        </w:rPr>
        <w:t>；</w:t>
      </w:r>
      <w:r>
        <w:rPr>
          <w:rStyle w:val="translated-span"/>
        </w:rPr>
        <w:t>（</w:t>
      </w:r>
      <w:r>
        <w:rPr>
          <w:rStyle w:val="translated-span"/>
        </w:rPr>
        <w:t>2</w:t>
      </w:r>
      <w:r>
        <w:rPr>
          <w:rStyle w:val="translated-span"/>
        </w:rPr>
        <w:t>）</w:t>
      </w:r>
      <w:r>
        <w:rPr>
          <w:rStyle w:val="translated-span"/>
        </w:rPr>
        <w:t xml:space="preserve"> </w:t>
      </w:r>
      <w:r>
        <w:rPr>
          <w:rStyle w:val="translated-span"/>
        </w:rPr>
        <w:t>单点故障：如果中央服务器发生故障或关闭进行维护，整个网络将停止工作</w:t>
      </w:r>
      <w:r>
        <w:rPr>
          <w:rStyle w:val="translated-span"/>
        </w:rPr>
        <w:t>。</w:t>
      </w:r>
    </w:p>
    <w:p w:rsidR="00000000" w:rsidRDefault="00A52409">
      <w:pPr>
        <w:ind w:left="-15"/>
      </w:pPr>
      <w:r>
        <w:rPr>
          <w:rStyle w:val="translated-span"/>
          <w:b/>
          <w:bCs/>
          <w:i/>
          <w:iCs/>
        </w:rPr>
        <w:t>分散框</w:t>
      </w:r>
      <w:r>
        <w:rPr>
          <w:rStyle w:val="translated-span"/>
          <w:b/>
          <w:bCs/>
          <w:i/>
          <w:iCs/>
        </w:rPr>
        <w:t>架</w:t>
      </w:r>
      <w:r>
        <w:rPr>
          <w:rStyle w:val="translated-span"/>
        </w:rPr>
        <w:t>：在基于中央服务器的框架中，上述问题可以通过一个分散的框架</w:t>
      </w:r>
      <w:r>
        <w:rPr>
          <w:rStyle w:val="translated-span"/>
        </w:rPr>
        <w:t>[12]</w:t>
      </w:r>
      <w:r>
        <w:rPr>
          <w:rStyle w:val="translated-span"/>
        </w:rPr>
        <w:t>、</w:t>
      </w:r>
      <w:r>
        <w:rPr>
          <w:rStyle w:val="translated-span"/>
        </w:rPr>
        <w:t>[13]</w:t>
      </w:r>
      <w:r>
        <w:rPr>
          <w:rStyle w:val="translated-span"/>
        </w:rPr>
        <w:t>、</w:t>
      </w:r>
      <w:r>
        <w:rPr>
          <w:rStyle w:val="translated-span"/>
        </w:rPr>
        <w:t>[14]</w:t>
      </w:r>
      <w:r>
        <w:rPr>
          <w:rStyle w:val="translated-span"/>
        </w:rPr>
        <w:t>、</w:t>
      </w:r>
      <w:r>
        <w:rPr>
          <w:rStyle w:val="translated-span"/>
        </w:rPr>
        <w:t>[15]</w:t>
      </w:r>
      <w:r>
        <w:rPr>
          <w:rStyle w:val="translated-span"/>
        </w:rPr>
        <w:t>、</w:t>
      </w:r>
      <w:r>
        <w:rPr>
          <w:rStyle w:val="translated-span"/>
        </w:rPr>
        <w:t>[16]</w:t>
      </w:r>
      <w:r>
        <w:rPr>
          <w:rStyle w:val="translated-span"/>
        </w:rPr>
        <w:t>、</w:t>
      </w:r>
      <w:r>
        <w:rPr>
          <w:rStyle w:val="translated-span"/>
        </w:rPr>
        <w:t>[17]</w:t>
      </w:r>
      <w:r>
        <w:rPr>
          <w:rStyle w:val="translated-span"/>
        </w:rPr>
        <w:t>来解决，该框架使各方之间的计算并行化（图</w:t>
      </w:r>
      <w:r>
        <w:rPr>
          <w:rStyle w:val="translated-span"/>
        </w:rPr>
        <w:t>1</w:t>
      </w:r>
      <w:r>
        <w:rPr>
          <w:rStyle w:val="translated-span"/>
        </w:rPr>
        <w:t>（</w:t>
      </w:r>
      <w:r>
        <w:rPr>
          <w:rStyle w:val="translated-span"/>
        </w:rPr>
        <w:t>d</w:t>
      </w:r>
      <w:r>
        <w:rPr>
          <w:rStyle w:val="translated-span"/>
        </w:rPr>
        <w:t>））</w:t>
      </w:r>
      <w:r>
        <w:rPr>
          <w:rStyle w:val="translated-span"/>
        </w:rPr>
        <w:t>。</w:t>
      </w:r>
      <w:r>
        <w:rPr>
          <w:rStyle w:val="translated-span"/>
        </w:rPr>
        <w:t>特别是</w:t>
      </w:r>
      <w:r>
        <w:rPr>
          <w:rStyle w:val="translated-span"/>
        </w:rPr>
        <w:t>Kuo</w:t>
      </w:r>
      <w:r>
        <w:rPr>
          <w:rStyle w:val="translated-span"/>
        </w:rPr>
        <w:t>等人</w:t>
      </w:r>
      <w:r>
        <w:rPr>
          <w:rStyle w:val="translated-span"/>
        </w:rPr>
        <w:t>。</w:t>
      </w:r>
      <w:r>
        <w:rPr>
          <w:rStyle w:val="translated-span"/>
        </w:rPr>
        <w:t xml:space="preserve">[12] </w:t>
      </w:r>
      <w:r>
        <w:rPr>
          <w:rStyle w:val="translated-span"/>
        </w:rPr>
        <w:t>提出了一种保护隐私的机器学习与机器学习相结合的模型保护框架</w:t>
      </w:r>
      <w:r>
        <w:rPr>
          <w:rStyle w:val="translated-span"/>
        </w:rPr>
        <w:t>。</w:t>
      </w:r>
      <w:r>
        <w:rPr>
          <w:rStyle w:val="translated-span"/>
        </w:rPr>
        <w:t xml:space="preserve">[15] </w:t>
      </w:r>
      <w:r>
        <w:rPr>
          <w:rStyle w:val="translated-span"/>
        </w:rPr>
        <w:t>，</w:t>
      </w:r>
      <w:r>
        <w:rPr>
          <w:rStyle w:val="translated-span"/>
        </w:rPr>
        <w:t>[16]</w:t>
      </w:r>
      <w:r>
        <w:rPr>
          <w:rStyle w:val="translated-span"/>
        </w:rPr>
        <w:t>调查了区块链上的隐私保护深度学习</w:t>
      </w:r>
      <w:r>
        <w:rPr>
          <w:rStyle w:val="translated-span"/>
        </w:rPr>
        <w:t>。</w:t>
      </w:r>
      <w:r>
        <w:rPr>
          <w:rStyle w:val="translated-span"/>
        </w:rPr>
        <w:t xml:space="preserve">[17] </w:t>
      </w:r>
      <w:r>
        <w:rPr>
          <w:rStyle w:val="translated-span"/>
        </w:rPr>
        <w:t>研究了基于区块链的隐私保护学习中负载共享的公平性问题，它不同于我们工作中的协作公平性问题</w:t>
      </w:r>
      <w:r>
        <w:rPr>
          <w:rStyle w:val="translated-span"/>
        </w:rPr>
        <w:t>。</w:t>
      </w:r>
      <w:r>
        <w:rPr>
          <w:rStyle w:val="translated-span"/>
        </w:rPr>
        <w:t>具体地说，它们的分散式架构是在一个不太安全的环境下开发的，在这种环境下，一个站点可以访问所有其他站点的模型</w:t>
      </w:r>
      <w:r>
        <w:rPr>
          <w:rStyle w:val="translated-span"/>
        </w:rPr>
        <w:t>。</w:t>
      </w:r>
      <w:r>
        <w:rPr>
          <w:rStyle w:val="translated-span"/>
        </w:rPr>
        <w:t xml:space="preserve">[13] </w:t>
      </w:r>
      <w:r>
        <w:rPr>
          <w:rStyle w:val="translated-span"/>
        </w:rPr>
        <w:t>，</w:t>
      </w:r>
      <w:r>
        <w:rPr>
          <w:rStyle w:val="translated-span"/>
        </w:rPr>
        <w:t>[14]</w:t>
      </w:r>
      <w:r>
        <w:rPr>
          <w:rStyle w:val="translated-span"/>
        </w:rPr>
        <w:t>利用差异隐私在区块链上保护隐私的机器学习</w:t>
      </w:r>
      <w:r>
        <w:rPr>
          <w:rStyle w:val="translated-span"/>
        </w:rPr>
        <w:t>。</w:t>
      </w:r>
      <w:r>
        <w:rPr>
          <w:rStyle w:val="translated-span"/>
        </w:rPr>
        <w:t>然而，</w:t>
      </w:r>
      <w:r>
        <w:rPr>
          <w:rStyle w:val="translated-span"/>
        </w:rPr>
        <w:t>[14]</w:t>
      </w:r>
      <w:r>
        <w:rPr>
          <w:rStyle w:val="translated-span"/>
        </w:rPr>
        <w:t>指出，在</w:t>
      </w:r>
      <w:r>
        <w:rPr>
          <w:rStyle w:val="translated-span"/>
        </w:rPr>
        <w:t>[13]</w:t>
      </w:r>
      <w:r>
        <w:rPr>
          <w:rStyle w:val="translated-span"/>
        </w:rPr>
        <w:t>中提出的算法不能正确地保证隐私保护的性质，因为它们没有考虑重复加性噪声机制的合成</w:t>
      </w:r>
      <w:r>
        <w:rPr>
          <w:rStyle w:val="translated-span"/>
        </w:rPr>
        <w:t>。</w:t>
      </w:r>
    </w:p>
    <w:p w:rsidR="00000000" w:rsidRDefault="00A52409">
      <w:pPr>
        <w:spacing w:after="364"/>
        <w:ind w:left="-15"/>
      </w:pPr>
      <w:r>
        <w:rPr>
          <w:rStyle w:val="translated-span"/>
        </w:rPr>
        <w:t>综上所述，现有的协作框架（分布式或分散式）关注的是如何学习比单个独立模型更</w:t>
      </w:r>
      <w:r>
        <w:rPr>
          <w:rStyle w:val="translated-span"/>
        </w:rPr>
        <w:t>精确的全局共识模型</w:t>
      </w:r>
      <w:r>
        <w:rPr>
          <w:rStyle w:val="translated-span"/>
        </w:rPr>
        <w:t>。</w:t>
      </w:r>
      <w:r>
        <w:rPr>
          <w:rStyle w:val="translated-span"/>
        </w:rPr>
        <w:t>实际上，一些缔约方可能比其他缔约方作出更多贡献，而另一些缔约方则几乎没有贡献，甚至是消极的</w:t>
      </w:r>
      <w:r>
        <w:rPr>
          <w:rStyle w:val="translated-span"/>
        </w:rPr>
        <w:t>。</w:t>
      </w:r>
      <w:r>
        <w:rPr>
          <w:rStyle w:val="translated-span"/>
        </w:rPr>
        <w:t>究其原因，是不同主体拥有的数据质量不同，在数据采集和存储过程中可能存在不可预测的随机误差</w:t>
      </w:r>
      <w:r>
        <w:rPr>
          <w:rStyle w:val="translated-span"/>
        </w:rPr>
        <w:t>。</w:t>
      </w:r>
      <w:r>
        <w:rPr>
          <w:rStyle w:val="translated-span"/>
        </w:rPr>
        <w:t>另一方面，缔约方可选择仅将其有限部分数据用于合作模式培训</w:t>
      </w:r>
      <w:r>
        <w:rPr>
          <w:rStyle w:val="translated-span"/>
        </w:rPr>
        <w:t>。</w:t>
      </w:r>
    </w:p>
    <w:p w:rsidR="00000000" w:rsidRDefault="00A52409">
      <w:pPr>
        <w:pStyle w:val="2"/>
        <w:ind w:left="439" w:hanging="454"/>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隐私保护协作学</w:t>
      </w:r>
      <w:r>
        <w:rPr>
          <w:rStyle w:val="translated-span"/>
        </w:rPr>
        <w:t>习</w:t>
      </w:r>
    </w:p>
    <w:tbl>
      <w:tblPr>
        <w:tblpPr w:vertAnchor="text"/>
        <w:tblW w:w="10320" w:type="dxa"/>
        <w:tblCellMar>
          <w:left w:w="0" w:type="dxa"/>
          <w:right w:w="0" w:type="dxa"/>
        </w:tblCellMar>
        <w:tblLook w:val="04A0" w:firstRow="1" w:lastRow="0" w:firstColumn="1" w:lastColumn="0" w:noHBand="0" w:noVBand="1"/>
      </w:tblPr>
      <w:tblGrid>
        <w:gridCol w:w="10340"/>
      </w:tblGrid>
      <w:tr w:rsidR="00000000">
        <w:trPr>
          <w:trHeight w:val="1995"/>
        </w:trPr>
        <w:tc>
          <w:tcPr>
            <w:tcW w:w="10227" w:type="dxa"/>
            <w:tcMar>
              <w:top w:w="0" w:type="dxa"/>
              <w:left w:w="4" w:type="dxa"/>
              <w:bottom w:w="0" w:type="dxa"/>
              <w:right w:w="4" w:type="dxa"/>
            </w:tcMar>
            <w:hideMark/>
          </w:tcPr>
          <w:p w:rsidR="00000000" w:rsidRDefault="00A52409">
            <w:pPr>
              <w:spacing w:after="11" w:line="256" w:lineRule="auto"/>
              <w:ind w:firstLine="0"/>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4286250" cy="838200"/>
                  <wp:effectExtent l="0" t="0" r="0" b="0"/>
                  <wp:wrapSquare wrapText="bothSides"/>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28625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w:t>
            </w:r>
            <w:r>
              <w:rPr>
                <w:sz w:val="22"/>
                <w:szCs w:val="22"/>
              </w:rPr>
              <w:t xml:space="preserve"> </w:t>
            </w:r>
            <w:r>
              <w:rPr>
                <w:rStyle w:val="translated-span"/>
                <w:rFonts w:ascii="Times New Roman" w:hAnsi="Times New Roman" w:cs="Times New Roman"/>
                <w:b/>
                <w:bCs/>
                <w:sz w:val="16"/>
                <w:szCs w:val="16"/>
              </w:rPr>
              <w:t>第</w:t>
            </w:r>
            <w:r>
              <w:rPr>
                <w:rStyle w:val="translated-span"/>
                <w:rFonts w:ascii="Times New Roman" w:hAnsi="Times New Roman" w:cs="Times New Roman"/>
                <w:b/>
                <w:bCs/>
                <w:sz w:val="16"/>
                <w:szCs w:val="16"/>
              </w:rPr>
              <w:t>1</w:t>
            </w:r>
            <w:r>
              <w:rPr>
                <w:rStyle w:val="translated-span"/>
                <w:rFonts w:ascii="Times New Roman" w:hAnsi="Times New Roman" w:cs="Times New Roman"/>
                <w:b/>
                <w:bCs/>
                <w:sz w:val="16"/>
                <w:szCs w:val="16"/>
              </w:rPr>
              <w:t>部分第</w:t>
            </w:r>
            <w:r>
              <w:rPr>
                <w:rStyle w:val="translated-span"/>
                <w:rFonts w:ascii="Times New Roman" w:hAnsi="Times New Roman" w:cs="Times New Roman"/>
                <w:b/>
                <w:bCs/>
                <w:sz w:val="16"/>
                <w:szCs w:val="16"/>
              </w:rPr>
              <w:t>2</w:t>
            </w:r>
            <w:r>
              <w:rPr>
                <w:rStyle w:val="translated-span"/>
                <w:rFonts w:ascii="Times New Roman" w:hAnsi="Times New Roman" w:cs="Times New Roman"/>
                <w:b/>
                <w:bCs/>
                <w:sz w:val="16"/>
                <w:szCs w:val="16"/>
              </w:rPr>
              <w:t>部</w:t>
            </w:r>
            <w:r>
              <w:rPr>
                <w:rStyle w:val="translated-span"/>
                <w:rFonts w:ascii="Times New Roman" w:hAnsi="Times New Roman" w:cs="Times New Roman"/>
                <w:b/>
                <w:bCs/>
                <w:sz w:val="16"/>
                <w:szCs w:val="16"/>
              </w:rPr>
              <w:t>分</w:t>
            </w:r>
            <w:r>
              <w:rPr>
                <w:rStyle w:val="translated-span"/>
                <w:sz w:val="16"/>
                <w:szCs w:val="16"/>
              </w:rPr>
              <w:t>D</w:t>
            </w:r>
            <w:r>
              <w:rPr>
                <w:rStyle w:val="translated-span"/>
                <w:sz w:val="16"/>
                <w:szCs w:val="16"/>
              </w:rPr>
              <w:t>D</w:t>
            </w:r>
          </w:p>
          <w:p w:rsidR="00000000" w:rsidRDefault="00A52409">
            <w:pPr>
              <w:spacing w:after="348" w:line="256" w:lineRule="auto"/>
              <w:ind w:left="455" w:right="760" w:firstLine="0"/>
              <w:jc w:val="left"/>
            </w:pPr>
            <w:r>
              <w:rPr>
                <w:rStyle w:val="translated-span"/>
                <w:sz w:val="14"/>
                <w:szCs w:val="14"/>
              </w:rPr>
              <w:t>D1</w:t>
            </w:r>
            <w:r>
              <w:rPr>
                <w:rStyle w:val="translated-span"/>
                <w:sz w:val="14"/>
                <w:szCs w:val="14"/>
              </w:rPr>
              <w:t>宽</w:t>
            </w:r>
            <w:r>
              <w:rPr>
                <w:rStyle w:val="translated-span"/>
                <w:sz w:val="14"/>
                <w:szCs w:val="14"/>
              </w:rPr>
              <w:t>1 D2</w:t>
            </w:r>
            <w:r>
              <w:rPr>
                <w:rStyle w:val="translated-span"/>
                <w:sz w:val="14"/>
                <w:szCs w:val="14"/>
              </w:rPr>
              <w:t>宽</w:t>
            </w:r>
            <w:r>
              <w:rPr>
                <w:rStyle w:val="translated-span"/>
                <w:sz w:val="14"/>
                <w:szCs w:val="14"/>
              </w:rPr>
              <w:t>2</w:t>
            </w:r>
          </w:p>
          <w:p w:rsidR="00000000" w:rsidRDefault="00A52409">
            <w:pPr>
              <w:spacing w:after="11" w:line="256" w:lineRule="auto"/>
              <w:ind w:firstLine="0"/>
              <w:jc w:val="left"/>
            </w:pPr>
            <w:r>
              <w:rPr>
                <w:noProof/>
              </w:rPr>
              <w:drawing>
                <wp:inline distT="0" distB="0" distL="0" distR="0">
                  <wp:extent cx="1057275" cy="828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57275" cy="828675"/>
                          </a:xfrm>
                          <a:prstGeom prst="rect">
                            <a:avLst/>
                          </a:prstGeom>
                          <a:noFill/>
                          <a:ln>
                            <a:noFill/>
                          </a:ln>
                        </pic:spPr>
                      </pic:pic>
                    </a:graphicData>
                  </a:graphic>
                </wp:inline>
              </w:drawing>
            </w:r>
            <w:r>
              <w:rPr>
                <w:sz w:val="22"/>
                <w:szCs w:val="22"/>
              </w:rPr>
              <w:t>          </w:t>
            </w:r>
            <w:r>
              <w:rPr>
                <w:sz w:val="22"/>
                <w:szCs w:val="22"/>
              </w:rPr>
              <w:t xml:space="preserve"> </w:t>
            </w:r>
            <w:r>
              <w:rPr>
                <w:rStyle w:val="translated-span"/>
                <w:rFonts w:ascii="Times New Roman" w:hAnsi="Times New Roman" w:cs="Times New Roman"/>
                <w:b/>
                <w:bCs/>
                <w:sz w:val="16"/>
                <w:szCs w:val="16"/>
              </w:rPr>
              <w:t>第</w:t>
            </w:r>
            <w:r>
              <w:rPr>
                <w:rStyle w:val="translated-span"/>
                <w:rFonts w:ascii="Times New Roman" w:hAnsi="Times New Roman" w:cs="Times New Roman"/>
                <w:b/>
                <w:bCs/>
                <w:sz w:val="16"/>
                <w:szCs w:val="16"/>
              </w:rPr>
              <w:t>3</w:t>
            </w:r>
            <w:r>
              <w:rPr>
                <w:rStyle w:val="translated-span"/>
                <w:rFonts w:ascii="Times New Roman" w:hAnsi="Times New Roman" w:cs="Times New Roman"/>
                <w:b/>
                <w:bCs/>
                <w:sz w:val="16"/>
                <w:szCs w:val="16"/>
              </w:rPr>
              <w:t>部分第</w:t>
            </w:r>
            <w:r>
              <w:rPr>
                <w:rStyle w:val="translated-span"/>
                <w:rFonts w:ascii="Times New Roman" w:hAnsi="Times New Roman" w:cs="Times New Roman"/>
                <w:b/>
                <w:bCs/>
                <w:sz w:val="16"/>
                <w:szCs w:val="16"/>
              </w:rPr>
              <w:t>4</w:t>
            </w:r>
            <w:r>
              <w:rPr>
                <w:rStyle w:val="translated-span"/>
                <w:rFonts w:ascii="Times New Roman" w:hAnsi="Times New Roman" w:cs="Times New Roman"/>
                <w:b/>
                <w:bCs/>
                <w:sz w:val="16"/>
                <w:szCs w:val="16"/>
              </w:rPr>
              <w:t>部</w:t>
            </w:r>
            <w:r>
              <w:rPr>
                <w:rStyle w:val="translated-span"/>
                <w:rFonts w:ascii="Times New Roman" w:hAnsi="Times New Roman" w:cs="Times New Roman"/>
                <w:b/>
                <w:bCs/>
                <w:sz w:val="16"/>
                <w:szCs w:val="16"/>
              </w:rPr>
              <w:t>分</w:t>
            </w:r>
            <w:r>
              <w:rPr>
                <w:rStyle w:val="translated-span"/>
                <w:sz w:val="16"/>
                <w:szCs w:val="16"/>
              </w:rPr>
              <w:t>D</w:t>
            </w:r>
            <w:r>
              <w:rPr>
                <w:rStyle w:val="translated-span"/>
                <w:sz w:val="16"/>
                <w:szCs w:val="16"/>
              </w:rPr>
              <w:t>D</w:t>
            </w:r>
          </w:p>
          <w:p w:rsidR="00000000" w:rsidRDefault="00A52409">
            <w:pPr>
              <w:spacing w:after="337" w:line="256" w:lineRule="auto"/>
              <w:ind w:left="453" w:right="760" w:firstLine="0"/>
              <w:jc w:val="left"/>
            </w:pPr>
            <w:r>
              <w:rPr>
                <w:rStyle w:val="translated-span"/>
                <w:sz w:val="14"/>
                <w:szCs w:val="14"/>
              </w:rPr>
              <w:t>D3 w3 D4 w</w:t>
            </w:r>
            <w:r>
              <w:rPr>
                <w:rStyle w:val="translated-span"/>
                <w:sz w:val="14"/>
                <w:szCs w:val="14"/>
              </w:rPr>
              <w:t>4</w:t>
            </w:r>
          </w:p>
          <w:p w:rsidR="00000000" w:rsidRDefault="00A52409">
            <w:pPr>
              <w:spacing w:after="176" w:line="256" w:lineRule="auto"/>
              <w:ind w:left="42" w:firstLine="0"/>
            </w:pPr>
            <w:r>
              <w:rPr>
                <w:rStyle w:val="translated-span"/>
              </w:rPr>
              <w:t>图</w:t>
            </w:r>
            <w:r>
              <w:rPr>
                <w:rStyle w:val="translated-span"/>
              </w:rPr>
              <w:t>1</w:t>
            </w:r>
            <w:r>
              <w:rPr>
                <w:rStyle w:val="translated-span"/>
              </w:rPr>
              <w:t>：（</w:t>
            </w:r>
            <w:r>
              <w:rPr>
                <w:rStyle w:val="translated-span"/>
              </w:rPr>
              <w:t>a</w:t>
            </w:r>
            <w:r>
              <w:rPr>
                <w:rStyle w:val="translated-span"/>
              </w:rPr>
              <w:t>）：独立框架</w:t>
            </w:r>
            <w:r>
              <w:rPr>
                <w:rStyle w:val="translated-span"/>
              </w:rPr>
              <w:t>。</w:t>
            </w:r>
            <w:r>
              <w:rPr>
                <w:rStyle w:val="translated-span"/>
              </w:rPr>
              <w:t>（</w:t>
            </w:r>
            <w:r>
              <w:rPr>
                <w:rStyle w:val="translated-span"/>
              </w:rPr>
              <w:t>b</w:t>
            </w:r>
            <w:r>
              <w:rPr>
                <w:rStyle w:val="translated-span"/>
              </w:rPr>
              <w:t>）</w:t>
            </w:r>
            <w:r>
              <w:rPr>
                <w:rStyle w:val="translated-span"/>
              </w:rPr>
              <w:t xml:space="preserve"> </w:t>
            </w:r>
            <w:r>
              <w:rPr>
                <w:rStyle w:val="translated-span"/>
              </w:rPr>
              <w:t>集中式框架</w:t>
            </w:r>
            <w:r>
              <w:rPr>
                <w:rStyle w:val="translated-span"/>
              </w:rPr>
              <w:t>。</w:t>
            </w:r>
            <w:r>
              <w:rPr>
                <w:rStyle w:val="translated-span"/>
              </w:rPr>
              <w:t>（</w:t>
            </w:r>
            <w:r>
              <w:rPr>
                <w:rStyle w:val="translated-span"/>
              </w:rPr>
              <w:t>c</w:t>
            </w:r>
            <w:r>
              <w:rPr>
                <w:rStyle w:val="translated-span"/>
              </w:rPr>
              <w:t>）</w:t>
            </w:r>
            <w:r>
              <w:rPr>
                <w:rStyle w:val="translated-span"/>
              </w:rPr>
              <w:t xml:space="preserve"> </w:t>
            </w:r>
            <w:r>
              <w:rPr>
                <w:rStyle w:val="translated-span"/>
              </w:rPr>
              <w:t>：分布式框架</w:t>
            </w:r>
            <w:r>
              <w:rPr>
                <w:rStyle w:val="translated-span"/>
              </w:rPr>
              <w:t>。</w:t>
            </w:r>
            <w:r>
              <w:rPr>
                <w:rStyle w:val="translated-span"/>
              </w:rPr>
              <w:t>（</w:t>
            </w:r>
            <w:r>
              <w:rPr>
                <w:rStyle w:val="translated-span"/>
              </w:rPr>
              <w:t>d</w:t>
            </w:r>
            <w:r>
              <w:rPr>
                <w:rStyle w:val="translated-span"/>
              </w:rPr>
              <w:t>）</w:t>
            </w:r>
            <w:r>
              <w:rPr>
                <w:rStyle w:val="translated-span"/>
              </w:rPr>
              <w:t xml:space="preserve"> </w:t>
            </w:r>
            <w:r>
              <w:rPr>
                <w:rStyle w:val="translated-span"/>
              </w:rPr>
              <w:t>：</w:t>
            </w:r>
            <w:r>
              <w:rPr>
                <w:rStyle w:val="translated-span"/>
              </w:rPr>
              <w:t>分散框架</w:t>
            </w:r>
            <w:r>
              <w:rPr>
                <w:rStyle w:val="translated-span"/>
              </w:rPr>
              <w:t>。</w:t>
            </w:r>
          </w:p>
          <w:p w:rsidR="00000000" w:rsidRDefault="00A52409">
            <w:pPr>
              <w:spacing w:after="0" w:line="256" w:lineRule="auto"/>
              <w:ind w:firstLine="0"/>
              <w:jc w:val="center"/>
            </w:pPr>
            <w:r>
              <w:rPr>
                <w:rStyle w:val="translated-span"/>
              </w:rPr>
              <w:t>表</w:t>
            </w:r>
            <w:r>
              <w:rPr>
                <w:rStyle w:val="translated-span"/>
              </w:rPr>
              <w:t>1</w:t>
            </w:r>
            <w:r>
              <w:rPr>
                <w:rStyle w:val="translated-span"/>
              </w:rPr>
              <w:t>：比较不同的深度学习框架</w:t>
            </w:r>
            <w:r>
              <w:rPr>
                <w:rStyle w:val="translated-span"/>
              </w:rPr>
              <w:t>。</w:t>
            </w:r>
          </w:p>
          <w:tbl>
            <w:tblPr>
              <w:tblW w:w="10312" w:type="dxa"/>
              <w:tblCellMar>
                <w:left w:w="0" w:type="dxa"/>
                <w:right w:w="0" w:type="dxa"/>
              </w:tblCellMar>
              <w:tblLook w:val="04A0" w:firstRow="1" w:lastRow="0" w:firstColumn="1" w:lastColumn="0" w:noHBand="0" w:noVBand="1"/>
            </w:tblPr>
            <w:tblGrid>
              <w:gridCol w:w="1927"/>
              <w:gridCol w:w="1643"/>
              <w:gridCol w:w="1721"/>
              <w:gridCol w:w="1298"/>
              <w:gridCol w:w="435"/>
              <w:gridCol w:w="1643"/>
              <w:gridCol w:w="1645"/>
            </w:tblGrid>
            <w:tr w:rsidR="00000000">
              <w:trPr>
                <w:trHeight w:val="548"/>
              </w:trPr>
              <w:tc>
                <w:tcPr>
                  <w:tcW w:w="1948" w:type="dxa"/>
                  <w:tcBorders>
                    <w:top w:val="single" w:sz="8" w:space="0" w:color="000000"/>
                    <w:left w:val="single" w:sz="8" w:space="0" w:color="000000"/>
                    <w:bottom w:val="single" w:sz="8" w:space="0" w:color="000000"/>
                    <w:right w:val="single" w:sz="8" w:space="0" w:color="000000"/>
                  </w:tcBorders>
                  <w:tcMar>
                    <w:top w:w="16" w:type="dxa"/>
                    <w:left w:w="0" w:type="dxa"/>
                    <w:bottom w:w="0" w:type="dxa"/>
                    <w:right w:w="115" w:type="dxa"/>
                  </w:tcMar>
                  <w:hideMark/>
                </w:tcPr>
                <w:p w:rsidR="00000000" w:rsidRDefault="00A52409">
                  <w:pPr>
                    <w:framePr w:wrap="around" w:vAnchor="text" w:hAnchor="text"/>
                    <w:spacing w:after="0" w:line="256" w:lineRule="auto"/>
                    <w:ind w:left="124" w:firstLine="0"/>
                    <w:jc w:val="left"/>
                  </w:pPr>
                  <w:r>
                    <w:rPr>
                      <w:rStyle w:val="translated-span"/>
                      <w:sz w:val="16"/>
                      <w:szCs w:val="16"/>
                    </w:rPr>
                    <w:t>框</w:t>
                  </w:r>
                  <w:r>
                    <w:rPr>
                      <w:rStyle w:val="translated-span"/>
                      <w:sz w:val="16"/>
                      <w:szCs w:val="16"/>
                    </w:rPr>
                    <w:t>架</w:t>
                  </w:r>
                </w:p>
              </w:tc>
              <w:tc>
                <w:tcPr>
                  <w:tcW w:w="1657" w:type="dxa"/>
                  <w:tcBorders>
                    <w:top w:val="single" w:sz="8" w:space="0" w:color="000000"/>
                    <w:left w:val="nil"/>
                    <w:bottom w:val="single" w:sz="8" w:space="0" w:color="000000"/>
                    <w:right w:val="single" w:sz="8" w:space="0" w:color="000000"/>
                  </w:tcBorders>
                  <w:tcMar>
                    <w:top w:w="16" w:type="dxa"/>
                    <w:left w:w="0" w:type="dxa"/>
                    <w:bottom w:w="0" w:type="dxa"/>
                    <w:right w:w="115" w:type="dxa"/>
                  </w:tcMar>
                  <w:hideMark/>
                </w:tcPr>
                <w:p w:rsidR="00000000" w:rsidRDefault="00A52409">
                  <w:pPr>
                    <w:framePr w:wrap="around" w:vAnchor="text" w:hAnchor="text"/>
                    <w:spacing w:after="0" w:line="256" w:lineRule="auto"/>
                    <w:ind w:left="124" w:firstLine="0"/>
                    <w:jc w:val="left"/>
                  </w:pPr>
                  <w:r>
                    <w:rPr>
                      <w:rStyle w:val="translated-span"/>
                      <w:sz w:val="16"/>
                      <w:szCs w:val="16"/>
                    </w:rPr>
                    <w:t>独</w:t>
                  </w:r>
                  <w:r>
                    <w:rPr>
                      <w:rStyle w:val="translated-span"/>
                      <w:sz w:val="16"/>
                      <w:szCs w:val="16"/>
                    </w:rPr>
                    <w:t>立</w:t>
                  </w:r>
                </w:p>
              </w:tc>
              <w:tc>
                <w:tcPr>
                  <w:tcW w:w="1736" w:type="dxa"/>
                  <w:tcBorders>
                    <w:top w:val="single" w:sz="8" w:space="0" w:color="000000"/>
                    <w:left w:val="nil"/>
                    <w:bottom w:val="single" w:sz="8" w:space="0" w:color="000000"/>
                    <w:right w:val="single" w:sz="8" w:space="0" w:color="000000"/>
                  </w:tcBorders>
                  <w:tcMar>
                    <w:top w:w="16" w:type="dxa"/>
                    <w:left w:w="0" w:type="dxa"/>
                    <w:bottom w:w="0" w:type="dxa"/>
                    <w:right w:w="115" w:type="dxa"/>
                  </w:tcMar>
                  <w:hideMark/>
                </w:tcPr>
                <w:p w:rsidR="00000000" w:rsidRDefault="00A52409">
                  <w:pPr>
                    <w:framePr w:wrap="around" w:vAnchor="text" w:hAnchor="text"/>
                    <w:spacing w:after="0" w:line="256" w:lineRule="auto"/>
                    <w:ind w:left="124" w:firstLine="0"/>
                    <w:jc w:val="left"/>
                  </w:pPr>
                  <w:r>
                    <w:rPr>
                      <w:rStyle w:val="translated-span"/>
                      <w:sz w:val="16"/>
                      <w:szCs w:val="16"/>
                    </w:rPr>
                    <w:t>集中式</w:t>
                  </w:r>
                  <w:r>
                    <w:rPr>
                      <w:rStyle w:val="translated-span"/>
                      <w:sz w:val="16"/>
                      <w:szCs w:val="16"/>
                    </w:rPr>
                    <w:t>[18]</w:t>
                  </w:r>
                  <w:r>
                    <w:rPr>
                      <w:rStyle w:val="translated-span"/>
                      <w:sz w:val="16"/>
                      <w:szCs w:val="16"/>
                    </w:rPr>
                    <w:t>，</w:t>
                  </w:r>
                  <w:r>
                    <w:rPr>
                      <w:rStyle w:val="translated-span"/>
                      <w:sz w:val="16"/>
                      <w:szCs w:val="16"/>
                    </w:rPr>
                    <w:t>[19</w:t>
                  </w:r>
                  <w:r>
                    <w:rPr>
                      <w:rStyle w:val="translated-span"/>
                      <w:sz w:val="16"/>
                      <w:szCs w:val="16"/>
                    </w:rPr>
                    <w:t>]</w:t>
                  </w:r>
                </w:p>
              </w:tc>
              <w:tc>
                <w:tcPr>
                  <w:tcW w:w="1307" w:type="dxa"/>
                  <w:tcBorders>
                    <w:top w:val="single" w:sz="8" w:space="0" w:color="000000"/>
                    <w:left w:val="nil"/>
                    <w:bottom w:val="single" w:sz="8" w:space="0" w:color="000000"/>
                    <w:right w:val="nil"/>
                  </w:tcBorders>
                  <w:tcMar>
                    <w:top w:w="16" w:type="dxa"/>
                    <w:left w:w="0" w:type="dxa"/>
                    <w:bottom w:w="0" w:type="dxa"/>
                    <w:right w:w="115" w:type="dxa"/>
                  </w:tcMar>
                  <w:hideMark/>
                </w:tcPr>
                <w:p w:rsidR="00000000" w:rsidRDefault="00A52409">
                  <w:pPr>
                    <w:framePr w:wrap="around" w:vAnchor="text" w:hAnchor="text"/>
                    <w:spacing w:after="0" w:line="256" w:lineRule="auto"/>
                    <w:ind w:left="124" w:firstLine="0"/>
                    <w:jc w:val="left"/>
                  </w:pPr>
                  <w:r>
                    <w:rPr>
                      <w:rStyle w:val="translated-span"/>
                      <w:sz w:val="16"/>
                      <w:szCs w:val="16"/>
                    </w:rPr>
                    <w:t>分布</w:t>
                  </w:r>
                  <w:r>
                    <w:rPr>
                      <w:rStyle w:val="translated-span"/>
                      <w:sz w:val="16"/>
                      <w:szCs w:val="16"/>
                    </w:rPr>
                    <w:t>式</w:t>
                  </w:r>
                </w:p>
                <w:p w:rsidR="00000000" w:rsidRDefault="00A52409">
                  <w:pPr>
                    <w:framePr w:wrap="around" w:vAnchor="text" w:hAnchor="text"/>
                    <w:spacing w:after="0" w:line="256" w:lineRule="auto"/>
                    <w:ind w:left="124" w:firstLine="0"/>
                    <w:jc w:val="left"/>
                  </w:pPr>
                  <w:r>
                    <w:rPr>
                      <w:rStyle w:val="translated-span"/>
                      <w:sz w:val="16"/>
                      <w:szCs w:val="16"/>
                    </w:rPr>
                    <w:t xml:space="preserve">[10] </w:t>
                  </w:r>
                  <w:r>
                    <w:rPr>
                      <w:rStyle w:val="translated-span"/>
                      <w:sz w:val="16"/>
                      <w:szCs w:val="16"/>
                    </w:rPr>
                    <w:t>，</w:t>
                  </w:r>
                  <w:r>
                    <w:rPr>
                      <w:rStyle w:val="translated-span"/>
                      <w:sz w:val="16"/>
                      <w:szCs w:val="16"/>
                    </w:rPr>
                    <w:t>[11]</w:t>
                  </w:r>
                  <w:r>
                    <w:rPr>
                      <w:rStyle w:val="translated-span"/>
                      <w:sz w:val="16"/>
                      <w:szCs w:val="16"/>
                    </w:rPr>
                    <w:t>，</w:t>
                  </w:r>
                  <w:r>
                    <w:rPr>
                      <w:rStyle w:val="translated-span"/>
                      <w:sz w:val="16"/>
                      <w:szCs w:val="16"/>
                    </w:rPr>
                    <w:t>[20</w:t>
                  </w:r>
                  <w:r>
                    <w:rPr>
                      <w:rStyle w:val="translated-span"/>
                      <w:sz w:val="16"/>
                      <w:szCs w:val="16"/>
                    </w:rPr>
                    <w:t>]</w:t>
                  </w:r>
                </w:p>
              </w:tc>
              <w:tc>
                <w:tcPr>
                  <w:tcW w:w="350" w:type="dxa"/>
                  <w:tcBorders>
                    <w:top w:val="single" w:sz="8" w:space="0" w:color="000000"/>
                    <w:left w:val="nil"/>
                    <w:bottom w:val="single" w:sz="8" w:space="0" w:color="000000"/>
                    <w:right w:val="single" w:sz="8" w:space="0" w:color="000000"/>
                  </w:tcBorders>
                  <w:tcMar>
                    <w:top w:w="16" w:type="dxa"/>
                    <w:left w:w="0"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 xml:space="preserve">[5] </w:t>
                  </w:r>
                  <w:r>
                    <w:rPr>
                      <w:rStyle w:val="translated-span"/>
                      <w:sz w:val="16"/>
                      <w:szCs w:val="16"/>
                    </w:rPr>
                    <w:t>你说</w:t>
                  </w:r>
                  <w:r>
                    <w:rPr>
                      <w:rStyle w:val="translated-span"/>
                      <w:sz w:val="16"/>
                      <w:szCs w:val="16"/>
                    </w:rPr>
                    <w:t>，</w:t>
                  </w:r>
                </w:p>
              </w:tc>
              <w:tc>
                <w:tcPr>
                  <w:tcW w:w="1657" w:type="dxa"/>
                  <w:tcBorders>
                    <w:top w:val="single" w:sz="8" w:space="0" w:color="000000"/>
                    <w:left w:val="nil"/>
                    <w:bottom w:val="single" w:sz="8" w:space="0" w:color="000000"/>
                    <w:right w:val="single" w:sz="8" w:space="0" w:color="000000"/>
                  </w:tcBorders>
                  <w:tcMar>
                    <w:top w:w="16" w:type="dxa"/>
                    <w:left w:w="0"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分散</w:t>
                  </w:r>
                  <w:r>
                    <w:rPr>
                      <w:rStyle w:val="translated-span"/>
                      <w:sz w:val="16"/>
                      <w:szCs w:val="16"/>
                    </w:rPr>
                    <w:t>[12]</w:t>
                  </w:r>
                  <w:r>
                    <w:rPr>
                      <w:rStyle w:val="translated-span"/>
                      <w:sz w:val="16"/>
                      <w:szCs w:val="16"/>
                    </w:rPr>
                    <w:t>，</w:t>
                  </w:r>
                </w:p>
                <w:p w:rsidR="00000000" w:rsidRDefault="00A52409">
                  <w:pPr>
                    <w:framePr w:wrap="around" w:vAnchor="text" w:hAnchor="text"/>
                    <w:spacing w:after="0" w:line="256" w:lineRule="auto"/>
                    <w:ind w:left="115" w:firstLine="0"/>
                    <w:jc w:val="center"/>
                  </w:pPr>
                  <w:r>
                    <w:rPr>
                      <w:rStyle w:val="translated-span"/>
                      <w:sz w:val="16"/>
                      <w:szCs w:val="16"/>
                    </w:rPr>
                    <w:t xml:space="preserve">[13] </w:t>
                  </w:r>
                  <w:r>
                    <w:rPr>
                      <w:rStyle w:val="translated-span"/>
                      <w:sz w:val="16"/>
                      <w:szCs w:val="16"/>
                    </w:rPr>
                    <w:t>，</w:t>
                  </w:r>
                  <w:r>
                    <w:rPr>
                      <w:rStyle w:val="translated-span"/>
                      <w:sz w:val="16"/>
                      <w:szCs w:val="16"/>
                    </w:rPr>
                    <w:t>[14]</w:t>
                  </w:r>
                  <w:r>
                    <w:rPr>
                      <w:rStyle w:val="translated-span"/>
                      <w:sz w:val="16"/>
                      <w:szCs w:val="16"/>
                    </w:rPr>
                    <w:t>，</w:t>
                  </w:r>
                  <w:r>
                    <w:rPr>
                      <w:rStyle w:val="translated-span"/>
                      <w:sz w:val="16"/>
                      <w:szCs w:val="16"/>
                    </w:rPr>
                    <w:t>[15]</w:t>
                  </w:r>
                  <w:r>
                    <w:rPr>
                      <w:rStyle w:val="translated-span"/>
                      <w:sz w:val="16"/>
                      <w:szCs w:val="16"/>
                    </w:rPr>
                    <w:t>，</w:t>
                  </w:r>
                  <w:r>
                    <w:rPr>
                      <w:rStyle w:val="translated-span"/>
                      <w:sz w:val="16"/>
                      <w:szCs w:val="16"/>
                    </w:rPr>
                    <w:t>[16]</w:t>
                  </w:r>
                  <w:r>
                    <w:rPr>
                      <w:rStyle w:val="translated-span"/>
                      <w:sz w:val="16"/>
                      <w:szCs w:val="16"/>
                    </w:rPr>
                    <w:t>，</w:t>
                  </w:r>
                </w:p>
                <w:p w:rsidR="00000000" w:rsidRDefault="00A52409">
                  <w:pPr>
                    <w:framePr w:wrap="around" w:vAnchor="text" w:hAnchor="text"/>
                    <w:spacing w:after="0" w:line="256" w:lineRule="auto"/>
                    <w:ind w:left="124" w:firstLine="0"/>
                    <w:jc w:val="left"/>
                  </w:pPr>
                  <w:r>
                    <w:rPr>
                      <w:rStyle w:val="translated-span"/>
                      <w:sz w:val="16"/>
                      <w:szCs w:val="16"/>
                    </w:rPr>
                    <w:t>[17</w:t>
                  </w:r>
                  <w:r>
                    <w:rPr>
                      <w:rStyle w:val="translated-span"/>
                      <w:sz w:val="16"/>
                      <w:szCs w:val="16"/>
                    </w:rPr>
                    <w:t>]</w:t>
                  </w:r>
                </w:p>
              </w:tc>
              <w:tc>
                <w:tcPr>
                  <w:tcW w:w="1657" w:type="dxa"/>
                  <w:tcBorders>
                    <w:top w:val="single" w:sz="8" w:space="0" w:color="000000"/>
                    <w:left w:val="nil"/>
                    <w:bottom w:val="single" w:sz="8" w:space="0" w:color="000000"/>
                    <w:right w:val="single" w:sz="8" w:space="0" w:color="000000"/>
                  </w:tcBorders>
                  <w:tcMar>
                    <w:top w:w="16" w:type="dxa"/>
                    <w:left w:w="0" w:type="dxa"/>
                    <w:bottom w:w="0" w:type="dxa"/>
                    <w:right w:w="115" w:type="dxa"/>
                  </w:tcMar>
                  <w:hideMark/>
                </w:tcPr>
                <w:p w:rsidR="00000000" w:rsidRDefault="00A52409">
                  <w:pPr>
                    <w:framePr w:wrap="around" w:vAnchor="text" w:hAnchor="text"/>
                    <w:spacing w:after="0" w:line="256" w:lineRule="auto"/>
                    <w:ind w:left="124" w:firstLine="0"/>
                    <w:jc w:val="left"/>
                  </w:pPr>
                  <w:r>
                    <w:rPr>
                      <w:rStyle w:val="translated-span"/>
                      <w:sz w:val="16"/>
                      <w:szCs w:val="16"/>
                    </w:rPr>
                    <w:t>去中心化（我们的</w:t>
                  </w:r>
                  <w:r>
                    <w:rPr>
                      <w:rStyle w:val="translated-span"/>
                      <w:sz w:val="16"/>
                      <w:szCs w:val="16"/>
                    </w:rPr>
                    <w:t>FPPDL</w:t>
                  </w:r>
                  <w:r>
                    <w:rPr>
                      <w:rStyle w:val="translated-span"/>
                      <w:sz w:val="16"/>
                      <w:szCs w:val="16"/>
                    </w:rPr>
                    <w:t>）</w:t>
                  </w:r>
                </w:p>
              </w:tc>
            </w:tr>
            <w:tr w:rsidR="00000000">
              <w:trPr>
                <w:trHeight w:val="188"/>
              </w:trPr>
              <w:tc>
                <w:tcPr>
                  <w:tcW w:w="1948" w:type="dxa"/>
                  <w:tcBorders>
                    <w:top w:val="nil"/>
                    <w:left w:val="single" w:sz="8" w:space="0" w:color="000000"/>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建</w:t>
                  </w:r>
                  <w:r>
                    <w:rPr>
                      <w:rStyle w:val="translated-span"/>
                      <w:sz w:val="16"/>
                      <w:szCs w:val="16"/>
                    </w:rPr>
                    <w:t>筑</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a</w:t>
                  </w:r>
                  <w:r>
                    <w:rPr>
                      <w:rStyle w:val="translated-span"/>
                      <w:sz w:val="16"/>
                      <w:szCs w:val="16"/>
                    </w:rPr>
                    <w:t>）</w:t>
                  </w:r>
                </w:p>
              </w:tc>
              <w:tc>
                <w:tcPr>
                  <w:tcW w:w="1736"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right="8" w:firstLine="0"/>
                    <w:jc w:val="center"/>
                  </w:pP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b</w:t>
                  </w:r>
                  <w:r>
                    <w:rPr>
                      <w:rStyle w:val="translated-span"/>
                      <w:sz w:val="16"/>
                      <w:szCs w:val="16"/>
                    </w:rPr>
                    <w:t>）</w:t>
                  </w:r>
                </w:p>
              </w:tc>
              <w:tc>
                <w:tcPr>
                  <w:tcW w:w="1657" w:type="dxa"/>
                  <w:gridSpan w:val="2"/>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c</w:t>
                  </w:r>
                  <w:r>
                    <w:rPr>
                      <w:rStyle w:val="translated-span"/>
                      <w:sz w:val="16"/>
                      <w:szCs w:val="16"/>
                    </w:rPr>
                    <w:t>）</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d</w:t>
                  </w:r>
                  <w:r>
                    <w:rPr>
                      <w:rStyle w:val="translated-span"/>
                      <w:sz w:val="16"/>
                      <w:szCs w:val="16"/>
                    </w:rPr>
                    <w:t>）</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d</w:t>
                  </w:r>
                  <w:r>
                    <w:rPr>
                      <w:rStyle w:val="translated-span"/>
                      <w:sz w:val="16"/>
                      <w:szCs w:val="16"/>
                    </w:rPr>
                    <w:t>）</w:t>
                  </w:r>
                </w:p>
              </w:tc>
            </w:tr>
            <w:tr w:rsidR="00000000">
              <w:trPr>
                <w:trHeight w:val="188"/>
              </w:trPr>
              <w:tc>
                <w:tcPr>
                  <w:tcW w:w="1948" w:type="dxa"/>
                  <w:tcBorders>
                    <w:top w:val="nil"/>
                    <w:left w:val="single" w:sz="8" w:space="0" w:color="000000"/>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全局模</w:t>
                  </w:r>
                  <w:r>
                    <w:rPr>
                      <w:rStyle w:val="translated-span"/>
                      <w:sz w:val="16"/>
                      <w:szCs w:val="16"/>
                    </w:rPr>
                    <w:t>型</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不</w:t>
                  </w:r>
                </w:p>
              </w:tc>
              <w:tc>
                <w:tcPr>
                  <w:tcW w:w="1736"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right="8" w:firstLine="0"/>
                    <w:jc w:val="center"/>
                  </w:pPr>
                  <w:r>
                    <w:rPr>
                      <w:rStyle w:val="translated-span"/>
                      <w:sz w:val="16"/>
                      <w:szCs w:val="16"/>
                    </w:rPr>
                    <w:t>是</w:t>
                  </w:r>
                  <w:r>
                    <w:rPr>
                      <w:rStyle w:val="translated-span"/>
                      <w:sz w:val="16"/>
                      <w:szCs w:val="16"/>
                    </w:rPr>
                    <w:t>的</w:t>
                  </w:r>
                </w:p>
              </w:tc>
              <w:tc>
                <w:tcPr>
                  <w:tcW w:w="1657" w:type="dxa"/>
                  <w:gridSpan w:val="2"/>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是</w:t>
                  </w:r>
                  <w:r>
                    <w:rPr>
                      <w:rStyle w:val="translated-span"/>
                      <w:sz w:val="16"/>
                      <w:szCs w:val="16"/>
                    </w:rPr>
                    <w:t>的</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取决</w:t>
                  </w:r>
                  <w:r>
                    <w:rPr>
                      <w:rStyle w:val="translated-span"/>
                      <w:sz w:val="16"/>
                      <w:szCs w:val="16"/>
                    </w:rPr>
                    <w:t>于</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取决</w:t>
                  </w:r>
                  <w:r>
                    <w:rPr>
                      <w:rStyle w:val="translated-span"/>
                      <w:sz w:val="16"/>
                      <w:szCs w:val="16"/>
                    </w:rPr>
                    <w:t>于</w:t>
                  </w:r>
                </w:p>
              </w:tc>
            </w:tr>
            <w:tr w:rsidR="00000000">
              <w:trPr>
                <w:trHeight w:val="188"/>
              </w:trPr>
              <w:tc>
                <w:tcPr>
                  <w:tcW w:w="1948" w:type="dxa"/>
                  <w:tcBorders>
                    <w:top w:val="nil"/>
                    <w:left w:val="single" w:sz="8" w:space="0" w:color="000000"/>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本地模</w:t>
                  </w:r>
                  <w:r>
                    <w:rPr>
                      <w:rStyle w:val="translated-span"/>
                      <w:sz w:val="16"/>
                      <w:szCs w:val="16"/>
                    </w:rPr>
                    <w:t>型</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是</w:t>
                  </w:r>
                  <w:r>
                    <w:rPr>
                      <w:rStyle w:val="translated-span"/>
                      <w:sz w:val="16"/>
                      <w:szCs w:val="16"/>
                    </w:rPr>
                    <w:t>的</w:t>
                  </w:r>
                </w:p>
              </w:tc>
              <w:tc>
                <w:tcPr>
                  <w:tcW w:w="1736"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right="8" w:firstLine="0"/>
                    <w:jc w:val="center"/>
                  </w:pPr>
                  <w:r>
                    <w:rPr>
                      <w:rStyle w:val="translated-span"/>
                      <w:sz w:val="16"/>
                      <w:szCs w:val="16"/>
                    </w:rPr>
                    <w:t>不</w:t>
                  </w:r>
                </w:p>
              </w:tc>
              <w:tc>
                <w:tcPr>
                  <w:tcW w:w="1657" w:type="dxa"/>
                  <w:gridSpan w:val="2"/>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是</w:t>
                  </w:r>
                  <w:r>
                    <w:rPr>
                      <w:rStyle w:val="translated-span"/>
                      <w:sz w:val="16"/>
                      <w:szCs w:val="16"/>
                    </w:rPr>
                    <w:t>的</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是</w:t>
                  </w:r>
                  <w:r>
                    <w:rPr>
                      <w:rStyle w:val="translated-span"/>
                      <w:sz w:val="16"/>
                      <w:szCs w:val="16"/>
                    </w:rPr>
                    <w:t>的</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是</w:t>
                  </w:r>
                  <w:r>
                    <w:rPr>
                      <w:rStyle w:val="translated-span"/>
                      <w:sz w:val="16"/>
                      <w:szCs w:val="16"/>
                    </w:rPr>
                    <w:t>的</w:t>
                  </w:r>
                </w:p>
              </w:tc>
            </w:tr>
            <w:tr w:rsidR="00000000">
              <w:trPr>
                <w:trHeight w:val="188"/>
              </w:trPr>
              <w:tc>
                <w:tcPr>
                  <w:tcW w:w="1948" w:type="dxa"/>
                  <w:tcBorders>
                    <w:top w:val="nil"/>
                    <w:left w:val="single" w:sz="8" w:space="0" w:color="000000"/>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合作公</w:t>
                  </w:r>
                  <w:r>
                    <w:rPr>
                      <w:rStyle w:val="translated-span"/>
                      <w:sz w:val="16"/>
                      <w:szCs w:val="16"/>
                    </w:rPr>
                    <w:t>平</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不适</w:t>
                  </w:r>
                  <w:r>
                    <w:rPr>
                      <w:rStyle w:val="translated-span"/>
                      <w:sz w:val="16"/>
                      <w:szCs w:val="16"/>
                    </w:rPr>
                    <w:t>用</w:t>
                  </w:r>
                </w:p>
              </w:tc>
              <w:tc>
                <w:tcPr>
                  <w:tcW w:w="1736"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right="8" w:firstLine="0"/>
                    <w:jc w:val="center"/>
                  </w:pPr>
                  <w:r>
                    <w:rPr>
                      <w:rStyle w:val="translated-span"/>
                      <w:sz w:val="16"/>
                      <w:szCs w:val="16"/>
                    </w:rPr>
                    <w:t>不适</w:t>
                  </w:r>
                  <w:r>
                    <w:rPr>
                      <w:rStyle w:val="translated-span"/>
                      <w:sz w:val="16"/>
                      <w:szCs w:val="16"/>
                    </w:rPr>
                    <w:t>用</w:t>
                  </w:r>
                </w:p>
              </w:tc>
              <w:tc>
                <w:tcPr>
                  <w:tcW w:w="1657" w:type="dxa"/>
                  <w:gridSpan w:val="2"/>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不</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不</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是</w:t>
                  </w:r>
                  <w:r>
                    <w:rPr>
                      <w:rStyle w:val="translated-span"/>
                      <w:sz w:val="16"/>
                      <w:szCs w:val="16"/>
                    </w:rPr>
                    <w:t>的</w:t>
                  </w:r>
                </w:p>
              </w:tc>
            </w:tr>
            <w:tr w:rsidR="00000000">
              <w:trPr>
                <w:trHeight w:val="188"/>
              </w:trPr>
              <w:tc>
                <w:tcPr>
                  <w:tcW w:w="1948" w:type="dxa"/>
                  <w:tcBorders>
                    <w:top w:val="nil"/>
                    <w:left w:val="single" w:sz="8" w:space="0" w:color="000000"/>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质量控</w:t>
                  </w:r>
                  <w:r>
                    <w:rPr>
                      <w:rStyle w:val="translated-span"/>
                      <w:sz w:val="16"/>
                      <w:szCs w:val="16"/>
                    </w:rPr>
                    <w:t>制</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不适</w:t>
                  </w:r>
                  <w:r>
                    <w:rPr>
                      <w:rStyle w:val="translated-span"/>
                      <w:sz w:val="16"/>
                      <w:szCs w:val="16"/>
                    </w:rPr>
                    <w:t>用</w:t>
                  </w:r>
                </w:p>
              </w:tc>
              <w:tc>
                <w:tcPr>
                  <w:tcW w:w="1736"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right="8" w:firstLine="0"/>
                    <w:jc w:val="center"/>
                  </w:pPr>
                  <w:r>
                    <w:rPr>
                      <w:rStyle w:val="translated-span"/>
                      <w:sz w:val="16"/>
                      <w:szCs w:val="16"/>
                    </w:rPr>
                    <w:t>不</w:t>
                  </w:r>
                </w:p>
              </w:tc>
              <w:tc>
                <w:tcPr>
                  <w:tcW w:w="1657" w:type="dxa"/>
                  <w:gridSpan w:val="2"/>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不</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不</w:t>
                  </w:r>
                </w:p>
              </w:tc>
              <w:tc>
                <w:tcPr>
                  <w:tcW w:w="1657" w:type="dxa"/>
                  <w:tcBorders>
                    <w:top w:val="nil"/>
                    <w:left w:val="nil"/>
                    <w:bottom w:val="single" w:sz="8" w:space="0" w:color="000000"/>
                    <w:right w:val="single" w:sz="8" w:space="0" w:color="000000"/>
                  </w:tcBorders>
                  <w:tcMar>
                    <w:top w:w="16" w:type="dxa"/>
                    <w:left w:w="124" w:type="dxa"/>
                    <w:bottom w:w="0" w:type="dxa"/>
                    <w:right w:w="115" w:type="dxa"/>
                  </w:tcMar>
                  <w:hideMark/>
                </w:tcPr>
                <w:p w:rsidR="00000000" w:rsidRDefault="00A52409">
                  <w:pPr>
                    <w:framePr w:wrap="around" w:vAnchor="text" w:hAnchor="text"/>
                    <w:spacing w:after="0" w:line="256" w:lineRule="auto"/>
                    <w:ind w:firstLine="0"/>
                    <w:jc w:val="left"/>
                  </w:pPr>
                  <w:r>
                    <w:rPr>
                      <w:rStyle w:val="translated-span"/>
                      <w:sz w:val="16"/>
                      <w:szCs w:val="16"/>
                    </w:rPr>
                    <w:t>是</w:t>
                  </w:r>
                  <w:r>
                    <w:rPr>
                      <w:rStyle w:val="translated-span"/>
                      <w:sz w:val="16"/>
                      <w:szCs w:val="16"/>
                    </w:rPr>
                    <w:t>的</w:t>
                  </w:r>
                </w:p>
              </w:tc>
            </w:tr>
          </w:tbl>
          <w:p w:rsidR="00000000" w:rsidRDefault="00A52409">
            <w:pPr>
              <w:rPr>
                <w:rFonts w:ascii="宋体" w:hAnsi="宋体"/>
                <w:color w:val="auto"/>
                <w:sz w:val="24"/>
                <w:szCs w:val="24"/>
              </w:rPr>
            </w:pPr>
          </w:p>
        </w:tc>
      </w:tr>
    </w:tbl>
    <w:p w:rsidR="00000000" w:rsidRDefault="00A52409">
      <w:pPr>
        <w:ind w:left="-15" w:firstLine="0"/>
      </w:pPr>
      <w:r>
        <w:rPr>
          <w:rStyle w:val="translated-span"/>
        </w:rPr>
        <w:t>正如</w:t>
      </w:r>
      <w:r>
        <w:rPr>
          <w:rStyle w:val="translated-span"/>
        </w:rPr>
        <w:t>Shokri</w:t>
      </w:r>
      <w:r>
        <w:rPr>
          <w:rStyle w:val="translated-span"/>
        </w:rPr>
        <w:t>等人指出的那样</w:t>
      </w:r>
      <w:r>
        <w:rPr>
          <w:rStyle w:val="translated-span"/>
        </w:rPr>
        <w:t>。</w:t>
      </w:r>
      <w:r>
        <w:rPr>
          <w:rStyle w:val="translated-span"/>
        </w:rPr>
        <w:t xml:space="preserve">[11] </w:t>
      </w:r>
      <w:r>
        <w:rPr>
          <w:rStyle w:val="translated-span"/>
        </w:rPr>
        <w:t>，集中式深度学习通常会带来许多隐私问题</w:t>
      </w:r>
      <w:r>
        <w:rPr>
          <w:rStyle w:val="translated-span"/>
        </w:rPr>
        <w:t>。</w:t>
      </w:r>
      <w:r>
        <w:rPr>
          <w:rStyle w:val="translated-span"/>
        </w:rPr>
        <w:t>具体来说，所有敏感的培训数据都会透露给第三方；数据所有者对学习目标没有控制权；学习的模型不能直接提供给数据所有者</w:t>
      </w:r>
      <w:r>
        <w:rPr>
          <w:rStyle w:val="translated-span"/>
        </w:rPr>
        <w:t>。</w:t>
      </w:r>
      <w:r>
        <w:rPr>
          <w:rStyle w:val="translated-span"/>
        </w:rPr>
        <w:t>为了减轻这些隐私风险，吉拉德</w:t>
      </w:r>
      <w:r>
        <w:rPr>
          <w:rStyle w:val="translated-span"/>
        </w:rPr>
        <w:t>·</w:t>
      </w:r>
      <w:r>
        <w:rPr>
          <w:rStyle w:val="translated-span"/>
        </w:rPr>
        <w:t>巴赫拉赫等人</w:t>
      </w:r>
      <w:r>
        <w:rPr>
          <w:rStyle w:val="translated-span"/>
        </w:rPr>
        <w:t>。</w:t>
      </w:r>
      <w:r>
        <w:rPr>
          <w:rStyle w:val="translated-span"/>
        </w:rPr>
        <w:t xml:space="preserve">[18] </w:t>
      </w:r>
      <w:r>
        <w:rPr>
          <w:rStyle w:val="translated-span"/>
        </w:rPr>
        <w:t>开发密码网来运行同态加密数据的深度学习</w:t>
      </w:r>
      <w:r>
        <w:rPr>
          <w:rStyle w:val="translated-span"/>
        </w:rPr>
        <w:t>。</w:t>
      </w:r>
      <w:r>
        <w:rPr>
          <w:rStyle w:val="translated-span"/>
        </w:rPr>
        <w:t>然而，密码网络假设神经网络模型是预先训练好的，因此其系统主要用于向用户提供加密输出</w:t>
      </w:r>
      <w:r>
        <w:rPr>
          <w:rStyle w:val="translated-span"/>
        </w:rPr>
        <w:t>。</w:t>
      </w:r>
      <w:r>
        <w:rPr>
          <w:rStyle w:val="translated-span"/>
        </w:rPr>
        <w:t>相比之下，</w:t>
      </w:r>
      <w:r>
        <w:rPr>
          <w:rStyle w:val="translated-span"/>
        </w:rPr>
        <w:t>SecureML[20]</w:t>
      </w:r>
      <w:r>
        <w:rPr>
          <w:rStyle w:val="translated-span"/>
        </w:rPr>
        <w:t>通过安全多方计算（</w:t>
      </w:r>
      <w:r>
        <w:rPr>
          <w:rStyle w:val="translated-span"/>
        </w:rPr>
        <w:t>SMC</w:t>
      </w:r>
      <w:r>
        <w:rPr>
          <w:rStyle w:val="translated-span"/>
        </w:rPr>
        <w:t>）进行隐私保护学习，其中数据所有者需要在初始设置阶段处理、加密和</w:t>
      </w:r>
      <w:r>
        <w:rPr>
          <w:rStyle w:val="translated-span"/>
        </w:rPr>
        <w:t>/</w:t>
      </w:r>
      <w:r>
        <w:rPr>
          <w:rStyle w:val="translated-span"/>
        </w:rPr>
        <w:t>或秘密共享其数据</w:t>
      </w:r>
      <w:r>
        <w:rPr>
          <w:rStyle w:val="translated-span"/>
        </w:rPr>
        <w:t>。</w:t>
      </w:r>
      <w:r>
        <w:rPr>
          <w:rStyle w:val="translated-span"/>
        </w:rPr>
        <w:t>SecureML</w:t>
      </w:r>
      <w:r>
        <w:rPr>
          <w:rStyle w:val="translated-span"/>
        </w:rPr>
        <w:t>允许数据所有者根据他们的联合数据训练各种模型，而不必透露结果之外的任何信息</w:t>
      </w:r>
      <w:r>
        <w:rPr>
          <w:rStyle w:val="translated-span"/>
        </w:rPr>
        <w:t>。</w:t>
      </w:r>
      <w:r>
        <w:rPr>
          <w:rStyle w:val="translated-span"/>
        </w:rPr>
        <w:t>然而，这种方法产生了很高的计算和通信成本</w:t>
      </w:r>
      <w:r>
        <w:rPr>
          <w:rStyle w:val="translated-span"/>
        </w:rPr>
        <w:t>[21]</w:t>
      </w:r>
      <w:r>
        <w:rPr>
          <w:rStyle w:val="translated-span"/>
        </w:rPr>
        <w:t>，</w:t>
      </w:r>
      <w:r>
        <w:rPr>
          <w:rStyle w:val="translated-span"/>
        </w:rPr>
        <w:t>[22]</w:t>
      </w:r>
      <w:r>
        <w:rPr>
          <w:rStyle w:val="translated-span"/>
        </w:rPr>
        <w:t>。</w:t>
      </w:r>
    </w:p>
    <w:p w:rsidR="00000000" w:rsidRDefault="00A52409">
      <w:pPr>
        <w:ind w:left="-15"/>
      </w:pPr>
      <w:r>
        <w:rPr>
          <w:rStyle w:val="translated-span"/>
        </w:rPr>
        <w:t>最相关的工作是分布式选择性随机梯度下降（</w:t>
      </w:r>
      <w:r>
        <w:rPr>
          <w:rStyle w:val="translated-span"/>
        </w:rPr>
        <w:t>DSSGD</w:t>
      </w:r>
      <w:r>
        <w:rPr>
          <w:rStyle w:val="translated-span"/>
        </w:rPr>
        <w:t>）</w:t>
      </w:r>
      <w:r>
        <w:rPr>
          <w:rStyle w:val="translated-span"/>
        </w:rPr>
        <w:t>[11]</w:t>
      </w:r>
      <w:r>
        <w:rPr>
          <w:rStyle w:val="translated-span"/>
        </w:rPr>
        <w:t>。</w:t>
      </w:r>
      <w:r>
        <w:rPr>
          <w:rStyle w:val="translated-span"/>
        </w:rPr>
        <w:t>为了保护隐私，各方不是明确地共享训练数据，而是根据本地训练数据计算并共享（与</w:t>
      </w:r>
      <w:r>
        <w:rPr>
          <w:rStyle w:val="translated-span"/>
        </w:rPr>
        <w:t>PS</w:t>
      </w:r>
      <w:r>
        <w:rPr>
          <w:rStyle w:val="translated-span"/>
        </w:rPr>
        <w:t>）其本地模型梯度，同时通过从</w:t>
      </w:r>
      <w:r>
        <w:rPr>
          <w:rStyle w:val="translated-span"/>
        </w:rPr>
        <w:t>PS</w:t>
      </w:r>
      <w:r>
        <w:rPr>
          <w:rStyle w:val="translated-span"/>
        </w:rPr>
        <w:t>下载最新参数来更新其本地模型。为了进一步减少共享模型更新带来的隐私泄露</w:t>
      </w:r>
      <w:r>
        <w:rPr>
          <w:rStyle w:val="translated-span"/>
        </w:rPr>
        <w:t>，</w:t>
      </w:r>
      <w:r>
        <w:rPr>
          <w:rStyle w:val="translated-span"/>
        </w:rPr>
        <w:t>每一方都会对本地模型更新添加噪音，以确保每个参数的差异隐私</w:t>
      </w:r>
      <w:r>
        <w:rPr>
          <w:rStyle w:val="translated-span"/>
        </w:rPr>
        <w:t>。</w:t>
      </w:r>
      <w:r>
        <w:rPr>
          <w:rStyle w:val="translated-span"/>
        </w:rPr>
        <w:t>然而，他们的系统需要一个中央参数服务器来协调训练过程</w:t>
      </w:r>
      <w:r>
        <w:rPr>
          <w:rStyle w:val="translated-span"/>
        </w:rPr>
        <w:t>。</w:t>
      </w:r>
      <w:r>
        <w:rPr>
          <w:rStyle w:val="translated-span"/>
        </w:rPr>
        <w:t>因此，它面临着基于中心服务器的框架中常见的问题</w:t>
      </w:r>
      <w:r>
        <w:rPr>
          <w:rStyle w:val="translated-span"/>
        </w:rPr>
        <w:t>。</w:t>
      </w:r>
    </w:p>
    <w:p w:rsidR="00000000" w:rsidRDefault="00A52409">
      <w:pPr>
        <w:spacing w:after="86"/>
        <w:ind w:left="-15"/>
      </w:pPr>
      <w:r>
        <w:rPr>
          <w:rStyle w:val="translated-span"/>
        </w:rPr>
        <w:t>集中参数服务器的缺点可以总结如下</w:t>
      </w:r>
      <w:r>
        <w:rPr>
          <w:rStyle w:val="translated-span"/>
        </w:rPr>
        <w:t>：</w:t>
      </w:r>
    </w:p>
    <w:p w:rsidR="00000000" w:rsidRDefault="00A52409">
      <w:pPr>
        <w:ind w:left="380" w:hanging="253"/>
      </w:pPr>
      <w:r>
        <w:rPr>
          <w:rStyle w:val="translated-span"/>
        </w:rPr>
        <w:t>1</w:t>
      </w:r>
      <w:r>
        <w:rPr>
          <w:rStyle w:val="translated-span"/>
        </w:rPr>
        <w:t>）</w:t>
      </w:r>
      <w:r>
        <w:rPr>
          <w:rStyle w:val="translated-span"/>
        </w:rPr>
        <w:t xml:space="preserve"> </w:t>
      </w:r>
      <w:r>
        <w:rPr>
          <w:rStyle w:val="translated-span"/>
        </w:rPr>
        <w:t>隐私泄露：如</w:t>
      </w:r>
      <w:r>
        <w:rPr>
          <w:rStyle w:val="translated-span"/>
        </w:rPr>
        <w:t>[23]</w:t>
      </w:r>
      <w:r>
        <w:rPr>
          <w:rStyle w:val="translated-span"/>
        </w:rPr>
        <w:t>所示，即使只有一小部分局部模型更新被发布到</w:t>
      </w:r>
      <w:r>
        <w:rPr>
          <w:rStyle w:val="translated-span"/>
        </w:rPr>
        <w:t>PS</w:t>
      </w:r>
      <w:r>
        <w:rPr>
          <w:rStyle w:val="translated-span"/>
        </w:rPr>
        <w:t>，局部数据信息也可能泄露给一个诚实但好奇的</w:t>
      </w:r>
      <w:r>
        <w:rPr>
          <w:rStyle w:val="translated-span"/>
        </w:rPr>
        <w:t>PS</w:t>
      </w:r>
      <w:r>
        <w:rPr>
          <w:rStyle w:val="translated-span"/>
        </w:rPr>
        <w:t>，特别是对于只有一个神经元的局部神经网络，</w:t>
      </w:r>
      <w:r>
        <w:rPr>
          <w:rStyle w:val="translated-span"/>
        </w:rPr>
        <w:t>PS</w:t>
      </w:r>
      <w:r>
        <w:rPr>
          <w:rStyle w:val="translated-span"/>
        </w:rPr>
        <w:t>可以以不可忽略的概率推断出参与者的真实数据或标签</w:t>
      </w:r>
      <w:r>
        <w:rPr>
          <w:rStyle w:val="translated-span"/>
        </w:rPr>
        <w:t>。</w:t>
      </w:r>
      <w:r>
        <w:rPr>
          <w:rStyle w:val="translated-span"/>
        </w:rPr>
        <w:t>上述观察结果同样适用于具有交叉熵和平方误差代价函数的一般神经网络</w:t>
      </w:r>
      <w:r>
        <w:rPr>
          <w:rStyle w:val="translated-span"/>
        </w:rPr>
        <w:t>。</w:t>
      </w:r>
      <w:r>
        <w:rPr>
          <w:rStyle w:val="translated-span"/>
        </w:rPr>
        <w:t>即使对于一般的正则化神经网络，释放的局部梯度仍能揭示真实值</w:t>
      </w:r>
      <w:r>
        <w:rPr>
          <w:rStyle w:val="translated-span"/>
        </w:rPr>
        <w:t>。</w:t>
      </w:r>
    </w:p>
    <w:p w:rsidR="00000000" w:rsidRDefault="00A52409">
      <w:pPr>
        <w:ind w:left="380" w:hanging="253"/>
      </w:pPr>
      <w:r>
        <w:rPr>
          <w:rStyle w:val="translated-span"/>
        </w:rPr>
        <w:t>2</w:t>
      </w:r>
      <w:r>
        <w:rPr>
          <w:rStyle w:val="translated-span"/>
        </w:rPr>
        <w:t>）</w:t>
      </w:r>
      <w:r>
        <w:rPr>
          <w:rStyle w:val="translated-span"/>
        </w:rPr>
        <w:t xml:space="preserve"> </w:t>
      </w:r>
      <w:r>
        <w:rPr>
          <w:rStyle w:val="translated-span"/>
        </w:rPr>
        <w:t>易受主动对手攻击：大多数分布式学习框架都假设所有参与者都是诚实的</w:t>
      </w:r>
      <w:r>
        <w:rPr>
          <w:rStyle w:val="translated-span"/>
        </w:rPr>
        <w:t>。</w:t>
      </w:r>
      <w:r>
        <w:rPr>
          <w:rStyle w:val="translated-span"/>
        </w:rPr>
        <w:t>实际上，</w:t>
      </w:r>
      <w:r>
        <w:rPr>
          <w:rStyle w:val="translated-span"/>
        </w:rPr>
        <w:t>如果一方被证明是恶意的，它可以通过欺骗随机样本来推断受害方的私人数据信息，从而破坏学习过程</w:t>
      </w:r>
      <w:r>
        <w:rPr>
          <w:rStyle w:val="translated-span"/>
        </w:rPr>
        <w:t>。</w:t>
      </w:r>
    </w:p>
    <w:p w:rsidR="00000000" w:rsidRDefault="00A52409">
      <w:pPr>
        <w:spacing w:after="265"/>
        <w:ind w:left="-15"/>
      </w:pPr>
      <w:r>
        <w:rPr>
          <w:rStyle w:val="translated-span"/>
        </w:rPr>
        <w:t>分布式深度学习的一个特例是联合学习</w:t>
      </w:r>
      <w:r>
        <w:rPr>
          <w:rStyle w:val="translated-span"/>
        </w:rPr>
        <w:t>[4]</w:t>
      </w:r>
      <w:r>
        <w:rPr>
          <w:rStyle w:val="translated-span"/>
        </w:rPr>
        <w:t>。</w:t>
      </w:r>
      <w:r>
        <w:rPr>
          <w:rStyle w:val="translated-span"/>
        </w:rPr>
        <w:t>在佛罗里达州，为了保护个人模型更新的隐私，</w:t>
      </w:r>
      <w:r>
        <w:rPr>
          <w:rStyle w:val="translated-span"/>
        </w:rPr>
        <w:t>Bonawitz</w:t>
      </w:r>
      <w:r>
        <w:rPr>
          <w:rStyle w:val="translated-span"/>
        </w:rPr>
        <w:t>等人</w:t>
      </w:r>
      <w:r>
        <w:rPr>
          <w:rStyle w:val="translated-span"/>
        </w:rPr>
        <w:t>。</w:t>
      </w:r>
      <w:r>
        <w:rPr>
          <w:rStyle w:val="translated-span"/>
        </w:rPr>
        <w:t>[24]</w:t>
      </w:r>
      <w:r>
        <w:rPr>
          <w:rStyle w:val="translated-span"/>
        </w:rPr>
        <w:t>提出了一种实用的安全聚合协议，该协议在诚实、好奇和活跃的对手环境下是安全的，即使任意选择的用户子集随时退出</w:t>
      </w:r>
      <w:r>
        <w:rPr>
          <w:rStyle w:val="translated-span"/>
        </w:rPr>
        <w:t>。</w:t>
      </w:r>
      <w:r>
        <w:rPr>
          <w:rStyle w:val="translated-span"/>
        </w:rPr>
        <w:t>特别地，安全多方计算（</w:t>
      </w:r>
      <w:r>
        <w:rPr>
          <w:rStyle w:val="translated-span"/>
        </w:rPr>
        <w:t>SMC</w:t>
      </w:r>
      <w:r>
        <w:rPr>
          <w:rStyle w:val="translated-span"/>
        </w:rPr>
        <w:t>）被用于以安全的方式从单个用户的设备计算模型参数更新的总和，这是以额外的计算和通信开销为代价的</w:t>
      </w:r>
      <w:r>
        <w:rPr>
          <w:rStyle w:val="translated-span"/>
        </w:rPr>
        <w:t>。</w:t>
      </w:r>
      <w:r>
        <w:rPr>
          <w:rStyle w:val="translated-span"/>
        </w:rPr>
        <w:t>另一种更有效的方法是使用差异隐私，使服务器能够将定制的噪声添加到加权平均</w:t>
      </w:r>
      <w:r>
        <w:rPr>
          <w:rStyle w:val="translated-span"/>
        </w:rPr>
        <w:t>用户更新中，以保证用户级别的隐私</w:t>
      </w:r>
      <w:r>
        <w:rPr>
          <w:rStyle w:val="translated-span"/>
        </w:rPr>
        <w:t>[25]</w:t>
      </w:r>
      <w:r>
        <w:rPr>
          <w:rStyle w:val="translated-span"/>
        </w:rPr>
        <w:t>。</w:t>
      </w:r>
      <w:r>
        <w:rPr>
          <w:rStyle w:val="translated-span"/>
        </w:rPr>
        <w:t>然而，默认的受信任的</w:t>
      </w:r>
      <w:r>
        <w:rPr>
          <w:rStyle w:val="translated-span"/>
        </w:rPr>
        <w:t>Google</w:t>
      </w:r>
      <w:r>
        <w:rPr>
          <w:rStyle w:val="translated-span"/>
        </w:rPr>
        <w:t>服务器有权清楚地看到所有用户的更新，聚合单个更新并为聚合添加噪声</w:t>
      </w:r>
      <w:r>
        <w:rPr>
          <w:rStyle w:val="translated-span"/>
        </w:rPr>
        <w:t>。</w:t>
      </w:r>
      <w:r>
        <w:rPr>
          <w:rStyle w:val="translated-span"/>
        </w:rPr>
        <w:t>因此，当服务器不是受信任方时，它们的方法不是首选方法</w:t>
      </w:r>
      <w:r>
        <w:rPr>
          <w:rStyle w:val="translated-span"/>
        </w:rPr>
        <w:t>。</w:t>
      </w:r>
      <w:r>
        <w:rPr>
          <w:rStyle w:val="translated-span"/>
        </w:rPr>
        <w:t>我们还注意到，当服务器不可信时，加权聚合变得不现实，因为服务器可能不知道用于权重计算的各方的数据大小</w:t>
      </w:r>
      <w:r>
        <w:rPr>
          <w:rStyle w:val="translated-span"/>
        </w:rPr>
        <w:t>。</w:t>
      </w:r>
      <w:r>
        <w:rPr>
          <w:rStyle w:val="translated-span"/>
        </w:rPr>
        <w:t>相反，提议的</w:t>
      </w:r>
      <w:r>
        <w:rPr>
          <w:rStyle w:val="translated-span"/>
        </w:rPr>
        <w:t>FPPDL</w:t>
      </w:r>
      <w:r>
        <w:rPr>
          <w:rStyle w:val="translated-span"/>
        </w:rPr>
        <w:t>允许每一方基于本地可信度和共享级别集成其他方的更新</w:t>
      </w:r>
      <w:r>
        <w:rPr>
          <w:rStyle w:val="translated-span"/>
        </w:rPr>
        <w:t>。</w:t>
      </w:r>
    </w:p>
    <w:p w:rsidR="00000000" w:rsidRDefault="00A52409">
      <w:pPr>
        <w:pStyle w:val="2"/>
        <w:ind w:left="439" w:hanging="454"/>
      </w:pPr>
      <w:r>
        <w:t>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联合学习的公平</w:t>
      </w:r>
      <w:r>
        <w:rPr>
          <w:rStyle w:val="translated-span"/>
        </w:rPr>
        <w:t>性</w:t>
      </w:r>
    </w:p>
    <w:p w:rsidR="00000000" w:rsidRDefault="00A52409">
      <w:pPr>
        <w:ind w:left="-15" w:firstLine="0"/>
      </w:pPr>
      <w:r>
        <w:rPr>
          <w:rStyle w:val="translated-span"/>
        </w:rPr>
        <w:t>现有的促进联合学习参与者之间合作公平的方法是基于激励机制的</w:t>
      </w:r>
      <w:r>
        <w:rPr>
          <w:rStyle w:val="translated-span"/>
        </w:rPr>
        <w:t>。</w:t>
      </w:r>
      <w:r>
        <w:rPr>
          <w:rStyle w:val="translated-span"/>
        </w:rPr>
        <w:t>一般来说，参与者应获得与其贡献相称的报酬</w:t>
      </w:r>
      <w:r>
        <w:rPr>
          <w:rStyle w:val="translated-span"/>
        </w:rPr>
        <w:t>。</w:t>
      </w:r>
      <w:r>
        <w:rPr>
          <w:rStyle w:val="translated-span"/>
        </w:rPr>
        <w:t>平等分配是平等利润分享的一个例子</w:t>
      </w:r>
      <w:r>
        <w:rPr>
          <w:rStyle w:val="translated-span"/>
        </w:rPr>
        <w:t>[26]</w:t>
      </w:r>
      <w:r>
        <w:rPr>
          <w:rStyle w:val="translated-span"/>
        </w:rPr>
        <w:t>。</w:t>
      </w:r>
      <w:r>
        <w:rPr>
          <w:rStyle w:val="translated-span"/>
        </w:rPr>
        <w:t>在这个方案下，在给定的一轮中可用的总收益在所有参与者中平均分配</w:t>
      </w:r>
      <w:r>
        <w:rPr>
          <w:rStyle w:val="translated-span"/>
        </w:rPr>
        <w:t>。</w:t>
      </w:r>
      <w:r>
        <w:rPr>
          <w:rStyle w:val="translated-span"/>
        </w:rPr>
        <w:t>根据个人利益分享计划</w:t>
      </w:r>
      <w:r>
        <w:rPr>
          <w:rStyle w:val="translated-span"/>
        </w:rPr>
        <w:t>[26]</w:t>
      </w:r>
      <w:r>
        <w:rPr>
          <w:rStyle w:val="translated-span"/>
        </w:rPr>
        <w:t>，每个参与者自己对集体的贡献（假设集体只包含）被用来确定他在总收益中的份额</w:t>
      </w:r>
      <w:r>
        <w:rPr>
          <w:rStyle w:val="translated-span"/>
        </w:rPr>
        <w:t>。</w:t>
      </w:r>
      <w:r>
        <w:rPr>
          <w:rStyle w:val="translated-span"/>
          <w:rFonts w:ascii="Cambria" w:hAnsi="Cambria"/>
          <w:i/>
          <w:iCs/>
          <w:sz w:val="20"/>
          <w:szCs w:val="20"/>
        </w:rPr>
        <w:t>我</w:t>
      </w:r>
      <w:r>
        <w:rPr>
          <w:rStyle w:val="translated-span"/>
          <w:rFonts w:ascii="Cambria" w:hAnsi="Cambria"/>
          <w:i/>
          <w:iCs/>
          <w:sz w:val="20"/>
          <w:szCs w:val="20"/>
        </w:rPr>
        <w:t>我</w:t>
      </w:r>
    </w:p>
    <w:p w:rsidR="00000000" w:rsidRDefault="00A52409">
      <w:pPr>
        <w:ind w:left="-15"/>
      </w:pPr>
      <w:r>
        <w:rPr>
          <w:rStyle w:val="translated-span"/>
        </w:rPr>
        <w:t>工会博弈</w:t>
      </w:r>
      <w:r>
        <w:rPr>
          <w:rStyle w:val="translated-span"/>
        </w:rPr>
        <w:t>[27]</w:t>
      </w:r>
      <w:r>
        <w:rPr>
          <w:rStyle w:val="translated-span"/>
        </w:rPr>
        <w:t>利润分享方案根据参与者对其前任组成的集体效用的边际贡献（即每个参与者的边际贡献按照加入联合会的相同顺序计算），确定参与者在总收益中的份额</w:t>
      </w:r>
      <w:r>
        <w:rPr>
          <w:rStyle w:val="translated-span"/>
        </w:rPr>
        <w:t>。</w:t>
      </w:r>
      <w:r>
        <w:rPr>
          <w:rStyle w:val="translated-span"/>
        </w:rPr>
        <w:t>公允价值博弈方案</w:t>
      </w:r>
      <w:r>
        <w:rPr>
          <w:rStyle w:val="translated-span"/>
        </w:rPr>
        <w:t>[27]</w:t>
      </w:r>
      <w:r>
        <w:rPr>
          <w:rStyle w:val="translated-span"/>
        </w:rPr>
        <w:t>是一种基于边际损失的方案</w:t>
      </w:r>
      <w:r>
        <w:rPr>
          <w:rStyle w:val="translated-span"/>
        </w:rPr>
        <w:t>。</w:t>
      </w:r>
      <w:r>
        <w:rPr>
          <w:rStyle w:val="translated-span"/>
        </w:rPr>
        <w:t>在这个方案中，参与者在总收益中的份额由参与者离开联盟的顺序决定</w:t>
      </w:r>
      <w:r>
        <w:rPr>
          <w:rStyle w:val="translated-span"/>
        </w:rPr>
        <w:t>。</w:t>
      </w:r>
      <w:r>
        <w:rPr>
          <w:rStyle w:val="translated-span"/>
        </w:rPr>
        <w:t>Shapley game</w:t>
      </w:r>
      <w:r>
        <w:rPr>
          <w:rStyle w:val="translated-span"/>
        </w:rPr>
        <w:t>利润</w:t>
      </w:r>
      <w:r>
        <w:rPr>
          <w:rStyle w:val="translated-span"/>
        </w:rPr>
        <w:t>分享方案</w:t>
      </w:r>
      <w:r>
        <w:rPr>
          <w:rStyle w:val="translated-span"/>
        </w:rPr>
        <w:t>[27]</w:t>
      </w:r>
      <w:r>
        <w:rPr>
          <w:rStyle w:val="translated-span"/>
        </w:rPr>
        <w:t>也是一种基于边际贡献的方案</w:t>
      </w:r>
      <w:r>
        <w:rPr>
          <w:rStyle w:val="translated-span"/>
        </w:rPr>
        <w:t>。</w:t>
      </w:r>
      <w:r>
        <w:rPr>
          <w:rStyle w:val="translated-span"/>
        </w:rPr>
        <w:t>与工会博弈不同，</w:t>
      </w:r>
      <w:r>
        <w:rPr>
          <w:rStyle w:val="translated-span"/>
        </w:rPr>
        <w:t>Shapley</w:t>
      </w:r>
      <w:r>
        <w:rPr>
          <w:rStyle w:val="translated-span"/>
        </w:rPr>
        <w:t>博弈旨在消除参与者按不同顺序加入集体的影响，以便更公平地估计他们对集体的边际贡献</w:t>
      </w:r>
      <w:r>
        <w:rPr>
          <w:rStyle w:val="translated-span"/>
        </w:rPr>
        <w:t>。</w:t>
      </w:r>
      <w:r>
        <w:rPr>
          <w:rStyle w:val="translated-span"/>
        </w:rPr>
        <w:t>因此，它平均每个参与者相对于其他参与者加入集体的所有不同排列的边际贡献</w:t>
      </w:r>
      <w:r>
        <w:rPr>
          <w:rStyle w:val="translated-span"/>
        </w:rPr>
        <w:t>。</w:t>
      </w:r>
      <w:r>
        <w:rPr>
          <w:rStyle w:val="translated-span"/>
        </w:rPr>
        <w:t>这种方法计算成本很高</w:t>
      </w:r>
      <w:r>
        <w:rPr>
          <w:rStyle w:val="translated-span"/>
        </w:rPr>
        <w:t>。</w:t>
      </w:r>
    </w:p>
    <w:p w:rsidR="00000000" w:rsidRDefault="00A52409">
      <w:pPr>
        <w:ind w:left="-15"/>
      </w:pPr>
      <w:r>
        <w:rPr>
          <w:rStyle w:val="translated-span"/>
        </w:rPr>
        <w:t>对于基于梯度的联合学习方法，梯度信息可以看作是一种数据类型</w:t>
      </w:r>
      <w:r>
        <w:rPr>
          <w:rStyle w:val="translated-span"/>
        </w:rPr>
        <w:t>。</w:t>
      </w:r>
      <w:r>
        <w:rPr>
          <w:rStyle w:val="translated-span"/>
        </w:rPr>
        <w:t>然而，在这些情况下，基于输出协议的奖励很难应用，因为相互信息需要多任务设置，而这种情况通常不存在</w:t>
      </w:r>
      <w:r>
        <w:rPr>
          <w:rStyle w:val="translated-span"/>
        </w:rPr>
        <w:t>。</w:t>
      </w:r>
      <w:r>
        <w:rPr>
          <w:rStyle w:val="translated-span"/>
        </w:rPr>
        <w:t>因此，在这三类方案中，模型改进是为联合学习设计奖励的最相关的方法</w:t>
      </w:r>
      <w:r>
        <w:rPr>
          <w:rStyle w:val="translated-span"/>
        </w:rPr>
        <w:t>。</w:t>
      </w:r>
      <w:r>
        <w:rPr>
          <w:rStyle w:val="translated-span"/>
        </w:rPr>
        <w:t>目前有两种新兴的联合学习激励方案，主</w:t>
      </w:r>
      <w:r>
        <w:rPr>
          <w:rStyle w:val="translated-span"/>
        </w:rPr>
        <w:t>要集中在模型改进上</w:t>
      </w:r>
      <w:r>
        <w:rPr>
          <w:rStyle w:val="translated-span"/>
        </w:rPr>
        <w:t>。</w:t>
      </w:r>
    </w:p>
    <w:p w:rsidR="00000000" w:rsidRDefault="00A52409">
      <w:pPr>
        <w:ind w:left="-15"/>
      </w:pPr>
      <w:r>
        <w:rPr>
          <w:rStyle w:val="translated-span"/>
        </w:rPr>
        <w:t>[28]</w:t>
      </w:r>
      <w:r>
        <w:rPr>
          <w:rStyle w:val="translated-span"/>
        </w:rPr>
        <w:t>中提出了一种为模型更新带来的边际改进付费的方案</w:t>
      </w:r>
      <w:r>
        <w:rPr>
          <w:rStyle w:val="translated-span"/>
        </w:rPr>
        <w:t>。</w:t>
      </w:r>
      <w:r>
        <w:rPr>
          <w:rStyle w:val="translated-span"/>
        </w:rPr>
        <w:t>这些改进的总和可能导致对贡献的高估</w:t>
      </w:r>
      <w:r>
        <w:rPr>
          <w:rStyle w:val="translated-span"/>
        </w:rPr>
        <w:t>。</w:t>
      </w:r>
      <w:r>
        <w:rPr>
          <w:rStyle w:val="translated-span"/>
        </w:rPr>
        <w:t>因此，提议的方法还包括一个修正高估问题的模型</w:t>
      </w:r>
      <w:r>
        <w:rPr>
          <w:rStyle w:val="translated-span"/>
        </w:rPr>
        <w:t>。</w:t>
      </w:r>
      <w:r>
        <w:rPr>
          <w:rStyle w:val="translated-span"/>
        </w:rPr>
        <w:t>该方案确保付款与模型质量改进成比例，这意味着实现目标模型质量水平的预算是可预测的</w:t>
      </w:r>
      <w:r>
        <w:rPr>
          <w:rStyle w:val="translated-span"/>
        </w:rPr>
        <w:t>。</w:t>
      </w:r>
      <w:r>
        <w:rPr>
          <w:rStyle w:val="translated-span"/>
        </w:rPr>
        <w:t>它还可以确保提前提交模型更新的数据所有者获得更高的奖励</w:t>
      </w:r>
      <w:r>
        <w:rPr>
          <w:rStyle w:val="translated-span"/>
        </w:rPr>
        <w:t>。</w:t>
      </w:r>
      <w:r>
        <w:rPr>
          <w:rStyle w:val="translated-span"/>
        </w:rPr>
        <w:t>这促使他们甚至在联邦模型培训过程的早期阶段就参与进来</w:t>
      </w:r>
      <w:r>
        <w:rPr>
          <w:rStyle w:val="translated-span"/>
        </w:rPr>
        <w:t>。</w:t>
      </w:r>
    </w:p>
    <w:p w:rsidR="00000000" w:rsidRDefault="00A52409">
      <w:pPr>
        <w:spacing w:after="377"/>
        <w:ind w:left="-15"/>
      </w:pPr>
      <w:r>
        <w:rPr>
          <w:rStyle w:val="translated-span"/>
        </w:rPr>
        <w:t>除了参与者的贡献，</w:t>
      </w:r>
      <w:r>
        <w:rPr>
          <w:rStyle w:val="translated-span"/>
        </w:rPr>
        <w:t>[8]</w:t>
      </w:r>
      <w:r>
        <w:rPr>
          <w:rStyle w:val="translated-span"/>
        </w:rPr>
        <w:t>还提出了一种基于联合目标优化的方法，将成本和等待时间考虑在内，以便在向</w:t>
      </w:r>
      <w:r>
        <w:rPr>
          <w:rStyle w:val="translated-span"/>
        </w:rPr>
        <w:t>FL</w:t>
      </w:r>
      <w:r>
        <w:rPr>
          <w:rStyle w:val="translated-span"/>
        </w:rPr>
        <w:t>参与者分配收益时实现额外的公平性</w:t>
      </w:r>
      <w:r>
        <w:rPr>
          <w:rStyle w:val="translated-span"/>
        </w:rPr>
        <w:t>。</w:t>
      </w:r>
      <w:r>
        <w:rPr>
          <w:rStyle w:val="translated-span"/>
        </w:rPr>
        <w:t>与上述方法不同，本文提出的</w:t>
      </w:r>
      <w:r>
        <w:rPr>
          <w:rStyle w:val="translated-span"/>
        </w:rPr>
        <w:t>FPPDL</w:t>
      </w:r>
      <w:r>
        <w:rPr>
          <w:rStyle w:val="translated-span"/>
        </w:rPr>
        <w:t>框架没有利用货币收益来实现公平对待</w:t>
      </w:r>
      <w:r>
        <w:rPr>
          <w:rStyle w:val="translated-span"/>
        </w:rPr>
        <w:t>FL</w:t>
      </w:r>
      <w:r>
        <w:rPr>
          <w:rStyle w:val="translated-span"/>
        </w:rPr>
        <w:t>参与者</w:t>
      </w:r>
      <w:r>
        <w:rPr>
          <w:rStyle w:val="translated-span"/>
        </w:rPr>
        <w:t>。</w:t>
      </w:r>
      <w:r>
        <w:rPr>
          <w:rStyle w:val="translated-span"/>
        </w:rPr>
        <w:t>相反，它为每个人分配了不同版本的</w:t>
      </w:r>
      <w:r>
        <w:rPr>
          <w:rStyle w:val="translated-span"/>
        </w:rPr>
        <w:t>FL</w:t>
      </w:r>
      <w:r>
        <w:rPr>
          <w:rStyle w:val="translated-span"/>
        </w:rPr>
        <w:t>模型，其性能与他的贡献相称</w:t>
      </w:r>
      <w:r>
        <w:rPr>
          <w:rStyle w:val="translated-span"/>
        </w:rPr>
        <w:t>。</w:t>
      </w:r>
      <w:r>
        <w:rPr>
          <w:rStyle w:val="translated-span"/>
        </w:rPr>
        <w:t>这代表了现有联合学习的另一种范式，即所有参与者都会收到相同的最终外语模型</w:t>
      </w:r>
      <w:r>
        <w:rPr>
          <w:rStyle w:val="translated-span"/>
        </w:rPr>
        <w:t>。</w:t>
      </w:r>
    </w:p>
    <w:p w:rsidR="00000000" w:rsidRDefault="00A52409">
      <w:pPr>
        <w:pStyle w:val="1"/>
        <w:ind w:left="344" w:hanging="353"/>
      </w:pPr>
      <w:r>
        <w:rPr>
          <w:sz w:val="22"/>
          <w:szCs w:val="22"/>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22"/>
          <w:szCs w:val="22"/>
        </w:rPr>
        <w:t>准备工</w:t>
      </w:r>
      <w:r>
        <w:rPr>
          <w:rStyle w:val="translated-span"/>
          <w:sz w:val="22"/>
          <w:szCs w:val="22"/>
        </w:rPr>
        <w:t>作</w:t>
      </w:r>
    </w:p>
    <w:p w:rsidR="00000000" w:rsidRDefault="00A52409">
      <w:pPr>
        <w:spacing w:after="308"/>
        <w:ind w:left="-15" w:firstLine="0"/>
      </w:pPr>
      <w:r>
        <w:rPr>
          <w:rStyle w:val="translated-span"/>
        </w:rPr>
        <w:t>在本节中，我们将介绍构成所提出的</w:t>
      </w:r>
      <w:r>
        <w:rPr>
          <w:rStyle w:val="translated-span"/>
        </w:rPr>
        <w:t>FPPDL</w:t>
      </w:r>
      <w:r>
        <w:rPr>
          <w:rStyle w:val="translated-span"/>
        </w:rPr>
        <w:t>框架的关键技术，包括差分隐私、同态加密和区块链</w:t>
      </w:r>
      <w:r>
        <w:rPr>
          <w:rStyle w:val="translated-span"/>
        </w:rPr>
        <w:t>。</w:t>
      </w:r>
    </w:p>
    <w:p w:rsidR="00000000" w:rsidRDefault="00A52409">
      <w:pPr>
        <w:pStyle w:val="2"/>
        <w:spacing w:after="47"/>
        <w:ind w:left="439" w:hanging="454"/>
      </w:pPr>
      <w:r>
        <w:t>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差别隐</w:t>
      </w:r>
      <w:r>
        <w:rPr>
          <w:rStyle w:val="translated-span"/>
        </w:rPr>
        <w:t>私</w:t>
      </w:r>
    </w:p>
    <w:p w:rsidR="00000000" w:rsidRDefault="00A52409">
      <w:pPr>
        <w:ind w:left="-15" w:firstLine="0"/>
      </w:pPr>
      <w:r>
        <w:rPr>
          <w:rStyle w:val="translated-span"/>
        </w:rPr>
        <w:t>差分隐私</w:t>
      </w:r>
      <w:r>
        <w:rPr>
          <w:rStyle w:val="translated-span"/>
        </w:rPr>
        <w:t>1[29]</w:t>
      </w:r>
      <w:r>
        <w:rPr>
          <w:rStyle w:val="translated-span"/>
        </w:rPr>
        <w:t>通过以（</w:t>
      </w:r>
      <w:r>
        <w:rPr>
          <w:rStyle w:val="translated-span"/>
        </w:rPr>
        <w:t>i</w:t>
      </w:r>
      <w:r>
        <w:rPr>
          <w:rStyle w:val="translated-span"/>
        </w:rPr>
        <w:t>）计算效率，（</w:t>
      </w:r>
      <w:r>
        <w:rPr>
          <w:rStyle w:val="translated-span"/>
        </w:rPr>
        <w:t>ii</w:t>
      </w:r>
      <w:r>
        <w:rPr>
          <w:rStyle w:val="translated-span"/>
        </w:rPr>
        <w:t>）不允许攻击者恢复原始数据，以及（</w:t>
      </w:r>
      <w:r>
        <w:rPr>
          <w:rStyle w:val="translated-span"/>
        </w:rPr>
        <w:t>iii</w:t>
      </w:r>
      <w:r>
        <w:rPr>
          <w:rStyle w:val="translated-span"/>
        </w:rPr>
        <w:t>）不会严重影响实用性的方式干扰数据来权衡隐私性和准确性</w:t>
      </w:r>
      <w:r>
        <w:rPr>
          <w:rStyle w:val="translated-span"/>
        </w:rPr>
        <w:t>。</w:t>
      </w:r>
    </w:p>
    <w:p w:rsidR="00000000" w:rsidRDefault="00A52409">
      <w:pPr>
        <w:spacing w:after="89" w:line="249" w:lineRule="auto"/>
        <w:ind w:left="-5" w:hanging="10"/>
      </w:pPr>
      <w:r>
        <w:rPr>
          <w:rStyle w:val="translated-span"/>
          <w:b/>
          <w:bCs/>
        </w:rPr>
        <w:t>定义</w:t>
      </w:r>
      <w:r>
        <w:rPr>
          <w:rStyle w:val="translated-span"/>
          <w:b/>
          <w:bCs/>
        </w:rPr>
        <w:t>1</w:t>
      </w:r>
      <w:r>
        <w:rPr>
          <w:rStyle w:val="translated-span"/>
          <w:b/>
          <w:bCs/>
        </w:rPr>
        <w:t>。</w:t>
      </w:r>
      <w:r>
        <w:rPr>
          <w:rStyle w:val="translated-span"/>
          <w:i/>
          <w:iCs/>
        </w:rPr>
        <w:t>随机机</w:t>
      </w:r>
      <w:r>
        <w:rPr>
          <w:rStyle w:val="translated-span"/>
          <w:i/>
          <w:iCs/>
        </w:rPr>
        <w:t>制</w:t>
      </w:r>
      <w:r>
        <w:rPr>
          <w:rStyle w:val="translated-span"/>
          <w:rFonts w:ascii="Cambria" w:hAnsi="Cambria"/>
          <w:sz w:val="20"/>
          <w:szCs w:val="20"/>
        </w:rPr>
        <w:t>MD</w:t>
      </w:r>
      <w:r>
        <w:rPr>
          <w:rStyle w:val="translated-span"/>
          <w:rFonts w:ascii="Cambria" w:hAnsi="Cambria"/>
          <w:sz w:val="20"/>
          <w:szCs w:val="20"/>
        </w:rPr>
        <w:t>→</w:t>
      </w:r>
      <w:r>
        <w:rPr>
          <w:rStyle w:val="translated-span"/>
          <w:rFonts w:ascii="Cambria" w:hAnsi="Cambria"/>
          <w:sz w:val="20"/>
          <w:szCs w:val="20"/>
        </w:rPr>
        <w:t>研</w:t>
      </w:r>
      <w:r>
        <w:rPr>
          <w:rStyle w:val="translated-span"/>
          <w:rFonts w:ascii="Cambria" w:hAnsi="Cambria"/>
          <w:sz w:val="20"/>
          <w:szCs w:val="20"/>
        </w:rPr>
        <w:t>发</w:t>
      </w:r>
      <w:r>
        <w:rPr>
          <w:rStyle w:val="translated-span"/>
          <w:i/>
          <w:iCs/>
        </w:rPr>
        <w:t>:</w:t>
      </w:r>
      <w:r>
        <w:rPr>
          <w:rStyle w:val="translated-span"/>
          <w:i/>
          <w:iCs/>
        </w:rPr>
        <w:t>带</w:t>
      </w:r>
      <w:r>
        <w:rPr>
          <w:rStyle w:val="translated-span"/>
          <w:i/>
          <w:iCs/>
        </w:rPr>
        <w:t>域</w:t>
      </w:r>
      <w:r>
        <w:rPr>
          <w:rStyle w:val="translated-span"/>
          <w:i/>
          <w:iCs/>
        </w:rPr>
        <w:t>和范</w:t>
      </w:r>
      <w:r>
        <w:rPr>
          <w:rStyle w:val="translated-span"/>
          <w:i/>
          <w:iCs/>
        </w:rPr>
        <w:t>围</w:t>
      </w:r>
      <w:r>
        <w:rPr>
          <w:noProof/>
        </w:rPr>
        <w:drawing>
          <wp:inline distT="0" distB="0" distL="0" distR="0">
            <wp:extent cx="828675" cy="133350"/>
            <wp:effectExtent l="0" t="0" r="9525" b="0"/>
            <wp:docPr id="4" name="Picture 17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5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28675" cy="133350"/>
                    </a:xfrm>
                    <a:prstGeom prst="rect">
                      <a:avLst/>
                    </a:prstGeom>
                    <a:noFill/>
                    <a:ln>
                      <a:noFill/>
                    </a:ln>
                  </pic:spPr>
                </pic:pic>
              </a:graphicData>
            </a:graphic>
          </wp:inline>
        </w:drawing>
      </w:r>
      <w:r>
        <w:rPr>
          <w:rStyle w:val="translated-span"/>
          <w:i/>
          <w:iCs/>
        </w:rPr>
        <w:t>-</w:t>
      </w:r>
      <w:r>
        <w:rPr>
          <w:rStyle w:val="translated-span"/>
          <w:i/>
          <w:iCs/>
        </w:rPr>
        <w:t>对于所有两个相邻的输入，如果存在差异隐</w:t>
      </w:r>
      <w:r>
        <w:rPr>
          <w:rStyle w:val="translated-span"/>
          <w:i/>
          <w:iCs/>
        </w:rPr>
        <w:t>私</w:t>
      </w:r>
      <w:r>
        <w:rPr>
          <w:rStyle w:val="translated-span"/>
          <w:rFonts w:ascii="Cambria" w:hAnsi="Cambria"/>
          <w:i/>
          <w:iCs/>
          <w:sz w:val="20"/>
          <w:szCs w:val="20"/>
        </w:rPr>
        <w:t>D</w:t>
      </w:r>
      <w:r>
        <w:rPr>
          <w:rStyle w:val="translated-span"/>
          <w:rFonts w:ascii="Cambria" w:hAnsi="Cambria"/>
          <w:i/>
          <w:iCs/>
          <w:sz w:val="20"/>
          <w:szCs w:val="20"/>
        </w:rPr>
        <w:t>、</w:t>
      </w:r>
      <w:r>
        <w:rPr>
          <w:rStyle w:val="translated-span"/>
          <w:rFonts w:ascii="Cambria" w:hAnsi="Cambria"/>
          <w:i/>
          <w:iCs/>
          <w:sz w:val="20"/>
          <w:szCs w:val="20"/>
        </w:rPr>
        <w:t xml:space="preserve"> </w:t>
      </w:r>
      <w:r>
        <w:rPr>
          <w:rStyle w:val="translated-span"/>
          <w:rFonts w:ascii="Cambria" w:hAnsi="Cambria"/>
          <w:i/>
          <w:iCs/>
          <w:sz w:val="20"/>
          <w:szCs w:val="20"/>
        </w:rPr>
        <w:t>D</w:t>
      </w:r>
      <w:r>
        <w:rPr>
          <w:rFonts w:ascii="Cambria" w:hAnsi="Cambria"/>
          <w:sz w:val="20"/>
          <w:szCs w:val="20"/>
          <w:vertAlign w:val="superscript"/>
        </w:rPr>
        <w:t>0</w:t>
      </w:r>
      <w:r>
        <w:rPr>
          <w:rFonts w:ascii="Cambria" w:hAnsi="Cambria"/>
          <w:sz w:val="20"/>
          <w:szCs w:val="20"/>
          <w:vertAlign w:val="superscript"/>
        </w:rPr>
        <w:t xml:space="preserve"> </w:t>
      </w:r>
      <w:r>
        <w:rPr>
          <w:rStyle w:val="translated-span"/>
          <w:rFonts w:ascii="Cambria" w:hAnsi="Cambria"/>
          <w:sz w:val="20"/>
          <w:szCs w:val="20"/>
        </w:rPr>
        <w:t>∈</w:t>
      </w:r>
      <w:r>
        <w:rPr>
          <w:rStyle w:val="translated-span"/>
          <w:rFonts w:ascii="Cambria" w:hAnsi="Cambria"/>
          <w:sz w:val="20"/>
          <w:szCs w:val="20"/>
        </w:rPr>
        <w:t>D</w:t>
      </w:r>
      <w:r>
        <w:rPr>
          <w:rStyle w:val="translated-span"/>
          <w:rFonts w:ascii="Cambria" w:hAnsi="Cambria"/>
          <w:sz w:val="20"/>
          <w:szCs w:val="20"/>
        </w:rPr>
        <w:t>⊆</w:t>
      </w:r>
      <w:r>
        <w:rPr>
          <w:rStyle w:val="translated-span"/>
          <w:rFonts w:ascii="Cambria" w:hAnsi="Cambria"/>
          <w:sz w:val="20"/>
          <w:szCs w:val="20"/>
        </w:rPr>
        <w:t>R</w:t>
      </w:r>
      <w:r>
        <w:rPr>
          <w:rStyle w:val="translated-span"/>
          <w:i/>
          <w:iCs/>
        </w:rPr>
        <w:t>在一个记录和任何可测量的输出子集上都是不同</w:t>
      </w:r>
      <w:r>
        <w:rPr>
          <w:rStyle w:val="translated-span"/>
          <w:i/>
          <w:iCs/>
        </w:rPr>
        <w:t>的</w:t>
      </w:r>
      <w:r>
        <w:rPr>
          <w:rStyle w:val="translated-span"/>
          <w:rFonts w:ascii="Cambria" w:hAnsi="Cambria"/>
          <w:i/>
          <w:iCs/>
          <w:sz w:val="20"/>
          <w:szCs w:val="20"/>
        </w:rPr>
        <w:t>S</w:t>
      </w:r>
      <w:r>
        <w:rPr>
          <w:rStyle w:val="translated-span"/>
          <w:i/>
          <w:iCs/>
        </w:rPr>
        <w:t>它认</w:t>
      </w:r>
      <w:r>
        <w:rPr>
          <w:rStyle w:val="translated-span"/>
          <w:i/>
          <w:iCs/>
        </w:rPr>
        <w:t>为</w:t>
      </w:r>
    </w:p>
    <w:p w:rsidR="00000000" w:rsidRDefault="00A52409">
      <w:pPr>
        <w:spacing w:after="129" w:line="256" w:lineRule="auto"/>
        <w:ind w:left="273" w:firstLine="0"/>
        <w:jc w:val="left"/>
      </w:pPr>
      <w:r>
        <w:rPr>
          <w:rStyle w:val="translated-span"/>
          <w:rFonts w:ascii="Cambria" w:hAnsi="Cambria"/>
          <w:sz w:val="20"/>
          <w:szCs w:val="20"/>
        </w:rPr>
        <w:t>公共关</w:t>
      </w:r>
      <w:r>
        <w:rPr>
          <w:rStyle w:val="translated-span"/>
          <w:rFonts w:ascii="Cambria" w:hAnsi="Cambria"/>
          <w:sz w:val="20"/>
          <w:szCs w:val="20"/>
        </w:rPr>
        <w:t>系</w:t>
      </w:r>
      <w:r>
        <w:rPr>
          <w:noProof/>
        </w:rPr>
        <w:drawing>
          <wp:inline distT="0" distB="0" distL="0" distR="0">
            <wp:extent cx="2705100" cy="133350"/>
            <wp:effectExtent l="0" t="0" r="0" b="0"/>
            <wp:docPr id="5" name="Picture 17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5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705100" cy="133350"/>
                    </a:xfrm>
                    <a:prstGeom prst="rect">
                      <a:avLst/>
                    </a:prstGeom>
                    <a:noFill/>
                    <a:ln>
                      <a:noFill/>
                    </a:ln>
                  </pic:spPr>
                </pic:pic>
              </a:graphicData>
            </a:graphic>
          </wp:inline>
        </w:drawing>
      </w:r>
    </w:p>
    <w:p w:rsidR="00000000" w:rsidRDefault="00A52409">
      <w:pPr>
        <w:spacing w:after="116" w:line="249" w:lineRule="auto"/>
        <w:ind w:left="-5" w:hanging="10"/>
      </w:pPr>
      <w:r>
        <w:rPr>
          <w:rStyle w:val="translated-span"/>
          <w:i/>
          <w:iCs/>
        </w:rPr>
        <w:t>此</w:t>
      </w:r>
      <w:r>
        <w:rPr>
          <w:rStyle w:val="translated-span"/>
          <w:i/>
          <w:iCs/>
        </w:rPr>
        <w:t>外</w:t>
      </w:r>
      <w:r>
        <w:rPr>
          <w:rStyle w:val="translated-span"/>
          <w:rFonts w:ascii="Cambria" w:hAnsi="Cambria"/>
          <w:sz w:val="20"/>
          <w:szCs w:val="20"/>
        </w:rPr>
        <w:t>M=</w:t>
      </w:r>
      <w:r>
        <w:rPr>
          <w:rStyle w:val="translated-span"/>
          <w:rFonts w:ascii="Cambria" w:hAnsi="Cambria"/>
          <w:sz w:val="20"/>
          <w:szCs w:val="20"/>
        </w:rPr>
        <w:t>0</w:t>
      </w:r>
      <w:r>
        <w:rPr>
          <w:rStyle w:val="translated-span"/>
          <w:i/>
          <w:iCs/>
        </w:rPr>
        <w:t>如</w:t>
      </w:r>
      <w:r>
        <w:rPr>
          <w:rStyle w:val="translated-span"/>
          <w:i/>
          <w:iCs/>
        </w:rPr>
        <w:t>果</w:t>
      </w:r>
      <w:r>
        <w:rPr>
          <w:rStyle w:val="translated-span"/>
          <w:rFonts w:ascii="Cambria" w:hAnsi="Cambria"/>
          <w:i/>
          <w:iCs/>
          <w:sz w:val="20"/>
          <w:szCs w:val="20"/>
        </w:rPr>
        <w:t>δ</w:t>
      </w:r>
      <w:r>
        <w:rPr>
          <w:i/>
          <w:iCs/>
        </w:rPr>
        <w:t>.</w:t>
      </w:r>
    </w:p>
    <w:p w:rsidR="00000000" w:rsidRDefault="00A52409">
      <w:pPr>
        <w:spacing w:after="383"/>
        <w:ind w:left="-15"/>
      </w:pPr>
      <w:r>
        <w:rPr>
          <w:rStyle w:val="translated-span"/>
        </w:rPr>
        <w:t>差别隐私的形式化定义有两个参数：隐私预算衡量隐私泄</w:t>
      </w:r>
      <w:r>
        <w:rPr>
          <w:rStyle w:val="translated-span"/>
        </w:rPr>
        <w:t>露</w:t>
      </w:r>
      <w:r>
        <w:rPr>
          <w:rFonts w:ascii="Cambria" w:hAnsi="Cambria"/>
          <w:i/>
          <w:iCs/>
          <w:sz w:val="20"/>
          <w:szCs w:val="20"/>
        </w:rPr>
        <w:t> </w:t>
      </w:r>
      <w:r>
        <w:rPr>
          <w:rStyle w:val="translated-span"/>
          <w:rFonts w:ascii="Cambria" w:hAnsi="Cambria"/>
          <w:i/>
          <w:iCs/>
          <w:sz w:val="20"/>
          <w:szCs w:val="20"/>
        </w:rPr>
        <w:t>δ</w:t>
      </w:r>
      <w:r>
        <w:rPr>
          <w:rStyle w:val="translated-span"/>
        </w:rPr>
        <w:t>限制隐私丢失超过的概率</w:t>
      </w:r>
      <w:r>
        <w:rPr>
          <w:rStyle w:val="translated-span"/>
        </w:rPr>
        <w:t>。</w:t>
      </w:r>
      <w:r>
        <w:rPr>
          <w:rStyle w:val="translated-span"/>
        </w:rPr>
        <w:t>的值在算法重复访问私有数据时累积</w:t>
      </w:r>
      <w:r>
        <w:rPr>
          <w:rStyle w:val="translated-span"/>
        </w:rPr>
        <w:t>[30]</w:t>
      </w:r>
      <w:r>
        <w:rPr>
          <w:rStyle w:val="translated-span"/>
        </w:rPr>
        <w:t>。</w:t>
      </w:r>
    </w:p>
    <w:p w:rsidR="00000000" w:rsidRDefault="00A52409">
      <w:pPr>
        <w:pStyle w:val="2"/>
        <w:ind w:left="439" w:hanging="454"/>
      </w:pPr>
      <w:r>
        <w:t>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同态加</w:t>
      </w:r>
      <w:r>
        <w:rPr>
          <w:rStyle w:val="translated-span"/>
        </w:rPr>
        <w:t>密</w:t>
      </w:r>
    </w:p>
    <w:p w:rsidR="00000000" w:rsidRDefault="00A52409">
      <w:pPr>
        <w:ind w:left="-15" w:firstLine="0"/>
      </w:pPr>
      <w:r>
        <w:rPr>
          <w:rStyle w:val="translated-span"/>
        </w:rPr>
        <w:t>同态加密是一种广泛用于以安全方式导出聚合的加密形式</w:t>
      </w:r>
      <w:r>
        <w:rPr>
          <w:rStyle w:val="translated-span"/>
        </w:rPr>
        <w:t>。</w:t>
      </w:r>
      <w:r>
        <w:rPr>
          <w:rStyle w:val="translated-span"/>
        </w:rPr>
        <w:t>现有的同态加密技术包括完全同态加密</w:t>
      </w:r>
      <w:r>
        <w:rPr>
          <w:rStyle w:val="translated-span"/>
        </w:rPr>
        <w:t>、部分同态加密和部分同态加密</w:t>
      </w:r>
      <w:r>
        <w:rPr>
          <w:rStyle w:val="translated-span"/>
        </w:rPr>
        <w:t>。</w:t>
      </w:r>
      <w:r>
        <w:rPr>
          <w:rStyle w:val="translated-span"/>
        </w:rPr>
        <w:t>完全同态加密可以支持密文的任意计算，但效率较低</w:t>
      </w:r>
      <w:r>
        <w:rPr>
          <w:rStyle w:val="translated-span"/>
        </w:rPr>
        <w:t>[31]</w:t>
      </w:r>
      <w:r>
        <w:rPr>
          <w:rStyle w:val="translated-span"/>
        </w:rPr>
        <w:t>。</w:t>
      </w:r>
      <w:r>
        <w:rPr>
          <w:rStyle w:val="translated-span"/>
        </w:rPr>
        <w:t>另一方面，有些同态加密和部分同态加密只支持有限数量的操作</w:t>
      </w:r>
      <w:r>
        <w:rPr>
          <w:rStyle w:val="translated-span"/>
        </w:rPr>
        <w:t>[32]</w:t>
      </w:r>
      <w:r>
        <w:rPr>
          <w:rStyle w:val="translated-span"/>
        </w:rPr>
        <w:t>。</w:t>
      </w:r>
    </w:p>
    <w:p w:rsidR="00000000" w:rsidRDefault="00A52409">
      <w:pPr>
        <w:spacing w:after="383"/>
        <w:ind w:left="-15"/>
      </w:pPr>
      <w:r>
        <w:rPr>
          <w:rStyle w:val="translated-span"/>
        </w:rPr>
        <w:t>然而，所有这些技术通常导致密文比明文更长，从而产生额外的通信成本</w:t>
      </w:r>
      <w:r>
        <w:rPr>
          <w:rStyle w:val="translated-span"/>
        </w:rPr>
        <w:t>。</w:t>
      </w:r>
      <w:r>
        <w:rPr>
          <w:rStyle w:val="translated-span"/>
        </w:rPr>
        <w:t>为了解决这一问题，我们从流密码</w:t>
      </w:r>
      <w:r>
        <w:rPr>
          <w:rStyle w:val="translated-span"/>
        </w:rPr>
        <w:t>[33]</w:t>
      </w:r>
      <w:r>
        <w:rPr>
          <w:rStyle w:val="translated-span"/>
        </w:rPr>
        <w:t>中得到启发，开发了高效的同态密文压缩算法，该算法还允许在不同密钥流下加密的密文上进行加法同态运算</w:t>
      </w:r>
      <w:r>
        <w:rPr>
          <w:rStyle w:val="translated-span"/>
        </w:rPr>
        <w:t>。</w:t>
      </w:r>
      <w:r>
        <w:rPr>
          <w:rStyle w:val="translated-span"/>
        </w:rPr>
        <w:t>更多详情见第</w:t>
      </w:r>
      <w:r>
        <w:rPr>
          <w:rStyle w:val="translated-span"/>
        </w:rPr>
        <w:t>5.2.1</w:t>
      </w:r>
      <w:r>
        <w:rPr>
          <w:rStyle w:val="translated-span"/>
        </w:rPr>
        <w:t>节</w:t>
      </w:r>
      <w:r>
        <w:rPr>
          <w:rStyle w:val="translated-span"/>
        </w:rPr>
        <w:t>。</w:t>
      </w:r>
    </w:p>
    <w:p w:rsidR="00000000" w:rsidRDefault="00A52409">
      <w:pPr>
        <w:pStyle w:val="2"/>
        <w:ind w:left="439" w:hanging="454"/>
      </w:pPr>
      <w:r>
        <w:t>3.3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块</w:t>
      </w:r>
      <w:r>
        <w:rPr>
          <w:rStyle w:val="translated-span"/>
        </w:rPr>
        <w:t>链</w:t>
      </w:r>
    </w:p>
    <w:p w:rsidR="00000000" w:rsidRDefault="00A52409">
      <w:pPr>
        <w:ind w:left="-15" w:firstLine="0"/>
      </w:pPr>
      <w:r>
        <w:rPr>
          <w:rStyle w:val="translated-span"/>
        </w:rPr>
        <w:t>区块链是一个分散的（即点对点、非中介）系统，由系统中的所有参与者维护</w:t>
      </w:r>
      <w:r>
        <w:rPr>
          <w:rStyle w:val="translated-span"/>
        </w:rPr>
        <w:t>。</w:t>
      </w:r>
      <w:r>
        <w:rPr>
          <w:rStyle w:val="translated-span"/>
        </w:rPr>
        <w:t>区块链有两种类型，即无许可区块链</w:t>
      </w:r>
      <w:r>
        <w:rPr>
          <w:rStyle w:val="translated-span"/>
        </w:rPr>
        <w:t>和许可区块链</w:t>
      </w:r>
      <w:r>
        <w:rPr>
          <w:rStyle w:val="translated-span"/>
        </w:rPr>
        <w:t>。</w:t>
      </w:r>
      <w:r>
        <w:rPr>
          <w:rStyle w:val="translated-span"/>
        </w:rPr>
        <w:t>使用无许可的区块链，如比特币</w:t>
      </w:r>
      <w:r>
        <w:rPr>
          <w:rStyle w:val="translated-span"/>
        </w:rPr>
        <w:t>[34]</w:t>
      </w:r>
      <w:r>
        <w:rPr>
          <w:rStyle w:val="translated-span"/>
        </w:rPr>
        <w:t>，参与者可以随时加入和离开，参与者的数量不是预先定义的，也不是固定的</w:t>
      </w:r>
      <w:r>
        <w:rPr>
          <w:rStyle w:val="translated-span"/>
        </w:rPr>
        <w:t>。</w:t>
      </w:r>
      <w:r>
        <w:rPr>
          <w:rStyle w:val="translated-span"/>
        </w:rPr>
        <w:t>对于许可的区块链（又称联盟区块链），如</w:t>
      </w:r>
      <w:r>
        <w:rPr>
          <w:rStyle w:val="translated-span"/>
        </w:rPr>
        <w:t>IBM</w:t>
      </w:r>
      <w:r>
        <w:rPr>
          <w:rStyle w:val="translated-span"/>
        </w:rPr>
        <w:t>的</w:t>
      </w:r>
      <w:r>
        <w:rPr>
          <w:rStyle w:val="translated-span"/>
        </w:rPr>
        <w:t>Hyperledger</w:t>
      </w:r>
      <w:r>
        <w:rPr>
          <w:rStyle w:val="translated-span"/>
        </w:rPr>
        <w:t>结构，参与者需要系统的许可才能加入或离开</w:t>
      </w:r>
      <w:r>
        <w:rPr>
          <w:rStyle w:val="translated-span"/>
        </w:rPr>
        <w:t>。</w:t>
      </w:r>
      <w:r>
        <w:rPr>
          <w:rStyle w:val="translated-span"/>
        </w:rPr>
        <w:t>参与者的集合通常是预先定义的</w:t>
      </w:r>
      <w:r>
        <w:rPr>
          <w:rStyle w:val="translated-span"/>
        </w:rPr>
        <w:t>[35]</w:t>
      </w:r>
      <w:r>
        <w:rPr>
          <w:rStyle w:val="translated-span"/>
        </w:rPr>
        <w:t>。</w:t>
      </w:r>
    </w:p>
    <w:p w:rsidR="00000000" w:rsidRDefault="00A52409">
      <w:pPr>
        <w:ind w:left="-15"/>
      </w:pPr>
      <w:r>
        <w:rPr>
          <w:rStyle w:val="translated-span"/>
        </w:rPr>
        <w:t>对于参与者相对稳定的应用程序，允许的区块链是首选</w:t>
      </w:r>
      <w:r>
        <w:rPr>
          <w:rStyle w:val="translated-span"/>
        </w:rPr>
        <w:t>。</w:t>
      </w:r>
      <w:r>
        <w:rPr>
          <w:rStyle w:val="translated-span"/>
        </w:rPr>
        <w:t>它可以作为一个分布式的密钥</w:t>
      </w:r>
      <w:r>
        <w:rPr>
          <w:rStyle w:val="translated-span"/>
        </w:rPr>
        <w:t>-</w:t>
      </w:r>
      <w:r>
        <w:rPr>
          <w:rStyle w:val="translated-span"/>
        </w:rPr>
        <w:t>值存储，其中需要一个容错（又称拜占庭协议）方案来达成对全局状态的共识</w:t>
      </w:r>
      <w:r>
        <w:rPr>
          <w:rStyle w:val="translated-span"/>
        </w:rPr>
        <w:t>。</w:t>
      </w:r>
      <w:r>
        <w:rPr>
          <w:rStyle w:val="translated-span"/>
        </w:rPr>
        <w:t>区块链以其透明度、责任性和稳健性而闻名，数据和所有操作都以附件方式记录在区块链上，所有参与者都</w:t>
      </w:r>
      <w:r>
        <w:rPr>
          <w:rStyle w:val="translated-span"/>
        </w:rPr>
        <w:t>可以访问</w:t>
      </w:r>
      <w:r>
        <w:rPr>
          <w:rStyle w:val="translated-span"/>
        </w:rPr>
        <w:t>。</w:t>
      </w:r>
      <w:r>
        <w:rPr>
          <w:rStyle w:val="translated-span"/>
        </w:rPr>
        <w:t>直观地说，联邦深度学习的增量特性使其适合于利用区块链</w:t>
      </w:r>
      <w:r>
        <w:rPr>
          <w:rStyle w:val="translated-span"/>
        </w:rPr>
        <w:t>。</w:t>
      </w:r>
      <w:r>
        <w:rPr>
          <w:rStyle w:val="translated-span"/>
        </w:rPr>
        <w:t>然而，需要开发一种将区块链与隐私保护深度学习相结合的合理方法</w:t>
      </w:r>
      <w:r>
        <w:rPr>
          <w:rStyle w:val="translated-span"/>
        </w:rPr>
        <w:t>。</w:t>
      </w:r>
    </w:p>
    <w:p w:rsidR="00000000" w:rsidRDefault="00A52409">
      <w:pPr>
        <w:pStyle w:val="1"/>
        <w:ind w:left="344" w:hanging="353"/>
      </w:pPr>
      <w:r>
        <w:rPr>
          <w:sz w:val="22"/>
          <w:szCs w:val="22"/>
        </w:rP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22"/>
          <w:szCs w:val="22"/>
        </w:rPr>
        <w:t>FPPDL</w:t>
      </w:r>
      <w:r>
        <w:rPr>
          <w:rStyle w:val="translated-span"/>
          <w:sz w:val="22"/>
          <w:szCs w:val="22"/>
        </w:rPr>
        <w:t>框</w:t>
      </w:r>
      <w:r>
        <w:rPr>
          <w:rStyle w:val="translated-span"/>
          <w:sz w:val="22"/>
          <w:szCs w:val="22"/>
        </w:rPr>
        <w:t>架</w:t>
      </w:r>
    </w:p>
    <w:p w:rsidR="00000000" w:rsidRDefault="00A52409">
      <w:pPr>
        <w:spacing w:after="170"/>
        <w:ind w:left="-15" w:firstLine="0"/>
      </w:pPr>
      <w:r>
        <w:rPr>
          <w:rStyle w:val="translated-span"/>
        </w:rPr>
        <w:t>本节描述了我们提出的去中心化公平和隐私保护深度学习（</w:t>
      </w:r>
      <w:r>
        <w:rPr>
          <w:rStyle w:val="translated-span"/>
        </w:rPr>
        <w:t>FPPDL</w:t>
      </w:r>
      <w:r>
        <w:rPr>
          <w:rStyle w:val="translated-span"/>
        </w:rPr>
        <w:t>）框架的设计，并研究了区块链作为</w:t>
      </w:r>
      <w:r>
        <w:rPr>
          <w:rStyle w:val="translated-span"/>
        </w:rPr>
        <w:t>FPPDL</w:t>
      </w:r>
      <w:r>
        <w:rPr>
          <w:rStyle w:val="translated-span"/>
        </w:rPr>
        <w:t>的分散架构</w:t>
      </w:r>
      <w:r>
        <w:rPr>
          <w:rStyle w:val="translated-span"/>
        </w:rPr>
        <w:t>。</w:t>
      </w:r>
      <w:r>
        <w:rPr>
          <w:rStyle w:val="translated-span"/>
        </w:rPr>
        <w:t>表</w:t>
      </w:r>
      <w:r>
        <w:rPr>
          <w:rStyle w:val="translated-span"/>
        </w:rPr>
        <w:t>2</w:t>
      </w:r>
      <w:r>
        <w:rPr>
          <w:rStyle w:val="translated-span"/>
        </w:rPr>
        <w:t>列出了本文中使用的符号及其含义，以便于阅读</w:t>
      </w:r>
      <w:r>
        <w:rPr>
          <w:rStyle w:val="translated-span"/>
        </w:rPr>
        <w:t>。</w:t>
      </w:r>
    </w:p>
    <w:p w:rsidR="00000000" w:rsidRDefault="00A52409">
      <w:pPr>
        <w:spacing w:after="0" w:line="256" w:lineRule="auto"/>
        <w:ind w:firstLine="0"/>
        <w:jc w:val="center"/>
      </w:pPr>
      <w:r>
        <w:rPr>
          <w:rStyle w:val="translated-span"/>
        </w:rPr>
        <w:t>表</w:t>
      </w:r>
      <w:r>
        <w:rPr>
          <w:rStyle w:val="translated-span"/>
        </w:rPr>
        <w:t>2</w:t>
      </w:r>
      <w:r>
        <w:rPr>
          <w:rStyle w:val="translated-span"/>
        </w:rPr>
        <w:t>：符号列表</w:t>
      </w:r>
      <w:r>
        <w:rPr>
          <w:rStyle w:val="translated-span"/>
        </w:rPr>
        <w:t>。</w:t>
      </w:r>
    </w:p>
    <w:p w:rsidR="00000000" w:rsidRDefault="00A52409">
      <w:pPr>
        <w:spacing w:after="48" w:line="256" w:lineRule="auto"/>
        <w:ind w:firstLine="0"/>
        <w:jc w:val="left"/>
      </w:pPr>
      <w:r>
        <w:rPr>
          <w:noProof/>
          <w:sz w:val="22"/>
          <w:szCs w:val="22"/>
        </w:rPr>
        <w:drawing>
          <wp:inline distT="0" distB="0" distL="0" distR="0">
            <wp:extent cx="3209925" cy="9525"/>
            <wp:effectExtent l="0" t="0" r="0" b="0"/>
            <wp:docPr id="6" name="Group 15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950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209925" cy="9525"/>
                    </a:xfrm>
                    <a:prstGeom prst="rect">
                      <a:avLst/>
                    </a:prstGeom>
                    <a:noFill/>
                    <a:ln>
                      <a:noFill/>
                    </a:ln>
                  </pic:spPr>
                </pic:pic>
              </a:graphicData>
            </a:graphic>
          </wp:inline>
        </w:drawing>
      </w:r>
    </w:p>
    <w:tbl>
      <w:tblPr>
        <w:tblW w:w="5040" w:type="dxa"/>
        <w:tblCellMar>
          <w:left w:w="0" w:type="dxa"/>
          <w:right w:w="0" w:type="dxa"/>
        </w:tblCellMar>
        <w:tblLook w:val="04A0" w:firstRow="1" w:lastRow="0" w:firstColumn="1" w:lastColumn="0" w:noHBand="0" w:noVBand="1"/>
      </w:tblPr>
      <w:tblGrid>
        <w:gridCol w:w="1026"/>
        <w:gridCol w:w="4014"/>
      </w:tblGrid>
      <w:tr w:rsidR="00000000">
        <w:trPr>
          <w:trHeight w:val="188"/>
        </w:trPr>
        <w:tc>
          <w:tcPr>
            <w:tcW w:w="1026" w:type="dxa"/>
            <w:tcBorders>
              <w:top w:val="single" w:sz="8" w:space="0" w:color="000000"/>
              <w:left w:val="nil"/>
              <w:bottom w:val="single" w:sz="8" w:space="0" w:color="000000"/>
              <w:right w:val="single" w:sz="8" w:space="0" w:color="000000"/>
            </w:tcBorders>
            <w:tcMar>
              <w:top w:w="0" w:type="dxa"/>
              <w:left w:w="120" w:type="dxa"/>
              <w:bottom w:w="0" w:type="dxa"/>
              <w:right w:w="120" w:type="dxa"/>
            </w:tcMar>
            <w:hideMark/>
          </w:tcPr>
          <w:p w:rsidR="00000000" w:rsidRDefault="00A52409">
            <w:pPr>
              <w:spacing w:after="0" w:line="256" w:lineRule="auto"/>
              <w:ind w:right="4" w:firstLine="0"/>
              <w:jc w:val="center"/>
            </w:pPr>
            <w:r>
              <w:rPr>
                <w:rStyle w:val="translated-span"/>
                <w:sz w:val="16"/>
                <w:szCs w:val="16"/>
              </w:rPr>
              <w:t>符</w:t>
            </w:r>
            <w:r>
              <w:rPr>
                <w:rStyle w:val="translated-span"/>
                <w:sz w:val="16"/>
                <w:szCs w:val="16"/>
              </w:rPr>
              <w:t>号</w:t>
            </w:r>
          </w:p>
        </w:tc>
        <w:tc>
          <w:tcPr>
            <w:tcW w:w="4014" w:type="dxa"/>
            <w:tcBorders>
              <w:top w:val="single" w:sz="8" w:space="0" w:color="000000"/>
              <w:left w:val="nil"/>
              <w:bottom w:val="single" w:sz="8" w:space="0" w:color="000000"/>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意</w:t>
            </w:r>
            <w:r>
              <w:rPr>
                <w:rStyle w:val="translated-span"/>
                <w:sz w:val="16"/>
                <w:szCs w:val="16"/>
              </w:rPr>
              <w:t>义</w:t>
            </w:r>
          </w:p>
        </w:tc>
      </w:tr>
      <w:tr w:rsidR="00000000">
        <w:trPr>
          <w:trHeight w:val="187"/>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4" w:firstLine="0"/>
              <w:jc w:val="center"/>
            </w:pPr>
            <w:r>
              <w:rPr>
                <w:rStyle w:val="translated-span"/>
                <w:rFonts w:ascii="Cambria" w:hAnsi="Cambria"/>
                <w:i/>
                <w:iCs/>
                <w:sz w:val="16"/>
                <w:szCs w:val="16"/>
              </w:rPr>
              <w:t>D</w:t>
            </w:r>
            <w:r>
              <w:rPr>
                <w:rStyle w:val="translated-span"/>
                <w:rFonts w:ascii="Cambria" w:hAnsi="Cambria"/>
                <w:i/>
                <w:iCs/>
                <w:sz w:val="12"/>
                <w:szCs w:val="12"/>
              </w:rPr>
              <w:t>我</w:t>
            </w:r>
            <w:r>
              <w:rPr>
                <w:sz w:val="16"/>
                <w:szCs w:val="16"/>
              </w:rPr>
              <w:t>,</w:t>
            </w:r>
            <w:r>
              <w:rPr>
                <w:sz w:val="16"/>
                <w:szCs w:val="16"/>
              </w:rPr>
              <w:t xml:space="preserve"> </w:t>
            </w:r>
            <w:r>
              <w:rPr>
                <w:rStyle w:val="translated-span"/>
                <w:rFonts w:ascii="Cambria" w:hAnsi="Cambria"/>
                <w:i/>
                <w:iCs/>
                <w:sz w:val="16"/>
                <w:szCs w:val="16"/>
              </w:rPr>
              <w:t>米</w:t>
            </w:r>
            <w:r>
              <w:rPr>
                <w:rStyle w:val="translated-span"/>
                <w:rFonts w:ascii="Cambria" w:hAnsi="Cambria"/>
                <w:i/>
                <w:iCs/>
                <w:sz w:val="12"/>
                <w:szCs w:val="12"/>
              </w:rPr>
              <w:t>我</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地方培训数据与地方党建模</w:t>
            </w:r>
            <w:r>
              <w:rPr>
                <w:rStyle w:val="translated-span"/>
                <w:sz w:val="16"/>
                <w:szCs w:val="16"/>
              </w:rPr>
              <w:t>式</w:t>
            </w:r>
            <w:r>
              <w:rPr>
                <w:rStyle w:val="translated-span"/>
                <w:rFonts w:ascii="Cambria" w:hAnsi="Cambria"/>
                <w:i/>
                <w:iCs/>
                <w:sz w:val="16"/>
                <w:szCs w:val="16"/>
              </w:rPr>
              <w:t>我</w:t>
            </w:r>
          </w:p>
        </w:tc>
      </w:tr>
      <w:tr w:rsidR="00000000">
        <w:trPr>
          <w:trHeight w:val="18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4" w:firstLine="0"/>
              <w:jc w:val="center"/>
            </w:pPr>
            <w:r>
              <w:rPr>
                <w:rStyle w:val="translated-span"/>
                <w:rFonts w:ascii="Cambria" w:hAnsi="Cambria"/>
                <w:i/>
                <w:iCs/>
                <w:sz w:val="16"/>
                <w:szCs w:val="16"/>
              </w:rPr>
              <w:t>SDi</w:t>
            </w:r>
            <w:r>
              <w:rPr>
                <w:rStyle w:val="translated-span"/>
                <w:rFonts w:ascii="Cambria" w:hAnsi="Cambria"/>
                <w:i/>
                <w:iCs/>
                <w:sz w:val="16"/>
                <w:szCs w:val="16"/>
              </w:rPr>
              <w:t>公</w:t>
            </w:r>
            <w:r>
              <w:rPr>
                <w:rStyle w:val="translated-span"/>
                <w:rFonts w:ascii="Cambria" w:hAnsi="Cambria"/>
                <w:i/>
                <w:iCs/>
                <w:sz w:val="16"/>
                <w:szCs w:val="16"/>
              </w:rPr>
              <w:t>司</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rFonts w:ascii="Cambria" w:hAnsi="Cambria"/>
                <w:i/>
                <w:iCs/>
                <w:sz w:val="16"/>
                <w:szCs w:val="16"/>
              </w:rPr>
              <w:t>µ</w:t>
            </w:r>
            <w:r>
              <w:rPr>
                <w:rStyle w:val="translated-span"/>
                <w:sz w:val="16"/>
                <w:szCs w:val="16"/>
              </w:rPr>
              <w:t>党随机抽取的</w:t>
            </w:r>
            <w:r>
              <w:rPr>
                <w:rStyle w:val="translated-span"/>
                <w:sz w:val="16"/>
                <w:szCs w:val="16"/>
              </w:rPr>
              <w:t>DPGAN</w:t>
            </w:r>
            <w:r>
              <w:rPr>
                <w:rStyle w:val="translated-span"/>
                <w:sz w:val="16"/>
                <w:szCs w:val="16"/>
              </w:rPr>
              <w:t>样</w:t>
            </w:r>
            <w:r>
              <w:rPr>
                <w:rStyle w:val="translated-span"/>
                <w:sz w:val="16"/>
                <w:szCs w:val="16"/>
              </w:rPr>
              <w:t>本</w:t>
            </w:r>
            <w:r>
              <w:rPr>
                <w:rStyle w:val="translated-span"/>
                <w:rFonts w:ascii="Cambria" w:hAnsi="Cambria"/>
                <w:i/>
                <w:iCs/>
                <w:sz w:val="16"/>
                <w:szCs w:val="16"/>
              </w:rPr>
              <w:t>我</w:t>
            </w:r>
          </w:p>
        </w:tc>
      </w:tr>
      <w:tr w:rsidR="00000000">
        <w:trPr>
          <w:trHeight w:val="163"/>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4" w:firstLine="0"/>
              <w:jc w:val="center"/>
            </w:pPr>
            <w:r>
              <w:rPr>
                <w:rStyle w:val="translated-span"/>
                <w:rFonts w:ascii="Cambria" w:hAnsi="Cambria"/>
                <w:i/>
                <w:iCs/>
                <w:sz w:val="16"/>
                <w:szCs w:val="16"/>
              </w:rPr>
              <w:t>p</w:t>
            </w:r>
            <w:r>
              <w:rPr>
                <w:rStyle w:val="translated-span"/>
                <w:rFonts w:ascii="Cambria" w:hAnsi="Cambria"/>
                <w:i/>
                <w:iCs/>
                <w:sz w:val="12"/>
                <w:szCs w:val="12"/>
              </w:rPr>
              <w:t>我</w:t>
            </w:r>
            <w:r>
              <w:rPr>
                <w:sz w:val="16"/>
                <w:szCs w:val="16"/>
              </w:rPr>
              <w:t>,</w:t>
            </w:r>
            <w:r>
              <w:rPr>
                <w:sz w:val="16"/>
                <w:szCs w:val="16"/>
              </w:rPr>
              <w:t xml:space="preserve"> </w:t>
            </w:r>
            <w:r>
              <w:rPr>
                <w:rStyle w:val="translated-span"/>
                <w:rFonts w:ascii="Cambria" w:hAnsi="Cambria"/>
                <w:i/>
                <w:iCs/>
                <w:sz w:val="16"/>
                <w:szCs w:val="16"/>
              </w:rPr>
              <w:t>d</w:t>
            </w:r>
            <w:r>
              <w:rPr>
                <w:rStyle w:val="translated-span"/>
                <w:rFonts w:ascii="Cambria" w:hAnsi="Cambria"/>
                <w:i/>
                <w:iCs/>
                <w:sz w:val="12"/>
                <w:szCs w:val="12"/>
              </w:rPr>
              <w:t>我</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点和梯度下载党的预</w:t>
            </w:r>
            <w:r>
              <w:rPr>
                <w:rStyle w:val="translated-span"/>
                <w:sz w:val="16"/>
                <w:szCs w:val="16"/>
              </w:rPr>
              <w:t>算</w:t>
            </w:r>
            <w:r>
              <w:rPr>
                <w:rStyle w:val="translated-span"/>
                <w:rFonts w:ascii="Cambria" w:hAnsi="Cambria"/>
                <w:i/>
                <w:iCs/>
                <w:sz w:val="16"/>
                <w:szCs w:val="16"/>
              </w:rPr>
              <w:t>我</w:t>
            </w:r>
          </w:p>
        </w:tc>
      </w:tr>
      <w:tr w:rsidR="00000000">
        <w:trPr>
          <w:trHeight w:val="425"/>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left="120" w:firstLine="0"/>
              <w:jc w:val="left"/>
            </w:pPr>
            <w:r>
              <w:rPr>
                <w:noProof/>
              </w:rPr>
              <w:drawing>
                <wp:inline distT="0" distB="0" distL="0" distR="0">
                  <wp:extent cx="266700" cy="152400"/>
                  <wp:effectExtent l="0" t="0" r="0" b="0"/>
                  <wp:docPr id="7" name="Picture 17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5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pPr>
            <w:r>
              <w:rPr>
                <w:rStyle w:val="translated-span"/>
                <w:sz w:val="16"/>
                <w:szCs w:val="16"/>
              </w:rPr>
              <w:t>党的地方公信力和更新的地方公信</w:t>
            </w:r>
            <w:r>
              <w:rPr>
                <w:rStyle w:val="translated-span"/>
                <w:sz w:val="16"/>
                <w:szCs w:val="16"/>
              </w:rPr>
              <w:t>力</w:t>
            </w:r>
            <w:r>
              <w:rPr>
                <w:rStyle w:val="translated-span"/>
                <w:rFonts w:ascii="Cambria" w:hAnsi="Cambria"/>
                <w:i/>
                <w:iCs/>
                <w:sz w:val="16"/>
                <w:szCs w:val="16"/>
              </w:rPr>
              <w:t>j</w:t>
            </w:r>
            <w:r>
              <w:rPr>
                <w:rStyle w:val="translated-span"/>
                <w:rFonts w:ascii="Cambria" w:hAnsi="Cambria"/>
                <w:i/>
                <w:iCs/>
                <w:sz w:val="16"/>
                <w:szCs w:val="16"/>
              </w:rPr>
              <w:t>我</w:t>
            </w:r>
          </w:p>
        </w:tc>
      </w:tr>
      <w:tr w:rsidR="00000000">
        <w:trPr>
          <w:trHeight w:val="173"/>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4" w:firstLine="0"/>
              <w:jc w:val="center"/>
            </w:pPr>
            <w:r>
              <w:rPr>
                <w:rStyle w:val="translated-span"/>
                <w:rFonts w:ascii="Cambria" w:hAnsi="Cambria"/>
                <w:i/>
                <w:iCs/>
                <w:sz w:val="16"/>
                <w:szCs w:val="16"/>
              </w:rPr>
              <w:t>用户界</w:t>
            </w:r>
            <w:r>
              <w:rPr>
                <w:rStyle w:val="translated-span"/>
                <w:rFonts w:ascii="Cambria" w:hAnsi="Cambria"/>
                <w:i/>
                <w:iCs/>
                <w:sz w:val="16"/>
                <w:szCs w:val="16"/>
              </w:rPr>
              <w:t>面</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缔约方发布的</w:t>
            </w:r>
            <w:r>
              <w:rPr>
                <w:rStyle w:val="translated-span"/>
                <w:sz w:val="16"/>
                <w:szCs w:val="16"/>
              </w:rPr>
              <w:t>DPGAN</w:t>
            </w:r>
            <w:r>
              <w:rPr>
                <w:rStyle w:val="translated-span"/>
                <w:sz w:val="16"/>
                <w:szCs w:val="16"/>
              </w:rPr>
              <w:t>样品数</w:t>
            </w:r>
            <w:r>
              <w:rPr>
                <w:rStyle w:val="translated-span"/>
                <w:sz w:val="16"/>
                <w:szCs w:val="16"/>
              </w:rPr>
              <w:t>量</w:t>
            </w:r>
            <w:r>
              <w:rPr>
                <w:rStyle w:val="translated-span"/>
                <w:rFonts w:ascii="Cambria" w:hAnsi="Cambria"/>
                <w:i/>
                <w:iCs/>
                <w:sz w:val="16"/>
                <w:szCs w:val="16"/>
              </w:rPr>
              <w:t>我</w:t>
            </w:r>
          </w:p>
        </w:tc>
      </w:tr>
      <w:tr w:rsidR="00000000">
        <w:trPr>
          <w:trHeight w:val="398"/>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21" w:firstLine="0"/>
              <w:jc w:val="center"/>
            </w:pPr>
            <w:r>
              <w:rPr>
                <w:rStyle w:val="translated-span"/>
                <w:rFonts w:ascii="Cambria" w:hAnsi="Cambria"/>
                <w:i/>
                <w:iCs/>
                <w:sz w:val="16"/>
                <w:szCs w:val="16"/>
              </w:rPr>
              <w:t>d</w:t>
            </w:r>
            <w:r>
              <w:rPr>
                <w:rStyle w:val="translated-span"/>
                <w:rFonts w:ascii="Cambria" w:hAnsi="Cambria"/>
                <w:i/>
                <w:iCs/>
                <w:sz w:val="12"/>
                <w:szCs w:val="12"/>
              </w:rPr>
              <w:t>j</w:t>
            </w:r>
            <w:r>
              <w:rPr>
                <w:rStyle w:val="translated-span"/>
                <w:rFonts w:ascii="Cambria" w:hAnsi="Cambria"/>
                <w:i/>
                <w:iCs/>
                <w:sz w:val="18"/>
                <w:szCs w:val="18"/>
                <w:vertAlign w:val="subscript"/>
              </w:rPr>
              <w:t>我</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pPr>
            <w:r>
              <w:rPr>
                <w:rStyle w:val="translated-span"/>
                <w:sz w:val="16"/>
                <w:szCs w:val="16"/>
              </w:rPr>
              <w:t>释放到参与方的有意义坡度</w:t>
            </w:r>
            <w:r>
              <w:rPr>
                <w:rStyle w:val="translated-span"/>
                <w:sz w:val="16"/>
                <w:szCs w:val="16"/>
              </w:rPr>
              <w:t>数</w:t>
            </w:r>
            <w:r>
              <w:rPr>
                <w:rStyle w:val="translated-span"/>
                <w:rFonts w:ascii="Cambria" w:hAnsi="Cambria"/>
                <w:i/>
                <w:iCs/>
                <w:sz w:val="16"/>
                <w:szCs w:val="16"/>
              </w:rPr>
              <w:t>j</w:t>
            </w:r>
            <w:r>
              <w:rPr>
                <w:rStyle w:val="translated-span"/>
                <w:rFonts w:ascii="Cambria" w:hAnsi="Cambria"/>
                <w:i/>
                <w:iCs/>
                <w:sz w:val="16"/>
                <w:szCs w:val="16"/>
              </w:rPr>
              <w:t>我</w:t>
            </w:r>
          </w:p>
        </w:tc>
      </w:tr>
      <w:tr w:rsidR="00000000">
        <w:trPr>
          <w:trHeight w:val="181"/>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21" w:firstLine="0"/>
              <w:jc w:val="center"/>
            </w:pPr>
            <w:r>
              <w:rPr>
                <w:rStyle w:val="translated-span"/>
                <w:rFonts w:ascii="Cambria" w:hAnsi="Cambria"/>
                <w:i/>
                <w:iCs/>
                <w:sz w:val="16"/>
                <w:szCs w:val="16"/>
              </w:rPr>
              <w:t>λ</w:t>
            </w:r>
            <w:r>
              <w:rPr>
                <w:rStyle w:val="translated-span"/>
                <w:rFonts w:ascii="Cambria" w:hAnsi="Cambria"/>
                <w:i/>
                <w:iCs/>
                <w:sz w:val="16"/>
                <w:szCs w:val="16"/>
              </w:rPr>
              <w:t>j</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共享</w:t>
            </w:r>
            <w:r>
              <w:rPr>
                <w:rStyle w:val="translated-span"/>
                <w:sz w:val="16"/>
                <w:szCs w:val="16"/>
              </w:rPr>
              <w:t>度</w:t>
            </w:r>
            <w:r>
              <w:rPr>
                <w:rStyle w:val="translated-span"/>
                <w:rFonts w:ascii="Cambria" w:hAnsi="Cambria"/>
                <w:i/>
                <w:iCs/>
                <w:sz w:val="16"/>
                <w:szCs w:val="16"/>
              </w:rPr>
              <w:t>j</w:t>
            </w:r>
          </w:p>
        </w:tc>
      </w:tr>
      <w:tr w:rsidR="00000000">
        <w:trPr>
          <w:trHeight w:val="18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firstLine="0"/>
              <w:jc w:val="left"/>
            </w:pPr>
            <w:r>
              <w:rPr>
                <w:rStyle w:val="translated-span"/>
                <w:rFonts w:ascii="Cambria" w:hAnsi="Cambria"/>
                <w:i/>
                <w:iCs/>
                <w:sz w:val="16"/>
                <w:szCs w:val="16"/>
              </w:rPr>
              <w:t>saccj</w:t>
            </w:r>
            <w:r>
              <w:rPr>
                <w:rStyle w:val="translated-span"/>
                <w:rFonts w:ascii="Cambria" w:hAnsi="Cambria"/>
                <w:i/>
                <w:iCs/>
                <w:sz w:val="16"/>
                <w:szCs w:val="16"/>
              </w:rPr>
              <w:t>、</w:t>
            </w:r>
            <w:r>
              <w:rPr>
                <w:rStyle w:val="translated-span"/>
                <w:rFonts w:ascii="Cambria" w:hAnsi="Cambria"/>
                <w:i/>
                <w:iCs/>
                <w:sz w:val="16"/>
                <w:szCs w:val="16"/>
              </w:rPr>
              <w:t>acc</w:t>
            </w:r>
            <w:r>
              <w:rPr>
                <w:rStyle w:val="translated-span"/>
                <w:rFonts w:ascii="Cambria" w:hAnsi="Cambria"/>
                <w:i/>
                <w:iCs/>
                <w:sz w:val="16"/>
                <w:szCs w:val="16"/>
              </w:rPr>
              <w:t>j</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独立和最终模型精</w:t>
            </w:r>
            <w:r>
              <w:rPr>
                <w:rStyle w:val="translated-span"/>
                <w:sz w:val="16"/>
                <w:szCs w:val="16"/>
              </w:rPr>
              <w:t>度</w:t>
            </w:r>
            <w:r>
              <w:rPr>
                <w:rStyle w:val="translated-span"/>
                <w:rFonts w:ascii="Cambria" w:hAnsi="Cambria"/>
                <w:i/>
                <w:iCs/>
                <w:sz w:val="16"/>
                <w:szCs w:val="16"/>
              </w:rPr>
              <w:t>j</w:t>
            </w:r>
          </w:p>
        </w:tc>
      </w:tr>
      <w:tr w:rsidR="00000000">
        <w:trPr>
          <w:trHeight w:val="175"/>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21" w:firstLine="0"/>
              <w:jc w:val="center"/>
            </w:pPr>
            <w:r>
              <w:rPr>
                <w:rStyle w:val="translated-span"/>
                <w:rFonts w:ascii="Cambria" w:hAnsi="Cambria"/>
                <w:sz w:val="16"/>
                <w:szCs w:val="16"/>
              </w:rPr>
              <w:t>∆</w:t>
            </w:r>
            <w:r>
              <w:rPr>
                <w:rStyle w:val="translated-span"/>
                <w:i/>
                <w:iCs/>
                <w:sz w:val="16"/>
                <w:szCs w:val="16"/>
              </w:rPr>
              <w:t>威斯康星</w:t>
            </w:r>
            <w:r>
              <w:rPr>
                <w:rStyle w:val="translated-span"/>
                <w:i/>
                <w:iCs/>
                <w:sz w:val="16"/>
                <w:szCs w:val="16"/>
              </w:rPr>
              <w:t>州</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党的梯度向</w:t>
            </w:r>
            <w:r>
              <w:rPr>
                <w:rStyle w:val="translated-span"/>
                <w:sz w:val="16"/>
                <w:szCs w:val="16"/>
              </w:rPr>
              <w:t>量</w:t>
            </w:r>
            <w:r>
              <w:rPr>
                <w:rStyle w:val="translated-span"/>
                <w:rFonts w:ascii="Cambria" w:hAnsi="Cambria"/>
                <w:i/>
                <w:iCs/>
                <w:sz w:val="16"/>
                <w:szCs w:val="16"/>
              </w:rPr>
              <w:t>j</w:t>
            </w:r>
          </w:p>
        </w:tc>
      </w:tr>
      <w:tr w:rsidR="00000000">
        <w:trPr>
          <w:trHeight w:val="417"/>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21" w:firstLine="0"/>
              <w:jc w:val="center"/>
            </w:pPr>
            <w:r>
              <w:rPr>
                <w:rStyle w:val="translated-span"/>
                <w:rFonts w:ascii="Cambria" w:hAnsi="Cambria"/>
                <w:sz w:val="16"/>
                <w:szCs w:val="16"/>
              </w:rPr>
              <w:t>∆</w:t>
            </w:r>
            <w:r>
              <w:rPr>
                <w:rStyle w:val="translated-span"/>
                <w:i/>
                <w:iCs/>
                <w:sz w:val="16"/>
                <w:szCs w:val="16"/>
              </w:rPr>
              <w:t>w</w:t>
            </w:r>
            <w:r>
              <w:rPr>
                <w:rStyle w:val="translated-span"/>
                <w:rFonts w:ascii="Cambria" w:hAnsi="Cambria"/>
                <w:b/>
                <w:bCs/>
                <w:sz w:val="16"/>
                <w:szCs w:val="16"/>
              </w:rPr>
              <w:t>˜</w:t>
            </w:r>
            <w:r>
              <w:rPr>
                <w:rStyle w:val="translated-span"/>
                <w:i/>
                <w:iCs/>
                <w:sz w:val="12"/>
                <w:szCs w:val="12"/>
              </w:rPr>
              <w:t>吉</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457200" cy="152400"/>
                  <wp:effectExtent l="0" t="0" r="0" b="0"/>
                  <wp:wrapSquare wrapText="bothSides"/>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通过用</w:t>
            </w:r>
            <w:r>
              <w:rPr>
                <w:rStyle w:val="translated-span"/>
                <w:sz w:val="16"/>
                <w:szCs w:val="16"/>
              </w:rPr>
              <w:t>0</w:t>
            </w:r>
            <w:r>
              <w:rPr>
                <w:rStyle w:val="translated-span"/>
                <w:sz w:val="16"/>
                <w:szCs w:val="16"/>
              </w:rPr>
              <w:t>填充剩余梯度来屏蔽与参与方共享的参与方的梯度向</w:t>
            </w:r>
            <w:r>
              <w:rPr>
                <w:rStyle w:val="translated-span"/>
                <w:sz w:val="16"/>
                <w:szCs w:val="16"/>
              </w:rPr>
              <w:t>量</w:t>
            </w:r>
            <w:r>
              <w:rPr>
                <w:rStyle w:val="translated-span"/>
                <w:rFonts w:ascii="Cambria" w:hAnsi="Cambria"/>
                <w:i/>
                <w:iCs/>
                <w:sz w:val="16"/>
                <w:szCs w:val="16"/>
              </w:rPr>
              <w:t>j</w:t>
            </w:r>
            <w:r>
              <w:rPr>
                <w:rStyle w:val="translated-span"/>
                <w:rFonts w:ascii="Cambria" w:hAnsi="Cambria"/>
                <w:i/>
                <w:iCs/>
                <w:sz w:val="16"/>
                <w:szCs w:val="16"/>
              </w:rPr>
              <w:t>我</w:t>
            </w:r>
          </w:p>
        </w:tc>
      </w:tr>
      <w:tr w:rsidR="00000000">
        <w:trPr>
          <w:trHeight w:val="174"/>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4" w:firstLine="0"/>
              <w:jc w:val="center"/>
            </w:pPr>
            <w:r>
              <w:rPr>
                <w:rStyle w:val="translated-span"/>
                <w:i/>
                <w:iCs/>
                <w:sz w:val="16"/>
                <w:szCs w:val="16"/>
              </w:rPr>
              <w:t>威斯康星</w:t>
            </w:r>
            <w:r>
              <w:rPr>
                <w:rStyle w:val="translated-span"/>
                <w:i/>
                <w:iCs/>
                <w:sz w:val="16"/>
                <w:szCs w:val="16"/>
              </w:rPr>
              <w:t>州</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上一轮参与方参</w:t>
            </w:r>
            <w:r>
              <w:rPr>
                <w:rStyle w:val="translated-span"/>
                <w:sz w:val="16"/>
                <w:szCs w:val="16"/>
              </w:rPr>
              <w:t>数</w:t>
            </w:r>
            <w:r>
              <w:rPr>
                <w:rStyle w:val="translated-span"/>
                <w:rFonts w:ascii="Cambria" w:hAnsi="Cambria"/>
                <w:i/>
                <w:iCs/>
                <w:sz w:val="16"/>
                <w:szCs w:val="16"/>
              </w:rPr>
              <w:t>我</w:t>
            </w:r>
          </w:p>
        </w:tc>
      </w:tr>
      <w:tr w:rsidR="00000000">
        <w:trPr>
          <w:trHeight w:val="196"/>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4" w:firstLine="0"/>
              <w:jc w:val="center"/>
            </w:pPr>
            <w:r>
              <w:rPr>
                <w:rStyle w:val="translated-span"/>
                <w:i/>
                <w:iCs/>
                <w:sz w:val="16"/>
                <w:szCs w:val="16"/>
              </w:rPr>
              <w:t>w</w:t>
            </w:r>
            <w:r>
              <w:rPr>
                <w:rStyle w:val="translated-span"/>
                <w:i/>
                <w:iCs/>
                <w:sz w:val="12"/>
                <w:szCs w:val="12"/>
              </w:rPr>
              <w:t>我</w:t>
            </w:r>
            <w:r>
              <w:rPr>
                <w:rFonts w:ascii="Cambria" w:hAnsi="Cambria"/>
                <w:sz w:val="12"/>
                <w:szCs w:val="12"/>
              </w:rPr>
              <w:t>0</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本轮更新了参与方参</w:t>
            </w:r>
            <w:r>
              <w:rPr>
                <w:rStyle w:val="translated-span"/>
                <w:sz w:val="16"/>
                <w:szCs w:val="16"/>
              </w:rPr>
              <w:t>数</w:t>
            </w:r>
            <w:r>
              <w:rPr>
                <w:rStyle w:val="translated-span"/>
                <w:rFonts w:ascii="Cambria" w:hAnsi="Cambria"/>
                <w:i/>
                <w:iCs/>
                <w:sz w:val="16"/>
                <w:szCs w:val="16"/>
              </w:rPr>
              <w:t>我</w:t>
            </w:r>
          </w:p>
        </w:tc>
      </w:tr>
      <w:tr w:rsidR="00000000">
        <w:trPr>
          <w:trHeight w:val="178"/>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4" w:firstLine="0"/>
              <w:jc w:val="center"/>
            </w:pPr>
            <w:r>
              <w:rPr>
                <w:rStyle w:val="translated-span"/>
                <w:rFonts w:ascii="Cambria" w:hAnsi="Cambria"/>
                <w:i/>
                <w:iCs/>
                <w:sz w:val="16"/>
                <w:szCs w:val="16"/>
              </w:rPr>
              <w:t>n</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参与方数</w:t>
            </w:r>
            <w:r>
              <w:rPr>
                <w:rStyle w:val="translated-span"/>
                <w:sz w:val="16"/>
                <w:szCs w:val="16"/>
              </w:rPr>
              <w:t>量</w:t>
            </w:r>
          </w:p>
        </w:tc>
      </w:tr>
      <w:tr w:rsidR="00000000">
        <w:trPr>
          <w:trHeight w:val="183"/>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4" w:firstLine="0"/>
              <w:jc w:val="center"/>
            </w:pPr>
            <w:r>
              <w:rPr>
                <w:rStyle w:val="translated-span"/>
                <w:rFonts w:ascii="Cambria" w:hAnsi="Cambria"/>
                <w:i/>
                <w:iCs/>
                <w:sz w:val="16"/>
                <w:szCs w:val="16"/>
              </w:rPr>
              <w:t>c</w:t>
            </w:r>
            <w:r>
              <w:rPr>
                <w:rStyle w:val="translated-span"/>
                <w:rFonts w:ascii="Cambria" w:hAnsi="Cambria"/>
                <w:i/>
                <w:iCs/>
                <w:sz w:val="12"/>
                <w:szCs w:val="12"/>
              </w:rPr>
              <w:t>第</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可信度阈值下</w:t>
            </w:r>
            <w:r>
              <w:rPr>
                <w:rStyle w:val="translated-span"/>
                <w:sz w:val="16"/>
                <w:szCs w:val="16"/>
              </w:rPr>
              <w:t>限</w:t>
            </w:r>
          </w:p>
        </w:tc>
      </w:tr>
      <w:tr w:rsidR="00000000">
        <w:trPr>
          <w:trHeight w:val="357"/>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5" w:firstLine="0"/>
              <w:jc w:val="center"/>
            </w:pPr>
            <w:r>
              <w:rPr>
                <w:rStyle w:val="translated-span"/>
                <w:rFonts w:ascii="Cambria" w:hAnsi="Cambria"/>
                <w:i/>
                <w:iCs/>
                <w:sz w:val="16"/>
                <w:szCs w:val="16"/>
              </w:rPr>
              <w:t>C</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pPr>
            <w:r>
              <w:rPr>
                <w:rStyle w:val="translated-span"/>
                <w:sz w:val="16"/>
                <w:szCs w:val="16"/>
              </w:rPr>
              <w:t>三分之二的缔约方同意的具有上述当地信誉的可信</w:t>
            </w:r>
            <w:r>
              <w:rPr>
                <w:rStyle w:val="translated-span"/>
                <w:sz w:val="16"/>
                <w:szCs w:val="16"/>
              </w:rPr>
              <w:t>方</w:t>
            </w:r>
            <w:r>
              <w:rPr>
                <w:rStyle w:val="translated-span"/>
                <w:rFonts w:ascii="Cambria" w:hAnsi="Cambria"/>
                <w:i/>
                <w:iCs/>
                <w:sz w:val="16"/>
                <w:szCs w:val="16"/>
              </w:rPr>
              <w:t>cth</w:t>
            </w:r>
            <w:r>
              <w:rPr>
                <w:rStyle w:val="translated-span"/>
                <w:rFonts w:ascii="Cambria" w:hAnsi="Cambria"/>
                <w:i/>
                <w:iCs/>
                <w:sz w:val="16"/>
                <w:szCs w:val="16"/>
              </w:rPr>
              <w:t>公</w:t>
            </w:r>
            <w:r>
              <w:rPr>
                <w:rStyle w:val="translated-span"/>
                <w:rFonts w:ascii="Cambria" w:hAnsi="Cambria"/>
                <w:i/>
                <w:iCs/>
                <w:sz w:val="16"/>
                <w:szCs w:val="16"/>
              </w:rPr>
              <w:t>司</w:t>
            </w:r>
          </w:p>
        </w:tc>
      </w:tr>
      <w:tr w:rsidR="00000000">
        <w:trPr>
          <w:trHeight w:val="344"/>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21" w:firstLine="0"/>
              <w:jc w:val="center"/>
            </w:pPr>
            <w:r>
              <w:rPr>
                <w:rStyle w:val="translated-span"/>
                <w:rFonts w:ascii="Cambria" w:hAnsi="Cambria"/>
                <w:i/>
                <w:iCs/>
                <w:sz w:val="16"/>
                <w:szCs w:val="16"/>
              </w:rPr>
              <w:t>乔</w:t>
            </w:r>
            <w:r>
              <w:rPr>
                <w:rStyle w:val="translated-span"/>
                <w:rFonts w:ascii="Cambria" w:hAnsi="Cambria"/>
                <w:i/>
                <w:iCs/>
                <w:sz w:val="16"/>
                <w:szCs w:val="16"/>
              </w:rPr>
              <w:t>丹</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pPr>
            <w:r>
              <w:rPr>
                <w:rStyle w:val="translated-span"/>
                <w:sz w:val="16"/>
                <w:szCs w:val="16"/>
              </w:rPr>
              <w:t>多数标签和参与方的预测标签之</w:t>
            </w:r>
            <w:r>
              <w:rPr>
                <w:rStyle w:val="translated-span"/>
                <w:sz w:val="16"/>
                <w:szCs w:val="16"/>
              </w:rPr>
              <w:t>间的匹配</w:t>
            </w:r>
            <w:r>
              <w:rPr>
                <w:rStyle w:val="translated-span"/>
                <w:sz w:val="16"/>
                <w:szCs w:val="16"/>
              </w:rPr>
              <w:t>数</w:t>
            </w:r>
            <w:r>
              <w:rPr>
                <w:rStyle w:val="translated-span"/>
                <w:rFonts w:ascii="Cambria" w:hAnsi="Cambria"/>
                <w:i/>
                <w:iCs/>
                <w:sz w:val="16"/>
                <w:szCs w:val="16"/>
              </w:rPr>
              <w:t>j</w:t>
            </w:r>
          </w:p>
        </w:tc>
      </w:tr>
      <w:tr w:rsidR="00000000">
        <w:trPr>
          <w:trHeight w:val="376"/>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4" w:firstLine="0"/>
              <w:jc w:val="center"/>
            </w:pPr>
            <w:r>
              <w:rPr>
                <w:rStyle w:val="translated-span"/>
                <w:rFonts w:ascii="Cambria" w:hAnsi="Cambria"/>
                <w:sz w:val="16"/>
                <w:szCs w:val="16"/>
              </w:rPr>
              <w:t>（</w:t>
            </w:r>
            <w:r>
              <w:rPr>
                <w:rStyle w:val="translated-span"/>
                <w:rFonts w:ascii="Cambria" w:hAnsi="Cambria"/>
                <w:sz w:val="16"/>
                <w:szCs w:val="16"/>
              </w:rPr>
              <w:t>sk00</w:t>
            </w:r>
            <w:r>
              <w:rPr>
                <w:rStyle w:val="translated-span"/>
                <w:rFonts w:ascii="Cambria" w:hAnsi="Cambria"/>
                <w:sz w:val="16"/>
                <w:szCs w:val="16"/>
              </w:rPr>
              <w:t>）</w:t>
            </w:r>
            <w:r>
              <w:rPr>
                <w:rStyle w:val="translated-span"/>
                <w:rFonts w:ascii="Cambria" w:hAnsi="Cambria"/>
                <w:i/>
                <w:iCs/>
                <w:sz w:val="12"/>
                <w:szCs w:val="12"/>
              </w:rPr>
              <w:t>我</w:t>
            </w:r>
            <w:r>
              <w:rPr>
                <w:rStyle w:val="translated-span"/>
                <w:rFonts w:ascii="Cambria" w:hAnsi="Cambria"/>
                <w:i/>
                <w:iCs/>
                <w:sz w:val="16"/>
                <w:szCs w:val="16"/>
              </w:rPr>
              <w:t>，</w:t>
            </w:r>
            <w:r>
              <w:rPr>
                <w:rStyle w:val="translated-span"/>
                <w:rFonts w:ascii="Cambria" w:hAnsi="Cambria"/>
                <w:i/>
                <w:iCs/>
                <w:sz w:val="16"/>
                <w:szCs w:val="16"/>
              </w:rPr>
              <w:t>p</w:t>
            </w:r>
            <w:r>
              <w:rPr>
                <w:rStyle w:val="translated-span"/>
                <w:rFonts w:ascii="Cambria" w:hAnsi="Cambria"/>
                <w:i/>
                <w:iCs/>
                <w:sz w:val="16"/>
                <w:szCs w:val="16"/>
              </w:rPr>
              <w:t>k</w:t>
            </w:r>
            <w:r>
              <w:rPr>
                <w:rStyle w:val="translated-span"/>
                <w:rFonts w:ascii="Cambria" w:hAnsi="Cambria"/>
                <w:i/>
                <w:iCs/>
                <w:sz w:val="12"/>
                <w:szCs w:val="12"/>
              </w:rPr>
              <w:t>我</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分别用于签名和验证的方密钥</w:t>
            </w:r>
            <w:r>
              <w:rPr>
                <w:rStyle w:val="translated-span"/>
                <w:sz w:val="16"/>
                <w:szCs w:val="16"/>
              </w:rPr>
              <w:t>对</w:t>
            </w:r>
            <w:r>
              <w:rPr>
                <w:rStyle w:val="translated-span"/>
                <w:rFonts w:ascii="Cambria" w:hAnsi="Cambria"/>
                <w:i/>
                <w:iCs/>
                <w:sz w:val="16"/>
                <w:szCs w:val="16"/>
              </w:rPr>
              <w:t>我</w:t>
            </w:r>
          </w:p>
        </w:tc>
      </w:tr>
      <w:tr w:rsidR="00000000">
        <w:trPr>
          <w:trHeight w:val="36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4" w:firstLine="0"/>
              <w:jc w:val="center"/>
            </w:pPr>
            <w:r>
              <w:rPr>
                <w:rStyle w:val="translated-span"/>
                <w:rFonts w:ascii="Cambria" w:hAnsi="Cambria"/>
                <w:i/>
                <w:iCs/>
                <w:sz w:val="16"/>
                <w:szCs w:val="16"/>
              </w:rPr>
              <w:t>基</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pPr>
            <w:r>
              <w:rPr>
                <w:rStyle w:val="translated-span"/>
                <w:sz w:val="16"/>
                <w:szCs w:val="16"/>
              </w:rPr>
              <w:t>方的密钥流用于第一层三层洋葱式加</w:t>
            </w:r>
            <w:r>
              <w:rPr>
                <w:rStyle w:val="translated-span"/>
                <w:sz w:val="16"/>
                <w:szCs w:val="16"/>
              </w:rPr>
              <w:t>密</w:t>
            </w:r>
            <w:r>
              <w:rPr>
                <w:rStyle w:val="translated-span"/>
                <w:rFonts w:ascii="Cambria" w:hAnsi="Cambria"/>
                <w:i/>
                <w:iCs/>
                <w:sz w:val="16"/>
                <w:szCs w:val="16"/>
              </w:rPr>
              <w:t>我</w:t>
            </w:r>
          </w:p>
        </w:tc>
      </w:tr>
      <w:tr w:rsidR="00000000">
        <w:trPr>
          <w:trHeight w:val="36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8" w:firstLine="0"/>
              <w:jc w:val="center"/>
            </w:pPr>
            <w:r>
              <w:rPr>
                <w:rStyle w:val="translated-span"/>
                <w:rFonts w:ascii="Cambria" w:hAnsi="Cambria"/>
                <w:i/>
                <w:iCs/>
                <w:sz w:val="16"/>
                <w:szCs w:val="16"/>
              </w:rPr>
              <w:t>fsk</w:t>
            </w:r>
            <w:r>
              <w:rPr>
                <w:rStyle w:val="translated-span"/>
                <w:rFonts w:ascii="Cambria" w:hAnsi="Cambria"/>
                <w:i/>
                <w:iCs/>
                <w:sz w:val="16"/>
                <w:szCs w:val="16"/>
              </w:rPr>
              <w:t>公</w:t>
            </w:r>
            <w:r>
              <w:rPr>
                <w:rStyle w:val="translated-span"/>
                <w:rFonts w:ascii="Cambria" w:hAnsi="Cambria"/>
                <w:i/>
                <w:iCs/>
                <w:sz w:val="16"/>
                <w:szCs w:val="16"/>
              </w:rPr>
              <w:t>司</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pPr>
            <w:r>
              <w:rPr>
                <w:rStyle w:val="translated-span"/>
                <w:sz w:val="16"/>
                <w:szCs w:val="16"/>
              </w:rPr>
              <w:t>新鲜对称加密密钥用于第二层三层洋葱式加</w:t>
            </w:r>
            <w:r>
              <w:rPr>
                <w:rStyle w:val="translated-span"/>
                <w:sz w:val="16"/>
                <w:szCs w:val="16"/>
              </w:rPr>
              <w:t>密</w:t>
            </w:r>
          </w:p>
        </w:tc>
      </w:tr>
      <w:tr w:rsidR="00000000">
        <w:trPr>
          <w:trHeight w:val="36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4" w:firstLine="0"/>
              <w:jc w:val="center"/>
            </w:pPr>
            <w:r>
              <w:rPr>
                <w:rStyle w:val="translated-span"/>
                <w:rFonts w:ascii="Cambria" w:hAnsi="Cambria"/>
                <w:sz w:val="16"/>
                <w:szCs w:val="16"/>
              </w:rPr>
              <w:t>（滑雪、</w:t>
            </w:r>
            <w:r>
              <w:rPr>
                <w:rStyle w:val="translated-span"/>
                <w:rFonts w:ascii="Cambria" w:hAnsi="Cambria"/>
                <w:sz w:val="16"/>
                <w:szCs w:val="16"/>
              </w:rPr>
              <w:t>pki</w:t>
            </w:r>
            <w:r>
              <w:rPr>
                <w:rStyle w:val="translated-span"/>
                <w:rFonts w:ascii="Cambria" w:hAnsi="Cambria"/>
                <w:sz w:val="16"/>
                <w:szCs w:val="16"/>
              </w:rPr>
              <w:t>）</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pPr>
            <w:r>
              <w:rPr>
                <w:rStyle w:val="translated-span"/>
                <w:sz w:val="16"/>
                <w:szCs w:val="16"/>
              </w:rPr>
              <w:t>用于解密和加密的第三层三层洋葱式加密的密钥</w:t>
            </w:r>
            <w:r>
              <w:rPr>
                <w:rStyle w:val="translated-span"/>
                <w:sz w:val="16"/>
                <w:szCs w:val="16"/>
              </w:rPr>
              <w:t>对</w:t>
            </w:r>
            <w:r>
              <w:rPr>
                <w:rStyle w:val="translated-span"/>
                <w:rFonts w:ascii="Cambria" w:hAnsi="Cambria"/>
                <w:i/>
                <w:iCs/>
                <w:sz w:val="16"/>
                <w:szCs w:val="16"/>
              </w:rPr>
              <w:t>我</w:t>
            </w:r>
          </w:p>
        </w:tc>
      </w:tr>
      <w:tr w:rsidR="00000000">
        <w:trPr>
          <w:trHeight w:val="18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4" w:firstLine="0"/>
              <w:jc w:val="center"/>
            </w:pPr>
            <w:r>
              <w:rPr>
                <w:rStyle w:val="translated-span"/>
                <w:rFonts w:ascii="Cambria" w:hAnsi="Cambria"/>
                <w:i/>
                <w:iCs/>
                <w:sz w:val="16"/>
                <w:szCs w:val="16"/>
              </w:rPr>
              <w:t>Enc</w:t>
            </w:r>
            <w:r>
              <w:rPr>
                <w:rStyle w:val="translated-span"/>
                <w:rFonts w:ascii="Cambria" w:hAnsi="Cambria"/>
                <w:i/>
                <w:iCs/>
                <w:sz w:val="16"/>
                <w:szCs w:val="16"/>
              </w:rPr>
              <w:t>公</w:t>
            </w:r>
            <w:r>
              <w:rPr>
                <w:rStyle w:val="translated-span"/>
                <w:rFonts w:ascii="Cambria" w:hAnsi="Cambria"/>
                <w:i/>
                <w:iCs/>
                <w:sz w:val="16"/>
                <w:szCs w:val="16"/>
              </w:rPr>
              <w:t>司</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同态加</w:t>
            </w:r>
            <w:r>
              <w:rPr>
                <w:rStyle w:val="translated-span"/>
                <w:sz w:val="16"/>
                <w:szCs w:val="16"/>
              </w:rPr>
              <w:t>密</w:t>
            </w:r>
          </w:p>
        </w:tc>
      </w:tr>
      <w:tr w:rsidR="00000000">
        <w:trPr>
          <w:trHeight w:val="18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4" w:firstLine="0"/>
              <w:jc w:val="center"/>
            </w:pPr>
            <w:r>
              <w:rPr>
                <w:rStyle w:val="translated-span"/>
                <w:rFonts w:ascii="Cambria" w:hAnsi="Cambria"/>
                <w:i/>
                <w:iCs/>
                <w:sz w:val="16"/>
                <w:szCs w:val="16"/>
              </w:rPr>
              <w:t>森</w:t>
            </w:r>
            <w:r>
              <w:rPr>
                <w:rStyle w:val="translated-span"/>
                <w:rFonts w:ascii="Cambria" w:hAnsi="Cambria"/>
                <w:i/>
                <w:iCs/>
                <w:sz w:val="16"/>
                <w:szCs w:val="16"/>
              </w:rPr>
              <w:t>克</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对称密钥加</w:t>
            </w:r>
            <w:r>
              <w:rPr>
                <w:rStyle w:val="translated-span"/>
                <w:sz w:val="16"/>
                <w:szCs w:val="16"/>
              </w:rPr>
              <w:t>密</w:t>
            </w:r>
          </w:p>
        </w:tc>
      </w:tr>
      <w:tr w:rsidR="00000000">
        <w:trPr>
          <w:trHeight w:val="18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4" w:firstLine="0"/>
              <w:jc w:val="center"/>
            </w:pPr>
            <w:r>
              <w:rPr>
                <w:rStyle w:val="translated-span"/>
                <w:rFonts w:ascii="Cambria" w:hAnsi="Cambria"/>
                <w:i/>
                <w:iCs/>
                <w:sz w:val="16"/>
                <w:szCs w:val="16"/>
              </w:rPr>
              <w:t>Aenc</w:t>
            </w:r>
            <w:r>
              <w:rPr>
                <w:rStyle w:val="translated-span"/>
                <w:rFonts w:ascii="Cambria" w:hAnsi="Cambria"/>
                <w:i/>
                <w:iCs/>
                <w:sz w:val="16"/>
                <w:szCs w:val="16"/>
              </w:rPr>
              <w:t>公</w:t>
            </w:r>
            <w:r>
              <w:rPr>
                <w:rStyle w:val="translated-span"/>
                <w:rFonts w:ascii="Cambria" w:hAnsi="Cambria"/>
                <w:i/>
                <w:iCs/>
                <w:sz w:val="16"/>
                <w:szCs w:val="16"/>
              </w:rPr>
              <w:t>司</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公钥加</w:t>
            </w:r>
            <w:r>
              <w:rPr>
                <w:rStyle w:val="translated-span"/>
                <w:sz w:val="16"/>
                <w:szCs w:val="16"/>
              </w:rPr>
              <w:t>密</w:t>
            </w:r>
          </w:p>
        </w:tc>
      </w:tr>
      <w:tr w:rsidR="00000000">
        <w:trPr>
          <w:trHeight w:val="180"/>
        </w:trPr>
        <w:tc>
          <w:tcPr>
            <w:tcW w:w="1026" w:type="dxa"/>
            <w:tcBorders>
              <w:top w:val="nil"/>
              <w:left w:val="nil"/>
              <w:bottom w:val="nil"/>
              <w:right w:val="single" w:sz="8" w:space="0" w:color="000000"/>
            </w:tcBorders>
            <w:tcMar>
              <w:top w:w="0" w:type="dxa"/>
              <w:left w:w="120" w:type="dxa"/>
              <w:bottom w:w="0" w:type="dxa"/>
              <w:right w:w="120" w:type="dxa"/>
            </w:tcMar>
            <w:hideMark/>
          </w:tcPr>
          <w:p w:rsidR="00000000" w:rsidRDefault="00A52409">
            <w:pPr>
              <w:spacing w:after="0" w:line="256" w:lineRule="auto"/>
              <w:ind w:right="13" w:firstLine="0"/>
              <w:jc w:val="center"/>
            </w:pPr>
            <w:r>
              <w:rPr>
                <w:rStyle w:val="translated-span"/>
                <w:rFonts w:ascii="Cambria" w:hAnsi="Cambria"/>
                <w:i/>
                <w:iCs/>
                <w:sz w:val="16"/>
                <w:szCs w:val="16"/>
              </w:rPr>
              <w:t>E</w:t>
            </w:r>
          </w:p>
        </w:tc>
        <w:tc>
          <w:tcPr>
            <w:tcW w:w="4014" w:type="dxa"/>
            <w:tcBorders>
              <w:top w:val="nil"/>
              <w:left w:val="nil"/>
              <w:bottom w:val="nil"/>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每轮本地训练时</w:t>
            </w:r>
            <w:r>
              <w:rPr>
                <w:rStyle w:val="translated-span"/>
                <w:sz w:val="16"/>
                <w:szCs w:val="16"/>
              </w:rPr>
              <w:t>数</w:t>
            </w:r>
          </w:p>
        </w:tc>
      </w:tr>
      <w:tr w:rsidR="00000000">
        <w:trPr>
          <w:trHeight w:val="183"/>
        </w:trPr>
        <w:tc>
          <w:tcPr>
            <w:tcW w:w="1026" w:type="dxa"/>
            <w:tcBorders>
              <w:top w:val="nil"/>
              <w:left w:val="nil"/>
              <w:bottom w:val="single" w:sz="8" w:space="0" w:color="000000"/>
              <w:right w:val="single" w:sz="8" w:space="0" w:color="000000"/>
            </w:tcBorders>
            <w:tcMar>
              <w:top w:w="0" w:type="dxa"/>
              <w:left w:w="120" w:type="dxa"/>
              <w:bottom w:w="0" w:type="dxa"/>
              <w:right w:w="120" w:type="dxa"/>
            </w:tcMar>
            <w:hideMark/>
          </w:tcPr>
          <w:p w:rsidR="00000000" w:rsidRDefault="00A52409">
            <w:pPr>
              <w:spacing w:after="0" w:line="256" w:lineRule="auto"/>
              <w:ind w:right="9" w:firstLine="0"/>
              <w:jc w:val="center"/>
            </w:pPr>
            <w:r>
              <w:rPr>
                <w:rStyle w:val="translated-span"/>
                <w:rFonts w:ascii="Cambria" w:hAnsi="Cambria"/>
                <w:i/>
                <w:iCs/>
                <w:sz w:val="16"/>
                <w:szCs w:val="16"/>
              </w:rPr>
              <w:t>B</w:t>
            </w:r>
            <w:r>
              <w:rPr>
                <w:rStyle w:val="translated-span"/>
                <w:rFonts w:ascii="Cambria" w:hAnsi="Cambria"/>
                <w:i/>
                <w:iCs/>
                <w:sz w:val="16"/>
                <w:szCs w:val="16"/>
              </w:rPr>
              <w:t>、</w:t>
            </w:r>
            <w:r>
              <w:rPr>
                <w:rStyle w:val="translated-span"/>
                <w:rFonts w:ascii="Cambria" w:hAnsi="Cambria"/>
                <w:i/>
                <w:iCs/>
                <w:sz w:val="16"/>
                <w:szCs w:val="16"/>
              </w:rPr>
              <w:t xml:space="preserve"> lr</w:t>
            </w:r>
            <w:r>
              <w:rPr>
                <w:rStyle w:val="translated-span"/>
                <w:rFonts w:ascii="Cambria" w:hAnsi="Cambria"/>
                <w:i/>
                <w:iCs/>
                <w:sz w:val="16"/>
                <w:szCs w:val="16"/>
              </w:rPr>
              <w:t>公</w:t>
            </w:r>
            <w:r>
              <w:rPr>
                <w:rStyle w:val="translated-span"/>
                <w:rFonts w:ascii="Cambria" w:hAnsi="Cambria"/>
                <w:i/>
                <w:iCs/>
                <w:sz w:val="16"/>
                <w:szCs w:val="16"/>
              </w:rPr>
              <w:t>司</w:t>
            </w:r>
          </w:p>
        </w:tc>
        <w:tc>
          <w:tcPr>
            <w:tcW w:w="4014" w:type="dxa"/>
            <w:tcBorders>
              <w:top w:val="nil"/>
              <w:left w:val="nil"/>
              <w:bottom w:val="single" w:sz="8" w:space="0" w:color="000000"/>
              <w:right w:val="nil"/>
            </w:tcBorders>
            <w:tcMar>
              <w:top w:w="0" w:type="dxa"/>
              <w:left w:w="120" w:type="dxa"/>
              <w:bottom w:w="0" w:type="dxa"/>
              <w:right w:w="120" w:type="dxa"/>
            </w:tcMar>
            <w:hideMark/>
          </w:tcPr>
          <w:p w:rsidR="00000000" w:rsidRDefault="00A52409">
            <w:pPr>
              <w:spacing w:after="0" w:line="256" w:lineRule="auto"/>
              <w:ind w:left="4" w:firstLine="0"/>
              <w:jc w:val="left"/>
            </w:pPr>
            <w:r>
              <w:rPr>
                <w:rStyle w:val="translated-span"/>
                <w:sz w:val="16"/>
                <w:szCs w:val="16"/>
              </w:rPr>
              <w:t>本地批大小、本地学习</w:t>
            </w:r>
            <w:r>
              <w:rPr>
                <w:rStyle w:val="translated-span"/>
                <w:sz w:val="16"/>
                <w:szCs w:val="16"/>
              </w:rPr>
              <w:t>率</w:t>
            </w:r>
          </w:p>
        </w:tc>
      </w:tr>
    </w:tbl>
    <w:p w:rsidR="00000000" w:rsidRDefault="00A52409">
      <w:pPr>
        <w:spacing w:after="539" w:line="256" w:lineRule="auto"/>
        <w:ind w:firstLine="0"/>
        <w:jc w:val="left"/>
      </w:pPr>
      <w:r>
        <w:rPr>
          <w:noProof/>
          <w:sz w:val="22"/>
          <w:szCs w:val="22"/>
        </w:rPr>
        <w:drawing>
          <wp:inline distT="0" distB="0" distL="0" distR="0">
            <wp:extent cx="3209925" cy="9525"/>
            <wp:effectExtent l="0" t="0" r="0" b="0"/>
            <wp:docPr id="8" name="Group 15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950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209925" cy="9525"/>
                    </a:xfrm>
                    <a:prstGeom prst="rect">
                      <a:avLst/>
                    </a:prstGeom>
                    <a:noFill/>
                    <a:ln>
                      <a:noFill/>
                    </a:ln>
                  </pic:spPr>
                </pic:pic>
              </a:graphicData>
            </a:graphic>
          </wp:inline>
        </w:drawing>
      </w:r>
    </w:p>
    <w:p w:rsidR="00000000" w:rsidRDefault="00A52409">
      <w:pPr>
        <w:pStyle w:val="2"/>
        <w:ind w:left="439" w:hanging="454"/>
      </w:pPr>
      <w:r>
        <w:t>4.1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设计目</w:t>
      </w:r>
      <w:r>
        <w:rPr>
          <w:rStyle w:val="translated-span"/>
        </w:rPr>
        <w:t>标</w:t>
      </w:r>
    </w:p>
    <w:p w:rsidR="00000000" w:rsidRDefault="00A52409">
      <w:pPr>
        <w:pStyle w:val="3"/>
        <w:ind w:left="598" w:hanging="613"/>
      </w:pPr>
      <w:r>
        <w:t>4.1.1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隐私保</w:t>
      </w:r>
      <w:r>
        <w:rPr>
          <w:rStyle w:val="translated-span"/>
        </w:rPr>
        <w:t>护</w:t>
      </w:r>
    </w:p>
    <w:p w:rsidR="00000000" w:rsidRDefault="00A52409">
      <w:pPr>
        <w:spacing w:after="228"/>
        <w:ind w:left="-15" w:firstLine="0"/>
      </w:pPr>
      <w:r>
        <w:rPr>
          <w:rStyle w:val="translated-span"/>
        </w:rPr>
        <w:t>在</w:t>
      </w:r>
      <w:r>
        <w:rPr>
          <w:rStyle w:val="translated-span"/>
        </w:rPr>
        <w:t>FPPDL</w:t>
      </w:r>
      <w:r>
        <w:rPr>
          <w:rStyle w:val="translated-span"/>
        </w:rPr>
        <w:t>中，我们假设双方不信任对方或任何第三方</w:t>
      </w:r>
      <w:r>
        <w:rPr>
          <w:rStyle w:val="translated-span"/>
        </w:rPr>
        <w:t>。</w:t>
      </w:r>
      <w:r>
        <w:rPr>
          <w:rStyle w:val="translated-span"/>
        </w:rPr>
        <w:t>因此，在没有隐私保护承诺的情况下，当培训一个联合模型时，各方可能不愿意共享他们的信息</w:t>
      </w:r>
      <w:r>
        <w:rPr>
          <w:rStyle w:val="translated-span"/>
        </w:rPr>
        <w:t>。</w:t>
      </w:r>
      <w:r>
        <w:rPr>
          <w:rStyle w:val="translated-span"/>
        </w:rPr>
        <w:t>在</w:t>
      </w:r>
      <w:r>
        <w:rPr>
          <w:rStyle w:val="translated-span"/>
        </w:rPr>
        <w:t>FPPDL</w:t>
      </w:r>
      <w:r>
        <w:rPr>
          <w:rStyle w:val="translated-span"/>
        </w:rPr>
        <w:t>中，各方不共享原始数据或模型参数，而是利用差异私有</w:t>
      </w:r>
      <w:r>
        <w:rPr>
          <w:rStyle w:val="translated-span"/>
        </w:rPr>
        <w:t>GAN</w:t>
      </w:r>
      <w:r>
        <w:rPr>
          <w:rStyle w:val="translated-span"/>
        </w:rPr>
        <w:t>（</w:t>
      </w:r>
      <w:r>
        <w:rPr>
          <w:rStyle w:val="translated-span"/>
        </w:rPr>
        <w:t>DPGAN</w:t>
      </w:r>
      <w:r>
        <w:rPr>
          <w:rStyle w:val="translated-span"/>
        </w:rPr>
        <w:t>）发布差异私有本地样本，以便在初始基准测试阶段进行相互评估</w:t>
      </w:r>
      <w:r>
        <w:rPr>
          <w:rStyle w:val="translated-span"/>
        </w:rPr>
        <w:t>。</w:t>
      </w:r>
      <w:r>
        <w:rPr>
          <w:rStyle w:val="translated-span"/>
        </w:rPr>
        <w:t>然后，他们使用提出的三层</w:t>
      </w:r>
      <w:r>
        <w:rPr>
          <w:rStyle w:val="translated-span"/>
        </w:rPr>
        <w:t>onionstyle</w:t>
      </w:r>
      <w:r>
        <w:rPr>
          <w:rStyle w:val="translated-span"/>
        </w:rPr>
        <w:t>加密方案对共享梯度进行加密，以在协作深度模型训练期间保护隐私</w:t>
      </w:r>
      <w:r>
        <w:rPr>
          <w:rStyle w:val="translated-span"/>
        </w:rPr>
        <w:t>。</w:t>
      </w:r>
    </w:p>
    <w:p w:rsidR="00000000" w:rsidRDefault="00A52409">
      <w:pPr>
        <w:pStyle w:val="3"/>
        <w:ind w:left="598" w:hanging="613"/>
      </w:pPr>
      <w:r>
        <w:t>4.1.2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公</w:t>
      </w:r>
      <w:r>
        <w:rPr>
          <w:rStyle w:val="translated-span"/>
        </w:rPr>
        <w:t>平</w:t>
      </w:r>
    </w:p>
    <w:p w:rsidR="00000000" w:rsidRDefault="00A52409">
      <w:pPr>
        <w:spacing w:after="123"/>
        <w:ind w:left="-15" w:firstLine="0"/>
      </w:pPr>
      <w:r>
        <w:rPr>
          <w:rStyle w:val="translated-span"/>
        </w:rPr>
        <w:t>由于我们在这里的重点是根据</w:t>
      </w:r>
      <w:r>
        <w:rPr>
          <w:rStyle w:val="translated-span"/>
        </w:rPr>
        <w:t>参与者的贡献向参与者分发最终</w:t>
      </w:r>
      <w:r>
        <w:rPr>
          <w:rStyle w:val="translated-span"/>
        </w:rPr>
        <w:t>FL</w:t>
      </w:r>
      <w:r>
        <w:rPr>
          <w:rStyle w:val="translated-span"/>
        </w:rPr>
        <w:t>模型的不同变体，因此与我们的目的最相关的公平概念是通过意识实现公平</w:t>
      </w:r>
      <w:r>
        <w:rPr>
          <w:rStyle w:val="translated-span"/>
        </w:rPr>
        <w:t>。</w:t>
      </w:r>
      <w:r>
        <w:rPr>
          <w:rStyle w:val="translated-span"/>
        </w:rPr>
        <w:t>在这个概念下，在为特定任务定义的相似性度量方面相似的个体应该得到相似的结果</w:t>
      </w:r>
      <w:r>
        <w:rPr>
          <w:rStyle w:val="translated-span"/>
        </w:rPr>
        <w:t>[36]</w:t>
      </w:r>
      <w:r>
        <w:rPr>
          <w:rStyle w:val="translated-span"/>
        </w:rPr>
        <w:t>。</w:t>
      </w:r>
      <w:r>
        <w:rPr>
          <w:rStyle w:val="translated-span"/>
        </w:rPr>
        <w:t>高贡献的党应该得到比低贡献党更多的奖励</w:t>
      </w:r>
      <w:r>
        <w:rPr>
          <w:rStyle w:val="translated-span"/>
        </w:rPr>
        <w:t>。</w:t>
      </w:r>
      <w:r>
        <w:rPr>
          <w:rStyle w:val="translated-span"/>
        </w:rPr>
        <w:t>此外，我们还明确指出，低贡献方并非恶意的，即他们诚实地遵守协议，以从其他方的数据中获益为目标，但贡献很少，甚至几乎没有贡献或消极贡献</w:t>
      </w:r>
      <w:r>
        <w:rPr>
          <w:rStyle w:val="translated-span"/>
        </w:rPr>
        <w:t>。</w:t>
      </w:r>
      <w:r>
        <w:rPr>
          <w:rStyle w:val="translated-span"/>
        </w:rPr>
        <w:t>在协作模型培训场景下，我们将协作公平定义为</w:t>
      </w:r>
      <w:r>
        <w:rPr>
          <w:rStyle w:val="translated-span"/>
        </w:rPr>
        <w:t>：</w:t>
      </w:r>
    </w:p>
    <w:p w:rsidR="00000000" w:rsidRDefault="00A52409">
      <w:pPr>
        <w:spacing w:after="89" w:line="249" w:lineRule="auto"/>
        <w:ind w:left="-5" w:hanging="10"/>
      </w:pPr>
      <w:r>
        <w:rPr>
          <w:rStyle w:val="translated-span"/>
          <w:b/>
          <w:bCs/>
        </w:rPr>
        <w:t>定义</w:t>
      </w:r>
      <w:r>
        <w:rPr>
          <w:rStyle w:val="translated-span"/>
          <w:b/>
          <w:bCs/>
        </w:rPr>
        <w:t>2</w:t>
      </w:r>
      <w:r>
        <w:rPr>
          <w:rStyle w:val="translated-span"/>
          <w:b/>
          <w:bCs/>
        </w:rPr>
        <w:t>。</w:t>
      </w:r>
      <w:r>
        <w:rPr>
          <w:rStyle w:val="translated-span"/>
          <w:i/>
          <w:iCs/>
        </w:rPr>
        <w:t>合作公平</w:t>
      </w:r>
      <w:r>
        <w:rPr>
          <w:rStyle w:val="translated-span"/>
          <w:i/>
          <w:iCs/>
        </w:rPr>
        <w:t>。</w:t>
      </w:r>
      <w:r>
        <w:rPr>
          <w:rStyle w:val="translated-span"/>
          <w:i/>
          <w:iCs/>
        </w:rPr>
        <w:t>在协作学习系统中，高贡献方理应获得比低贡献方更好的本地模型</w:t>
      </w:r>
      <w:r>
        <w:rPr>
          <w:rStyle w:val="translated-span"/>
          <w:i/>
          <w:iCs/>
        </w:rPr>
        <w:t>。</w:t>
      </w:r>
      <w:r>
        <w:rPr>
          <w:rStyle w:val="translated-span"/>
          <w:i/>
          <w:iCs/>
        </w:rPr>
        <w:t>特别地，在</w:t>
      </w:r>
      <w:r>
        <w:rPr>
          <w:rStyle w:val="translated-span"/>
          <w:i/>
          <w:iCs/>
        </w:rPr>
        <w:t>IID</w:t>
      </w:r>
      <w:r>
        <w:rPr>
          <w:rStyle w:val="translated-span"/>
          <w:i/>
          <w:iCs/>
        </w:rPr>
        <w:t>环境下，公平性</w:t>
      </w:r>
      <w:r>
        <w:rPr>
          <w:rStyle w:val="translated-span"/>
          <w:i/>
          <w:iCs/>
        </w:rPr>
        <w:t>可以通过各方贡献与其各自最终模型精度之间的相关系数来量化</w:t>
      </w:r>
      <w:r>
        <w:rPr>
          <w:rStyle w:val="translated-span"/>
          <w:i/>
          <w:iCs/>
        </w:rPr>
        <w:t>。</w:t>
      </w:r>
    </w:p>
    <w:p w:rsidR="00000000" w:rsidRDefault="00A52409">
      <w:pPr>
        <w:ind w:left="-15"/>
      </w:pPr>
      <w:r>
        <w:rPr>
          <w:rStyle w:val="translated-span"/>
        </w:rPr>
        <w:t>考虑到这两个目标，我们设计了一个本地可信度互评机制，以加强</w:t>
      </w:r>
      <w:r>
        <w:rPr>
          <w:rStyle w:val="translated-span"/>
        </w:rPr>
        <w:t>FPPDL</w:t>
      </w:r>
      <w:r>
        <w:rPr>
          <w:rStyle w:val="translated-span"/>
        </w:rPr>
        <w:t>中的公平性，即参与者使用他们的</w:t>
      </w:r>
      <w:r>
        <w:rPr>
          <w:rStyle w:val="translated-span"/>
        </w:rPr>
        <w:t>“</w:t>
      </w:r>
      <w:r>
        <w:rPr>
          <w:rStyle w:val="translated-span"/>
        </w:rPr>
        <w:t>积分</w:t>
      </w:r>
      <w:r>
        <w:rPr>
          <w:rStyle w:val="translated-span"/>
        </w:rPr>
        <w:t>”</w:t>
      </w:r>
      <w:r>
        <w:rPr>
          <w:rStyle w:val="translated-span"/>
        </w:rPr>
        <w:t>以</w:t>
      </w:r>
      <w:r>
        <w:rPr>
          <w:rStyle w:val="translated-span"/>
        </w:rPr>
        <w:t>“</w:t>
      </w:r>
      <w:r>
        <w:rPr>
          <w:rStyle w:val="translated-span"/>
        </w:rPr>
        <w:t>赚取并支付</w:t>
      </w:r>
      <w:r>
        <w:rPr>
          <w:rStyle w:val="translated-span"/>
        </w:rPr>
        <w:t>”</w:t>
      </w:r>
      <w:r>
        <w:rPr>
          <w:rStyle w:val="translated-span"/>
        </w:rPr>
        <w:t>的方式交换信息</w:t>
      </w:r>
      <w:r>
        <w:rPr>
          <w:rStyle w:val="translated-span"/>
        </w:rPr>
        <w:t>。</w:t>
      </w:r>
      <w:r>
        <w:rPr>
          <w:rStyle w:val="translated-span"/>
        </w:rPr>
        <w:t>每个参与者的本地可信度和点数通过初始基准测试阶段初始化，并通过保留隐私的协作深层模型培训进行更新</w:t>
      </w:r>
      <w:r>
        <w:rPr>
          <w:rStyle w:val="translated-span"/>
        </w:rPr>
        <w:t>。</w:t>
      </w:r>
    </w:p>
    <w:p w:rsidR="00000000" w:rsidRDefault="00A52409">
      <w:pPr>
        <w:spacing w:after="124"/>
        <w:ind w:left="-15"/>
      </w:pPr>
      <w:r>
        <w:rPr>
          <w:rStyle w:val="translated-span"/>
        </w:rPr>
        <w:t>其基本思想是参与者可以通过向其他参与者提供他们的信息来获得积分</w:t>
      </w:r>
      <w:r>
        <w:rPr>
          <w:rStyle w:val="translated-span"/>
        </w:rPr>
        <w:t>。</w:t>
      </w:r>
      <w:r>
        <w:rPr>
          <w:rStyle w:val="translated-span"/>
        </w:rPr>
        <w:t>然后，他们可以使用所获得的积分与其他参与者交换信息</w:t>
      </w:r>
      <w:r>
        <w:rPr>
          <w:rStyle w:val="translated-span"/>
        </w:rPr>
        <w:t>。</w:t>
      </w:r>
      <w:r>
        <w:rPr>
          <w:rStyle w:val="translated-span"/>
        </w:rPr>
        <w:t>因此，鼓励参与者上传更多的样本或梯度来获得更多的分数（只要在共享级别的限制之内），并使用这些点从</w:t>
      </w:r>
      <w:r>
        <w:rPr>
          <w:rStyle w:val="translated-span"/>
        </w:rPr>
        <w:t>其他人那里下载更多的梯度</w:t>
      </w:r>
      <w:r>
        <w:rPr>
          <w:rStyle w:val="translated-span"/>
        </w:rPr>
        <w:t>。</w:t>
      </w:r>
      <w:r>
        <w:rPr>
          <w:rStyle w:val="translated-span"/>
        </w:rPr>
        <w:t>所有交易都被记录为区块链中不可变的交易，从而提供透明度和可审计性</w:t>
      </w:r>
      <w:r>
        <w:rPr>
          <w:rStyle w:val="translated-span"/>
        </w:rPr>
        <w:t>。</w:t>
      </w:r>
      <w:r>
        <w:rPr>
          <w:rStyle w:val="translated-span"/>
        </w:rPr>
        <w:t>尤其是，</w:t>
      </w:r>
      <w:r>
        <w:rPr>
          <w:rStyle w:val="translated-span"/>
        </w:rPr>
        <w:t>FPPDL</w:t>
      </w:r>
      <w:r>
        <w:rPr>
          <w:rStyle w:val="translated-span"/>
        </w:rPr>
        <w:t>确保下载和上传过程的公平性，如下所示</w:t>
      </w:r>
      <w:r>
        <w:rPr>
          <w:rStyle w:val="translated-span"/>
        </w:rPr>
        <w:t>：</w:t>
      </w:r>
    </w:p>
    <w:p w:rsidR="00000000" w:rsidRDefault="00A52409">
      <w:pPr>
        <w:ind w:left="595" w:hanging="310"/>
      </w:pPr>
      <w:r>
        <w:rPr>
          <w:rStyle w:val="translated-span"/>
          <w:rFonts w:ascii="Cambria" w:hAnsi="Cambria"/>
          <w:sz w:val="14"/>
          <w:szCs w:val="14"/>
        </w:rPr>
        <w:t>•</w:t>
      </w:r>
      <w:r>
        <w:rPr>
          <w:rStyle w:val="translated-span"/>
          <w:rFonts w:ascii="Cambria" w:hAnsi="Cambria"/>
          <w:sz w:val="14"/>
          <w:szCs w:val="14"/>
        </w:rPr>
        <w:t>：由于一方可能对不同的当事方作出不同的贡献，因此该方的信誉可能与不同方的观点不同</w:t>
      </w:r>
      <w:r>
        <w:rPr>
          <w:rStyle w:val="translated-span"/>
          <w:rFonts w:ascii="Cambria" w:hAnsi="Cambria"/>
          <w:sz w:val="14"/>
          <w:szCs w:val="14"/>
        </w:rPr>
        <w:t>。</w:t>
      </w:r>
      <w:r>
        <w:rPr>
          <w:rStyle w:val="translated-span"/>
          <w:rFonts w:ascii="Cambria" w:hAnsi="Cambria"/>
          <w:sz w:val="14"/>
          <w:szCs w:val="14"/>
        </w:rPr>
        <w:t>因此，每一方记录一个私有的本地可信列表，该列表按可信值的降序排序</w:t>
      </w:r>
      <w:r>
        <w:rPr>
          <w:rStyle w:val="translated-span"/>
          <w:rFonts w:ascii="Cambria" w:hAnsi="Cambria"/>
          <w:sz w:val="14"/>
          <w:szCs w:val="14"/>
        </w:rPr>
        <w:t>。</w:t>
      </w:r>
      <w:r>
        <w:rPr>
          <w:rStyle w:val="translated-span"/>
          <w:rFonts w:ascii="Cambria" w:hAnsi="Cambria"/>
          <w:sz w:val="14"/>
          <w:szCs w:val="14"/>
        </w:rPr>
        <w:t>在政党的可信度列表中，政党的可信度越高，政党就越有可能从政党下载梯度，因此，政党对政党的奖励就越多</w:t>
      </w:r>
      <w:r>
        <w:rPr>
          <w:rStyle w:val="translated-span"/>
          <w:rFonts w:ascii="Cambria" w:hAnsi="Cambria"/>
          <w:sz w:val="14"/>
          <w:szCs w:val="14"/>
        </w:rPr>
        <w:t>。</w:t>
      </w:r>
      <w:r>
        <w:rPr>
          <w:rStyle w:val="translated-span"/>
          <w:b/>
          <w:bCs/>
        </w:rPr>
        <w:t>下</w:t>
      </w:r>
      <w:r>
        <w:rPr>
          <w:rStyle w:val="translated-span"/>
          <w:b/>
          <w:bCs/>
        </w:rPr>
        <w:t>载</w:t>
      </w:r>
      <w:r>
        <w:rPr>
          <w:rStyle w:val="translated-span"/>
          <w:rFonts w:ascii="Cambria" w:hAnsi="Cambria"/>
          <w:i/>
          <w:iCs/>
          <w:sz w:val="20"/>
          <w:szCs w:val="20"/>
        </w:rPr>
        <w:t>我</w:t>
      </w:r>
      <w:r>
        <w:rPr>
          <w:rStyle w:val="translated-span"/>
          <w:rFonts w:ascii="Cambria" w:hAnsi="Cambria"/>
          <w:i/>
          <w:iCs/>
          <w:sz w:val="20"/>
          <w:szCs w:val="20"/>
        </w:rPr>
        <w:t>j</w:t>
      </w:r>
      <w:r>
        <w:rPr>
          <w:rStyle w:val="translated-span"/>
          <w:rFonts w:ascii="Cambria" w:hAnsi="Cambria"/>
          <w:i/>
          <w:iCs/>
          <w:sz w:val="20"/>
          <w:szCs w:val="20"/>
        </w:rPr>
        <w:t>我</w:t>
      </w:r>
      <w:r>
        <w:rPr>
          <w:rStyle w:val="translated-span"/>
          <w:rFonts w:ascii="Cambria" w:hAnsi="Cambria"/>
          <w:i/>
          <w:iCs/>
          <w:sz w:val="20"/>
          <w:szCs w:val="20"/>
        </w:rPr>
        <w:t>我</w:t>
      </w:r>
      <w:r>
        <w:rPr>
          <w:rStyle w:val="translated-span"/>
          <w:rFonts w:ascii="Cambria" w:hAnsi="Cambria"/>
          <w:i/>
          <w:iCs/>
          <w:sz w:val="20"/>
          <w:szCs w:val="20"/>
        </w:rPr>
        <w:t>j</w:t>
      </w:r>
      <w:r>
        <w:rPr>
          <w:rStyle w:val="translated-span"/>
          <w:rFonts w:ascii="Cambria" w:hAnsi="Cambria"/>
          <w:i/>
          <w:iCs/>
          <w:sz w:val="20"/>
          <w:szCs w:val="20"/>
        </w:rPr>
        <w:t>j</w:t>
      </w:r>
      <w:r>
        <w:rPr>
          <w:rStyle w:val="translated-span"/>
          <w:rFonts w:ascii="Cambria" w:hAnsi="Cambria"/>
          <w:i/>
          <w:iCs/>
          <w:sz w:val="20"/>
          <w:szCs w:val="20"/>
        </w:rPr>
        <w:t>我</w:t>
      </w:r>
    </w:p>
    <w:p w:rsidR="00000000" w:rsidRDefault="00A52409">
      <w:pPr>
        <w:spacing w:after="304"/>
        <w:ind w:left="595" w:hanging="310"/>
      </w:pPr>
      <w:r>
        <w:rPr>
          <w:rStyle w:val="translated-span"/>
          <w:rFonts w:ascii="Cambria" w:hAnsi="Cambria"/>
          <w:sz w:val="14"/>
          <w:szCs w:val="14"/>
        </w:rPr>
        <w:t>•</w:t>
      </w:r>
      <w:r>
        <w:rPr>
          <w:rStyle w:val="translated-span"/>
          <w:rFonts w:ascii="Cambria" w:hAnsi="Cambria"/>
          <w:sz w:val="14"/>
          <w:szCs w:val="14"/>
        </w:rPr>
        <w:t>：一旦一方收到本地渐变的下载请求，它就可以根据请求方的下载请求和自己的共享级别来确定要发</w:t>
      </w:r>
      <w:r>
        <w:rPr>
          <w:rStyle w:val="translated-span"/>
          <w:rFonts w:ascii="Cambria" w:hAnsi="Cambria"/>
          <w:sz w:val="14"/>
          <w:szCs w:val="14"/>
        </w:rPr>
        <w:t>回多少有意义的渐变</w:t>
      </w:r>
      <w:r>
        <w:rPr>
          <w:rStyle w:val="translated-span"/>
          <w:rFonts w:ascii="Cambria" w:hAnsi="Cambria"/>
          <w:sz w:val="14"/>
          <w:szCs w:val="14"/>
        </w:rPr>
        <w:t>。</w:t>
      </w:r>
      <w:r>
        <w:rPr>
          <w:rStyle w:val="translated-span"/>
          <w:b/>
          <w:bCs/>
        </w:rPr>
        <w:t>上</w:t>
      </w:r>
      <w:r>
        <w:rPr>
          <w:rStyle w:val="translated-span"/>
          <w:b/>
          <w:bCs/>
        </w:rPr>
        <w:t>传</w:t>
      </w:r>
    </w:p>
    <w:p w:rsidR="00000000" w:rsidRDefault="00A52409">
      <w:pPr>
        <w:pStyle w:val="2"/>
        <w:spacing w:after="46"/>
        <w:ind w:left="439" w:hanging="454"/>
      </w:pPr>
      <w:r>
        <w:t>4.2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基于区块链的架</w:t>
      </w:r>
      <w:r>
        <w:rPr>
          <w:rStyle w:val="translated-span"/>
        </w:rPr>
        <w:t>构</w:t>
      </w:r>
    </w:p>
    <w:p w:rsidR="00000000" w:rsidRDefault="00A52409">
      <w:pPr>
        <w:ind w:left="-15" w:firstLine="0"/>
      </w:pPr>
      <w:r>
        <w:rPr>
          <w:rStyle w:val="translated-span"/>
        </w:rPr>
        <w:t>为了开发</w:t>
      </w:r>
      <w:r>
        <w:rPr>
          <w:rStyle w:val="translated-span"/>
        </w:rPr>
        <w:t>FPPDL</w:t>
      </w:r>
      <w:r>
        <w:rPr>
          <w:rStyle w:val="translated-span"/>
        </w:rPr>
        <w:t>的去中心化架构，我们使用区块链</w:t>
      </w:r>
      <w:r>
        <w:rPr>
          <w:rStyle w:val="translated-span"/>
        </w:rPr>
        <w:t>2.0</w:t>
      </w:r>
      <w:r>
        <w:rPr>
          <w:rStyle w:val="translated-span"/>
        </w:rPr>
        <w:t>将隐私保护深度学习算法整合到私有区块链中，该区块链仅对参与方可用</w:t>
      </w:r>
      <w:r>
        <w:rPr>
          <w:rStyle w:val="translated-span"/>
        </w:rPr>
        <w:t>。</w:t>
      </w:r>
      <w:r>
        <w:rPr>
          <w:rStyle w:val="translated-span"/>
        </w:rPr>
        <w:t>与当前基于服务器的架构相比，</w:t>
      </w:r>
      <w:r>
        <w:rPr>
          <w:rStyle w:val="translated-span"/>
        </w:rPr>
        <w:t>FPPDL</w:t>
      </w:r>
      <w:r>
        <w:rPr>
          <w:rStyle w:val="translated-span"/>
        </w:rPr>
        <w:t>继承了区块链的</w:t>
      </w:r>
      <w:r>
        <w:rPr>
          <w:rStyle w:val="translated-span"/>
        </w:rPr>
        <w:t>peerto-peer</w:t>
      </w:r>
      <w:r>
        <w:rPr>
          <w:rStyle w:val="translated-span"/>
        </w:rPr>
        <w:t>架构，允许各方保持模块化，同时与其他方进行互操作</w:t>
      </w:r>
      <w:r>
        <w:rPr>
          <w:rStyle w:val="translated-span"/>
        </w:rPr>
        <w:t>。</w:t>
      </w:r>
      <w:r>
        <w:rPr>
          <w:rStyle w:val="translated-span"/>
        </w:rPr>
        <w:t>此外，每一方都保持对自己数据的完全控制，而不是将控制权拱手让给中央服务器</w:t>
      </w:r>
      <w:r>
        <w:rPr>
          <w:rStyle w:val="translated-span"/>
        </w:rPr>
        <w:t>。</w:t>
      </w:r>
      <w:r>
        <w:rPr>
          <w:rStyle w:val="translated-span"/>
        </w:rPr>
        <w:t>此外，区块链提供了自动协</w:t>
      </w:r>
      <w:r>
        <w:rPr>
          <w:rStyle w:val="translated-span"/>
        </w:rPr>
        <w:t>调</w:t>
      </w:r>
    </w:p>
    <w:p w:rsidR="00000000" w:rsidRDefault="00A52409">
      <w:pPr>
        <w:ind w:left="-15" w:firstLine="0"/>
      </w:pPr>
      <w:r>
        <w:br w:type="page"/>
      </w:r>
      <w:r>
        <w:rPr>
          <w:rStyle w:val="translated-span"/>
        </w:rPr>
        <w:t>各方的加入和离开，进一步促进了联盟的独立性和模块化</w:t>
      </w:r>
      <w:r>
        <w:rPr>
          <w:rStyle w:val="translated-span"/>
        </w:rPr>
        <w:t>。</w:t>
      </w:r>
      <w:r>
        <w:rPr>
          <w:rStyle w:val="translated-span"/>
        </w:rPr>
        <w:t>区块链，没有单点故障，也增强了稳健性</w:t>
      </w:r>
      <w:r>
        <w:rPr>
          <w:rStyle w:val="translated-span"/>
        </w:rPr>
        <w:t>。</w:t>
      </w:r>
      <w:r>
        <w:rPr>
          <w:rStyle w:val="translated-span"/>
        </w:rPr>
        <w:t>在这里，我</w:t>
      </w:r>
      <w:r>
        <w:rPr>
          <w:rStyle w:val="translated-span"/>
        </w:rPr>
        <w:t>们为</w:t>
      </w:r>
      <w:r>
        <w:rPr>
          <w:rStyle w:val="translated-span"/>
        </w:rPr>
        <w:t>FPPDL</w:t>
      </w:r>
      <w:r>
        <w:rPr>
          <w:rStyle w:val="translated-span"/>
        </w:rPr>
        <w:t>设计了两种类型的区块链，即</w:t>
      </w:r>
      <w:r>
        <w:rPr>
          <w:rStyle w:val="translated-span"/>
        </w:rPr>
        <w:t>init</w:t>
      </w:r>
      <w:r>
        <w:rPr>
          <w:rStyle w:val="translated-span"/>
        </w:rPr>
        <w:t>区块和作业区块</w:t>
      </w:r>
      <w:r>
        <w:rPr>
          <w:rStyle w:val="translated-span"/>
        </w:rPr>
        <w:t>。</w:t>
      </w:r>
    </w:p>
    <w:p w:rsidR="00000000" w:rsidRDefault="00A52409">
      <w:pPr>
        <w:ind w:left="-15"/>
      </w:pPr>
      <w:r>
        <w:rPr>
          <w:rStyle w:val="translated-span"/>
          <w:b/>
          <w:bCs/>
        </w:rPr>
        <w:t>初始化</w:t>
      </w:r>
      <w:r>
        <w:rPr>
          <w:rStyle w:val="translated-span"/>
          <w:b/>
          <w:bCs/>
        </w:rPr>
        <w:t>块</w:t>
      </w:r>
      <w:r>
        <w:rPr>
          <w:rStyle w:val="translated-span"/>
        </w:rPr>
        <w:t>初始化各方培训数据有用性的基准测试，作为一组初始事务</w:t>
      </w:r>
      <w:r>
        <w:rPr>
          <w:rStyle w:val="translated-span"/>
        </w:rPr>
        <w:t>。</w:t>
      </w:r>
      <w:r>
        <w:rPr>
          <w:rStyle w:val="translated-span"/>
        </w:rPr>
        <w:t>init</w:t>
      </w:r>
      <w:r>
        <w:rPr>
          <w:rStyle w:val="translated-span"/>
        </w:rPr>
        <w:t>事务包含事务创建者获得的初始点、它提供的</w:t>
      </w:r>
      <w:r>
        <w:rPr>
          <w:rStyle w:val="translated-span"/>
        </w:rPr>
        <w:t>DPGAN</w:t>
      </w:r>
      <w:r>
        <w:rPr>
          <w:rStyle w:val="translated-span"/>
        </w:rPr>
        <w:t>示例以及将用于验证未来事务的公钥</w:t>
      </w:r>
      <w:r>
        <w:rPr>
          <w:rStyle w:val="translated-span"/>
        </w:rPr>
        <w:t>。</w:t>
      </w:r>
      <w:r>
        <w:rPr>
          <w:rStyle w:val="translated-span"/>
        </w:rPr>
        <w:t>区块链的</w:t>
      </w:r>
      <w:r>
        <w:rPr>
          <w:rStyle w:val="translated-span"/>
        </w:rPr>
        <w:t>genesis</w:t>
      </w:r>
      <w:r>
        <w:rPr>
          <w:rStyle w:val="translated-span"/>
        </w:rPr>
        <w:t>块（即第一块）是</w:t>
      </w:r>
      <w:r>
        <w:rPr>
          <w:rStyle w:val="translated-span"/>
        </w:rPr>
        <w:t>init</w:t>
      </w:r>
      <w:r>
        <w:rPr>
          <w:rStyle w:val="translated-span"/>
        </w:rPr>
        <w:t>块，它根据参与者的相对贡献包含初始点和局部可信性值，如算法</w:t>
      </w:r>
      <w:r>
        <w:rPr>
          <w:rStyle w:val="translated-span"/>
        </w:rPr>
        <w:t>1</w:t>
      </w:r>
      <w:r>
        <w:rPr>
          <w:rStyle w:val="translated-span"/>
        </w:rPr>
        <w:t>所述</w:t>
      </w:r>
      <w:r>
        <w:rPr>
          <w:rStyle w:val="translated-span"/>
        </w:rPr>
        <w:t>。</w:t>
      </w:r>
      <w:r>
        <w:rPr>
          <w:rStyle w:val="translated-span"/>
        </w:rPr>
        <w:t>如果任何参与方在以后的更新过程中加入或添加新数据，将创建一个新的</w:t>
      </w:r>
      <w:r>
        <w:rPr>
          <w:rStyle w:val="translated-span"/>
        </w:rPr>
        <w:t>init</w:t>
      </w:r>
      <w:r>
        <w:rPr>
          <w:rStyle w:val="translated-span"/>
        </w:rPr>
        <w:t>块并将其添加到现有</w:t>
      </w:r>
      <w:r>
        <w:rPr>
          <w:rStyle w:val="translated-span"/>
        </w:rPr>
        <w:t>的</w:t>
      </w:r>
    </w:p>
    <w:p w:rsidR="00000000" w:rsidRDefault="00A52409">
      <w:pPr>
        <w:ind w:left="-15" w:firstLine="0"/>
      </w:pPr>
      <w:r>
        <w:rPr>
          <w:rStyle w:val="translated-span"/>
        </w:rPr>
        <w:t>块链</w:t>
      </w:r>
      <w:r>
        <w:rPr>
          <w:rStyle w:val="translated-span"/>
        </w:rPr>
        <w:t>。</w:t>
      </w:r>
    </w:p>
    <w:p w:rsidR="00000000" w:rsidRDefault="00A52409">
      <w:pPr>
        <w:ind w:left="-15"/>
      </w:pPr>
      <w:r>
        <w:rPr>
          <w:rStyle w:val="translated-span"/>
          <w:b/>
          <w:bCs/>
        </w:rPr>
        <w:t>操作</w:t>
      </w:r>
      <w:r>
        <w:rPr>
          <w:rStyle w:val="translated-span"/>
          <w:b/>
          <w:bCs/>
        </w:rPr>
        <w:t>块</w:t>
      </w:r>
      <w:r>
        <w:rPr>
          <w:rStyle w:val="translated-span"/>
        </w:rPr>
        <w:t>包含一组定义上载操作和</w:t>
      </w:r>
      <w:r>
        <w:rPr>
          <w:rStyle w:val="translated-span"/>
        </w:rPr>
        <w:t>/</w:t>
      </w:r>
      <w:r>
        <w:rPr>
          <w:rStyle w:val="translated-span"/>
        </w:rPr>
        <w:t>或下载操作的事务</w:t>
      </w:r>
      <w:r>
        <w:rPr>
          <w:rStyle w:val="translated-span"/>
        </w:rPr>
        <w:t>。</w:t>
      </w:r>
      <w:r>
        <w:rPr>
          <w:rStyle w:val="translated-span"/>
        </w:rPr>
        <w:t>所有上传和下载事务都由其创建者</w:t>
      </w:r>
      <w:r>
        <w:rPr>
          <w:rStyle w:val="translated-span"/>
        </w:rPr>
        <w:t>使用与</w:t>
      </w:r>
      <w:r>
        <w:rPr>
          <w:rStyle w:val="translated-span"/>
        </w:rPr>
        <w:t>init</w:t>
      </w:r>
      <w:r>
        <w:rPr>
          <w:rStyle w:val="translated-span"/>
        </w:rPr>
        <w:t>事务中记录的公钥相关联的私钥签名</w:t>
      </w:r>
      <w:r>
        <w:rPr>
          <w:rStyle w:val="translated-span"/>
        </w:rPr>
        <w:t>。</w:t>
      </w:r>
      <w:r>
        <w:rPr>
          <w:rStyle w:val="translated-span"/>
        </w:rPr>
        <w:t>上载操作承诺数据所有者已将本地模型渐变上载到发送下载请求的一方</w:t>
      </w:r>
      <w:r>
        <w:rPr>
          <w:rStyle w:val="translated-span"/>
        </w:rPr>
        <w:t>。</w:t>
      </w:r>
      <w:r>
        <w:rPr>
          <w:rStyle w:val="translated-span"/>
        </w:rPr>
        <w:t>下载操作声明一个参与者被提交一个命令，请求其他参与者进行一些本地模型更新</w:t>
      </w:r>
      <w:r>
        <w:rPr>
          <w:rStyle w:val="translated-span"/>
        </w:rPr>
        <w:t>。</w:t>
      </w:r>
      <w:r>
        <w:rPr>
          <w:rStyle w:val="translated-span"/>
        </w:rPr>
        <w:t>收到下载交易后，区块链矿工验证其签名，检查请求者是否有足够的平衡点来下载请求的梯度数，并将验证的交易记录在操作块中</w:t>
      </w:r>
      <w:r>
        <w:rPr>
          <w:rStyle w:val="translated-span"/>
        </w:rPr>
        <w:t>。</w:t>
      </w:r>
      <w:r>
        <w:rPr>
          <w:rStyle w:val="translated-span"/>
        </w:rPr>
        <w:t>一旦下载交易记录在区块链中，请求的本地模型梯度将被加密并由所有者上传到可公开访问的存储器中，并使用下载交易中定义的接收者公钥重新加密</w:t>
      </w:r>
      <w:r>
        <w:rPr>
          <w:rStyle w:val="translated-span"/>
        </w:rPr>
        <w:t>。</w:t>
      </w:r>
    </w:p>
    <w:p w:rsidR="00000000" w:rsidRDefault="00A52409">
      <w:pPr>
        <w:ind w:left="-15"/>
      </w:pPr>
      <w:r>
        <w:rPr>
          <w:rStyle w:val="translated-span"/>
        </w:rPr>
        <w:t>本地模型梯度的隐私通过三层洋葱式加密方案得到保护（见第</w:t>
      </w:r>
      <w:r>
        <w:rPr>
          <w:rStyle w:val="translated-span"/>
        </w:rPr>
        <w:t>5.2</w:t>
      </w:r>
      <w:r>
        <w:rPr>
          <w:rStyle w:val="translated-span"/>
        </w:rPr>
        <w:t>节）</w:t>
      </w:r>
      <w:r>
        <w:rPr>
          <w:rStyle w:val="translated-span"/>
        </w:rPr>
        <w:t>。</w:t>
      </w:r>
      <w:r>
        <w:rPr>
          <w:rStyle w:val="translated-span"/>
        </w:rPr>
        <w:t>第一层通</w:t>
      </w:r>
      <w:r>
        <w:rPr>
          <w:rStyle w:val="translated-span"/>
        </w:rPr>
        <w:t>过我们提出的基于对称密钥的同态加密算法（算法</w:t>
      </w:r>
      <w:r>
        <w:rPr>
          <w:rStyle w:val="translated-span"/>
        </w:rPr>
        <w:t>3</w:t>
      </w:r>
      <w:r>
        <w:rPr>
          <w:rStyle w:val="translated-span"/>
        </w:rPr>
        <w:t>）对局部模型梯度进行加密，该算法允许各方在不暴露单个梯度的情况下学习所接收梯度的集合，即当事方的遗忘</w:t>
      </w:r>
      <w:r>
        <w:rPr>
          <w:rStyle w:val="translated-span"/>
        </w:rPr>
        <w:t>。</w:t>
      </w:r>
      <w:r>
        <w:rPr>
          <w:rStyle w:val="translated-span"/>
        </w:rPr>
        <w:t>第二层和第三层提供了一个标准的混合加密过程：第二层使用新生成的对称密钥重新加密第一层密文，第三层使用请求方的公钥进行加密</w:t>
      </w:r>
      <w:r>
        <w:rPr>
          <w:rStyle w:val="translated-span"/>
        </w:rPr>
        <w:t>。</w:t>
      </w:r>
      <w:r>
        <w:rPr>
          <w:rStyle w:val="translated-span"/>
        </w:rPr>
        <w:t>通过这种方式，我们可以最小化基于非对称密钥的加密所需的计算成本</w:t>
      </w:r>
      <w:r>
        <w:rPr>
          <w:rStyle w:val="translated-span"/>
        </w:rPr>
        <w:t>。</w:t>
      </w:r>
      <w:r>
        <w:rPr>
          <w:rStyle w:val="translated-span"/>
        </w:rPr>
        <w:t>上传的加密本地模型梯度（例如，密文的散列值，如图</w:t>
      </w:r>
      <w:r>
        <w:rPr>
          <w:rStyle w:val="translated-span"/>
        </w:rPr>
        <w:t>3</w:t>
      </w:r>
      <w:r>
        <w:rPr>
          <w:rStyle w:val="translated-span"/>
        </w:rPr>
        <w:t>所示）的承诺将包括在上传事务中</w:t>
      </w:r>
      <w:r>
        <w:rPr>
          <w:rStyle w:val="translated-span"/>
        </w:rPr>
        <w:t>。</w:t>
      </w:r>
      <w:r>
        <w:rPr>
          <w:rStyle w:val="translated-span"/>
          <w:rFonts w:ascii="Cambria" w:hAnsi="Cambria"/>
          <w:i/>
          <w:iCs/>
          <w:sz w:val="20"/>
          <w:szCs w:val="20"/>
        </w:rPr>
        <w:t>fsk</w:t>
      </w:r>
      <w:r>
        <w:rPr>
          <w:rStyle w:val="translated-span"/>
          <w:rFonts w:ascii="Cambria" w:hAnsi="Cambria"/>
          <w:i/>
          <w:iCs/>
          <w:sz w:val="20"/>
          <w:szCs w:val="20"/>
        </w:rPr>
        <w:t>公</w:t>
      </w:r>
      <w:r>
        <w:rPr>
          <w:rStyle w:val="translated-span"/>
          <w:rFonts w:ascii="Cambria" w:hAnsi="Cambria"/>
          <w:i/>
          <w:iCs/>
          <w:sz w:val="20"/>
          <w:szCs w:val="20"/>
        </w:rPr>
        <w:t>司</w:t>
      </w:r>
      <w:r>
        <w:rPr>
          <w:rStyle w:val="translated-span"/>
          <w:rFonts w:ascii="Cambria" w:hAnsi="Cambria"/>
          <w:i/>
          <w:iCs/>
          <w:sz w:val="20"/>
          <w:szCs w:val="20"/>
        </w:rPr>
        <w:t>fsk</w:t>
      </w:r>
      <w:r>
        <w:rPr>
          <w:rStyle w:val="translated-span"/>
          <w:rFonts w:ascii="Cambria" w:hAnsi="Cambria"/>
          <w:i/>
          <w:iCs/>
          <w:sz w:val="20"/>
          <w:szCs w:val="20"/>
        </w:rPr>
        <w:t>公</w:t>
      </w:r>
      <w:r>
        <w:rPr>
          <w:rStyle w:val="translated-span"/>
          <w:rFonts w:ascii="Cambria" w:hAnsi="Cambria"/>
          <w:i/>
          <w:iCs/>
          <w:sz w:val="20"/>
          <w:szCs w:val="20"/>
        </w:rPr>
        <w:t>司</w:t>
      </w:r>
      <w:r>
        <w:rPr>
          <w:rStyle w:val="translated-span"/>
          <w:rFonts w:ascii="Cambria" w:hAnsi="Cambria"/>
          <w:i/>
          <w:iCs/>
          <w:sz w:val="20"/>
          <w:szCs w:val="20"/>
        </w:rPr>
        <w:t>我</w:t>
      </w:r>
      <w:r>
        <w:rPr>
          <w:rStyle w:val="translated-span"/>
          <w:rFonts w:ascii="Cambria" w:hAnsi="Cambria"/>
          <w:i/>
          <w:iCs/>
          <w:sz w:val="20"/>
          <w:szCs w:val="20"/>
        </w:rPr>
        <w:t>公钥基础设</w:t>
      </w:r>
      <w:r>
        <w:rPr>
          <w:rStyle w:val="translated-span"/>
          <w:rFonts w:ascii="Cambria" w:hAnsi="Cambria"/>
          <w:i/>
          <w:iCs/>
          <w:sz w:val="20"/>
          <w:szCs w:val="20"/>
        </w:rPr>
        <w:t>施</w:t>
      </w:r>
    </w:p>
    <w:p w:rsidR="00000000" w:rsidRDefault="00A52409">
      <w:pPr>
        <w:ind w:left="-15"/>
      </w:pPr>
      <w:r>
        <w:rPr>
          <w:rStyle w:val="translated-span"/>
        </w:rPr>
        <w:t>在我们的私有区块链中，只有付费的请求者才能读取明文</w:t>
      </w:r>
      <w:r>
        <w:rPr>
          <w:rStyle w:val="translated-span"/>
        </w:rPr>
        <w:t>。</w:t>
      </w:r>
      <w:r>
        <w:rPr>
          <w:rStyle w:val="translated-span"/>
        </w:rPr>
        <w:t>其他人可</w:t>
      </w:r>
      <w:r>
        <w:rPr>
          <w:rStyle w:val="translated-span"/>
        </w:rPr>
        <w:t>以验证此事务是否已发生，但无法读取明文</w:t>
      </w:r>
      <w:r>
        <w:rPr>
          <w:rStyle w:val="translated-span"/>
        </w:rPr>
        <w:t>。</w:t>
      </w:r>
      <w:r>
        <w:rPr>
          <w:rStyle w:val="translated-span"/>
        </w:rPr>
        <w:t>当请求者责怪数据上传者时，数据上传者会将明文显示为证据</w:t>
      </w:r>
      <w:r>
        <w:rPr>
          <w:rStyle w:val="translated-span"/>
        </w:rPr>
        <w:t>。</w:t>
      </w:r>
      <w:r>
        <w:rPr>
          <w:rStyle w:val="translated-span"/>
        </w:rPr>
        <w:t>在这种情况下，申请人将被迫支付罚款，在提交索赔时，如果它被证明是不诚实的索赔</w:t>
      </w:r>
      <w:r>
        <w:rPr>
          <w:rStyle w:val="translated-span"/>
        </w:rPr>
        <w:t>。</w:t>
      </w:r>
      <w:r>
        <w:rPr>
          <w:rStyle w:val="translated-span"/>
        </w:rPr>
        <w:t>一旦上传交易记录在区块链中，点将自动从请求者转移到上传者</w:t>
      </w:r>
      <w:r>
        <w:rPr>
          <w:rStyle w:val="translated-span"/>
        </w:rPr>
        <w:t>。</w:t>
      </w:r>
      <w:r>
        <w:rPr>
          <w:rStyle w:val="translated-span"/>
        </w:rPr>
        <w:t>图</w:t>
      </w:r>
      <w:r>
        <w:rPr>
          <w:rStyle w:val="translated-span"/>
        </w:rPr>
        <w:t>2</w:t>
      </w:r>
      <w:r>
        <w:rPr>
          <w:rStyle w:val="translated-span"/>
        </w:rPr>
        <w:t>和图</w:t>
      </w:r>
      <w:r>
        <w:rPr>
          <w:rStyle w:val="translated-span"/>
        </w:rPr>
        <w:t>3</w:t>
      </w:r>
      <w:r>
        <w:rPr>
          <w:rStyle w:val="translated-span"/>
        </w:rPr>
        <w:t>分别示出了由区块链存储的初始化和下载事务的示例</w:t>
      </w:r>
      <w:r>
        <w:rPr>
          <w:rStyle w:val="translated-span"/>
        </w:rPr>
        <w:t>。</w:t>
      </w:r>
      <w:r>
        <w:rPr>
          <w:rStyle w:val="translated-span"/>
        </w:rPr>
        <w:t>对于我们的应用场景，我们期望有一组相对稳定且规模较小的参与者，例如承担法律责任的金融机构，它们属于涉及业务参与者的横向联合学习（</w:t>
      </w:r>
      <w:r>
        <w:rPr>
          <w:rStyle w:val="translated-span"/>
        </w:rPr>
        <w:t>HFL</w:t>
      </w:r>
      <w:r>
        <w:rPr>
          <w:rStyle w:val="translated-span"/>
        </w:rPr>
        <w:t>）的保护伞</w:t>
      </w:r>
      <w:r>
        <w:rPr>
          <w:rStyle w:val="translated-span"/>
        </w:rPr>
        <w:t>[37]</w:t>
      </w:r>
      <w:r>
        <w:rPr>
          <w:rStyle w:val="translated-span"/>
        </w:rPr>
        <w:t>。</w:t>
      </w:r>
      <w:r>
        <w:rPr>
          <w:rStyle w:val="translated-span"/>
        </w:rPr>
        <w:t>这允许我们采用许可的区块链</w:t>
      </w:r>
      <w:r>
        <w:rPr>
          <w:rStyle w:val="translated-span"/>
        </w:rPr>
        <w:t>。</w:t>
      </w:r>
    </w:p>
    <w:p w:rsidR="00000000" w:rsidRDefault="00A52409">
      <w:pPr>
        <w:spacing w:after="207" w:line="256" w:lineRule="auto"/>
        <w:ind w:left="287" w:firstLine="0"/>
        <w:jc w:val="left"/>
      </w:pPr>
      <w:r>
        <w:rPr>
          <w:noProof/>
          <w:sz w:val="22"/>
          <w:szCs w:val="22"/>
        </w:rPr>
        <w:drawing>
          <wp:inline distT="0" distB="0" distL="0" distR="0">
            <wp:extent cx="2762250" cy="1381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762250" cy="1381125"/>
                    </a:xfrm>
                    <a:prstGeom prst="rect">
                      <a:avLst/>
                    </a:prstGeom>
                    <a:noFill/>
                    <a:ln>
                      <a:noFill/>
                    </a:ln>
                  </pic:spPr>
                </pic:pic>
              </a:graphicData>
            </a:graphic>
          </wp:inline>
        </w:drawing>
      </w:r>
    </w:p>
    <w:p w:rsidR="00000000" w:rsidRDefault="00A52409">
      <w:pPr>
        <w:spacing w:after="179"/>
        <w:ind w:left="-15" w:firstLine="0"/>
      </w:pPr>
      <w:r>
        <w:rPr>
          <w:rStyle w:val="translated-span"/>
        </w:rPr>
        <w:t>图</w:t>
      </w:r>
      <w:r>
        <w:rPr>
          <w:rStyle w:val="translated-span"/>
        </w:rPr>
        <w:t>2</w:t>
      </w:r>
      <w:r>
        <w:rPr>
          <w:rStyle w:val="translated-span"/>
        </w:rPr>
        <w:t>：成因块体构造示例</w:t>
      </w:r>
      <w:r>
        <w:rPr>
          <w:rStyle w:val="translated-span"/>
        </w:rPr>
        <w:t>。</w:t>
      </w:r>
      <w:r>
        <w:rPr>
          <w:rStyle w:val="translated-span"/>
        </w:rPr>
        <w:t>它主要包含</w:t>
      </w:r>
      <w:r>
        <w:rPr>
          <w:rStyle w:val="translated-span"/>
        </w:rPr>
        <w:t>两个关键组成部分，一个是以</w:t>
      </w:r>
      <w:r>
        <w:rPr>
          <w:rStyle w:val="translated-span"/>
        </w:rPr>
        <w:t>Merkle</w:t>
      </w:r>
      <w:r>
        <w:rPr>
          <w:rStyle w:val="translated-span"/>
        </w:rPr>
        <w:t>树的叶子组织起来的一组初始事务；另一个是参与者通过底层共识协议（如</w:t>
      </w:r>
      <w:r>
        <w:rPr>
          <w:rStyle w:val="translated-span"/>
        </w:rPr>
        <w:t>PBFT</w:t>
      </w:r>
      <w:r>
        <w:rPr>
          <w:rStyle w:val="translated-span"/>
        </w:rPr>
        <w:t>或</w:t>
      </w:r>
      <w:r>
        <w:rPr>
          <w:rStyle w:val="translated-span"/>
        </w:rPr>
        <w:t>PoS</w:t>
      </w:r>
      <w:r>
        <w:rPr>
          <w:rStyle w:val="translated-span"/>
        </w:rPr>
        <w:t>）达成的共识协议，这是特定于已部署区块链的</w:t>
      </w:r>
      <w:r>
        <w:rPr>
          <w:rStyle w:val="translated-span"/>
        </w:rPr>
        <w:t>。</w:t>
      </w:r>
      <w:r>
        <w:rPr>
          <w:rStyle w:val="translated-span"/>
        </w:rPr>
        <w:t>init</w:t>
      </w:r>
      <w:r>
        <w:rPr>
          <w:rStyle w:val="translated-span"/>
        </w:rPr>
        <w:t>事务中的是参与方的签名验证密钥</w:t>
      </w:r>
      <w:r>
        <w:rPr>
          <w:rStyle w:val="translated-span"/>
        </w:rPr>
        <w:t>。</w:t>
      </w:r>
      <w:r>
        <w:rPr>
          <w:rStyle w:val="translated-span"/>
          <w:rFonts w:ascii="Cambria" w:hAnsi="Cambria"/>
          <w:i/>
          <w:iCs/>
          <w:sz w:val="31"/>
          <w:szCs w:val="31"/>
          <w:vertAlign w:val="superscript"/>
        </w:rPr>
        <w:t>pk</w:t>
      </w:r>
      <w:r>
        <w:rPr>
          <w:rStyle w:val="translated-span"/>
          <w:rFonts w:ascii="Cambria" w:hAnsi="Cambria"/>
          <w:i/>
          <w:iCs/>
          <w:sz w:val="31"/>
          <w:szCs w:val="31"/>
          <w:vertAlign w:val="superscript"/>
        </w:rPr>
        <w:t>键</w:t>
      </w:r>
      <w:r>
        <w:rPr>
          <w:rStyle w:val="translated-span"/>
          <w:rFonts w:ascii="Cambria" w:hAnsi="Cambria"/>
          <w:i/>
          <w:iCs/>
          <w:vertAlign w:val="subscript"/>
        </w:rPr>
        <w:t>我</w:t>
      </w:r>
      <w:r>
        <w:rPr>
          <w:rFonts w:ascii="Cambria" w:hAnsi="Cambria"/>
          <w:vertAlign w:val="superscript"/>
        </w:rPr>
        <w:t>0</w:t>
      </w:r>
      <w:r>
        <w:rPr>
          <w:rFonts w:ascii="Cambria" w:hAnsi="Cambria"/>
          <w:vertAlign w:val="superscript"/>
        </w:rPr>
        <w:t xml:space="preserve"> </w:t>
      </w:r>
      <w:r>
        <w:rPr>
          <w:rStyle w:val="translated-span"/>
          <w:rFonts w:ascii="Cambria" w:hAnsi="Cambria"/>
          <w:i/>
          <w:iCs/>
          <w:sz w:val="20"/>
          <w:szCs w:val="20"/>
        </w:rPr>
        <w:t>我</w:t>
      </w:r>
    </w:p>
    <w:p w:rsidR="00000000" w:rsidRDefault="00A52409">
      <w:pPr>
        <w:spacing w:after="206" w:line="256" w:lineRule="auto"/>
        <w:ind w:left="39" w:firstLine="0"/>
        <w:jc w:val="left"/>
      </w:pPr>
      <w:r>
        <w:rPr>
          <w:noProof/>
          <w:sz w:val="22"/>
          <w:szCs w:val="22"/>
        </w:rPr>
        <w:drawing>
          <wp:inline distT="0" distB="0" distL="0" distR="0">
            <wp:extent cx="3152775" cy="1504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152775" cy="1504950"/>
                    </a:xfrm>
                    <a:prstGeom prst="rect">
                      <a:avLst/>
                    </a:prstGeom>
                    <a:noFill/>
                    <a:ln>
                      <a:noFill/>
                    </a:ln>
                  </pic:spPr>
                </pic:pic>
              </a:graphicData>
            </a:graphic>
          </wp:inline>
        </w:drawing>
      </w:r>
    </w:p>
    <w:p w:rsidR="00000000" w:rsidRDefault="00A52409">
      <w:pPr>
        <w:spacing w:after="459"/>
        <w:ind w:left="-15" w:firstLine="0"/>
      </w:pPr>
      <w:r>
        <w:rPr>
          <w:rStyle w:val="translated-span"/>
        </w:rPr>
        <w:t>图</w:t>
      </w:r>
      <w:r>
        <w:rPr>
          <w:rStyle w:val="translated-span"/>
        </w:rPr>
        <w:t>3</w:t>
      </w:r>
      <w:r>
        <w:rPr>
          <w:rStyle w:val="translated-span"/>
        </w:rPr>
        <w:t>：操作块的示例结构</w:t>
      </w:r>
      <w:r>
        <w:rPr>
          <w:rStyle w:val="translated-span"/>
        </w:rPr>
        <w:t>。</w:t>
      </w:r>
      <w:r>
        <w:rPr>
          <w:rStyle w:val="translated-span"/>
        </w:rPr>
        <w:t>它主要包含三个关键组件，即前一个块的</w:t>
      </w:r>
      <w:r>
        <w:rPr>
          <w:rStyle w:val="translated-span"/>
        </w:rPr>
        <w:t>hash</w:t>
      </w:r>
      <w:r>
        <w:rPr>
          <w:rStyle w:val="translated-span"/>
        </w:rPr>
        <w:t>值</w:t>
      </w:r>
      <w:r>
        <w:rPr>
          <w:rStyle w:val="translated-span"/>
        </w:rPr>
        <w:t>Prev Block hash</w:t>
      </w:r>
      <w:r>
        <w:rPr>
          <w:rStyle w:val="translated-span"/>
        </w:rPr>
        <w:t>，一组</w:t>
      </w:r>
      <w:r>
        <w:rPr>
          <w:rStyle w:val="translated-span"/>
        </w:rPr>
        <w:t>Merkle</w:t>
      </w:r>
      <w:r>
        <w:rPr>
          <w:rStyle w:val="translated-span"/>
        </w:rPr>
        <w:t>树组织的上传</w:t>
      </w:r>
      <w:r>
        <w:rPr>
          <w:rStyle w:val="translated-span"/>
        </w:rPr>
        <w:t>/</w:t>
      </w:r>
      <w:r>
        <w:rPr>
          <w:rStyle w:val="translated-span"/>
        </w:rPr>
        <w:t>下载事务，以及该块的一致同意</w:t>
      </w:r>
      <w:r>
        <w:rPr>
          <w:rStyle w:val="translated-span"/>
        </w:rPr>
        <w:t>。</w:t>
      </w:r>
      <w:r>
        <w:rPr>
          <w:rStyle w:val="translated-span"/>
        </w:rPr>
        <w:t>特别地，</w:t>
      </w:r>
      <w:r>
        <w:rPr>
          <w:rStyle w:val="translated-span"/>
        </w:rPr>
        <w:t>Prev</w:t>
      </w:r>
      <w:r>
        <w:rPr>
          <w:rStyle w:val="translated-span"/>
        </w:rPr>
        <w:t>块散列将当前块链接到前一块，并且上载事务中的请求充当对关联的下载事务的引用</w:t>
      </w:r>
      <w:r>
        <w:rPr>
          <w:rStyle w:val="translated-span"/>
        </w:rPr>
        <w:t>。</w:t>
      </w:r>
      <w:r>
        <w:rPr>
          <w:rStyle w:val="translated-span"/>
        </w:rPr>
        <w:t>在下载</w:t>
      </w:r>
      <w:r>
        <w:rPr>
          <w:rStyle w:val="translated-span"/>
        </w:rPr>
        <w:t>事务中，公钥将在我们的三层</w:t>
      </w:r>
      <w:r>
        <w:rPr>
          <w:rStyle w:val="translated-span"/>
        </w:rPr>
        <w:t>onionstyle</w:t>
      </w:r>
      <w:r>
        <w:rPr>
          <w:rStyle w:val="translated-span"/>
        </w:rPr>
        <w:t>加密方案的最后一层使用，是该事务的唯一请求</w:t>
      </w:r>
      <w:r>
        <w:rPr>
          <w:rStyle w:val="translated-span"/>
        </w:rPr>
        <w:t>ID</w:t>
      </w:r>
      <w:r>
        <w:rPr>
          <w:rStyle w:val="translated-span"/>
        </w:rPr>
        <w:t>，将通过</w:t>
      </w:r>
      <w:r>
        <w:rPr>
          <w:rStyle w:val="translated-span"/>
        </w:rPr>
        <w:t>DLD</w:t>
      </w:r>
      <w:r>
        <w:rPr>
          <w:rStyle w:val="translated-span"/>
        </w:rPr>
        <w:t>请求在相应的上载事务中引用，并且是该事务的签名</w:t>
      </w:r>
      <w:r>
        <w:rPr>
          <w:rStyle w:val="translated-span"/>
        </w:rPr>
        <w:t>。</w:t>
      </w:r>
      <w:r>
        <w:rPr>
          <w:rStyle w:val="translated-span"/>
        </w:rPr>
        <w:t>，分别指同态加密、对称密钥加密和公钥加密</w:t>
      </w:r>
      <w:r>
        <w:rPr>
          <w:rStyle w:val="translated-span"/>
        </w:rPr>
        <w:t>。</w:t>
      </w:r>
      <w:r>
        <w:rPr>
          <w:rStyle w:val="translated-span"/>
          <w:rFonts w:ascii="Cambria" w:hAnsi="Cambria"/>
          <w:i/>
          <w:iCs/>
          <w:sz w:val="20"/>
          <w:szCs w:val="20"/>
        </w:rPr>
        <w:t>公钥基础设</w:t>
      </w:r>
      <w:r>
        <w:rPr>
          <w:rStyle w:val="translated-span"/>
          <w:rFonts w:ascii="Cambria" w:hAnsi="Cambria"/>
          <w:i/>
          <w:iCs/>
          <w:sz w:val="20"/>
          <w:szCs w:val="20"/>
        </w:rPr>
        <w:t>施</w:t>
      </w:r>
      <w:r>
        <w:rPr>
          <w:rStyle w:val="translated-span"/>
          <w:rFonts w:ascii="Cambria" w:hAnsi="Cambria"/>
          <w:i/>
          <w:iCs/>
          <w:sz w:val="20"/>
          <w:szCs w:val="20"/>
        </w:rPr>
        <w:t>请</w:t>
      </w:r>
      <w:r>
        <w:rPr>
          <w:rStyle w:val="translated-span"/>
          <w:rFonts w:ascii="Cambria" w:hAnsi="Cambria"/>
          <w:i/>
          <w:iCs/>
          <w:sz w:val="20"/>
          <w:szCs w:val="20"/>
        </w:rPr>
        <w:t>求</w:t>
      </w:r>
      <w:r>
        <w:rPr>
          <w:rStyle w:val="translated-span"/>
          <w:rFonts w:ascii="Cambria" w:hAnsi="Cambria"/>
          <w:i/>
          <w:iCs/>
          <w:sz w:val="20"/>
          <w:szCs w:val="20"/>
        </w:rPr>
        <w:t>西</w:t>
      </w:r>
      <w:r>
        <w:rPr>
          <w:rStyle w:val="translated-span"/>
          <w:rFonts w:ascii="Cambria" w:hAnsi="Cambria"/>
          <w:i/>
          <w:iCs/>
          <w:sz w:val="20"/>
          <w:szCs w:val="20"/>
        </w:rPr>
        <w:t>格</w:t>
      </w:r>
      <w:r>
        <w:rPr>
          <w:rStyle w:val="translated-span"/>
          <w:rFonts w:ascii="Cambria" w:hAnsi="Cambria"/>
          <w:i/>
          <w:iCs/>
          <w:sz w:val="20"/>
          <w:szCs w:val="20"/>
        </w:rPr>
        <w:t>Enc</w:t>
      </w:r>
      <w:r>
        <w:rPr>
          <w:rStyle w:val="translated-span"/>
          <w:rFonts w:ascii="Cambria" w:hAnsi="Cambria"/>
          <w:i/>
          <w:iCs/>
          <w:sz w:val="20"/>
          <w:szCs w:val="20"/>
        </w:rPr>
        <w:t>公</w:t>
      </w:r>
      <w:r>
        <w:rPr>
          <w:rStyle w:val="translated-span"/>
          <w:rFonts w:ascii="Cambria" w:hAnsi="Cambria"/>
          <w:i/>
          <w:iCs/>
          <w:sz w:val="20"/>
          <w:szCs w:val="20"/>
        </w:rPr>
        <w:t>司</w:t>
      </w:r>
      <w:r>
        <w:rPr>
          <w:rStyle w:val="translated-span"/>
          <w:rFonts w:ascii="Cambria" w:hAnsi="Cambria"/>
          <w:i/>
          <w:iCs/>
          <w:sz w:val="20"/>
          <w:szCs w:val="20"/>
        </w:rPr>
        <w:t>森</w:t>
      </w:r>
      <w:r>
        <w:rPr>
          <w:rStyle w:val="translated-span"/>
          <w:rFonts w:ascii="Cambria" w:hAnsi="Cambria"/>
          <w:i/>
          <w:iCs/>
          <w:sz w:val="20"/>
          <w:szCs w:val="20"/>
        </w:rPr>
        <w:t>克</w:t>
      </w:r>
      <w:r>
        <w:rPr>
          <w:rStyle w:val="translated-span"/>
          <w:rFonts w:ascii="Cambria" w:hAnsi="Cambria"/>
          <w:i/>
          <w:iCs/>
          <w:sz w:val="20"/>
          <w:szCs w:val="20"/>
        </w:rPr>
        <w:t>Aenc</w:t>
      </w:r>
      <w:r>
        <w:rPr>
          <w:rStyle w:val="translated-span"/>
          <w:rFonts w:ascii="Cambria" w:hAnsi="Cambria"/>
          <w:i/>
          <w:iCs/>
          <w:sz w:val="20"/>
          <w:szCs w:val="20"/>
        </w:rPr>
        <w:t>公</w:t>
      </w:r>
      <w:r>
        <w:rPr>
          <w:rStyle w:val="translated-span"/>
          <w:rFonts w:ascii="Cambria" w:hAnsi="Cambria"/>
          <w:i/>
          <w:iCs/>
          <w:sz w:val="20"/>
          <w:szCs w:val="20"/>
        </w:rPr>
        <w:t>司</w:t>
      </w:r>
    </w:p>
    <w:p w:rsidR="00000000" w:rsidRDefault="00A52409">
      <w:pPr>
        <w:pStyle w:val="1"/>
        <w:ind w:left="344" w:hanging="353"/>
      </w:pPr>
      <w:r>
        <w:rPr>
          <w:sz w:val="22"/>
          <w:szCs w:val="22"/>
        </w:rP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22"/>
          <w:szCs w:val="22"/>
        </w:rPr>
        <w:t>FPPDL</w:t>
      </w:r>
      <w:r>
        <w:rPr>
          <w:rStyle w:val="translated-span"/>
          <w:sz w:val="22"/>
          <w:szCs w:val="22"/>
        </w:rPr>
        <w:t>的实</w:t>
      </w:r>
      <w:r>
        <w:rPr>
          <w:rStyle w:val="translated-span"/>
          <w:sz w:val="22"/>
          <w:szCs w:val="22"/>
        </w:rPr>
        <w:t>现</w:t>
      </w:r>
    </w:p>
    <w:p w:rsidR="00000000" w:rsidRDefault="00A52409">
      <w:pPr>
        <w:spacing w:after="75"/>
        <w:ind w:left="-15" w:firstLine="0"/>
      </w:pPr>
      <w:r>
        <w:rPr>
          <w:noProof/>
        </w:rPr>
        <w:drawing>
          <wp:inline distT="0" distB="0" distL="0" distR="0">
            <wp:extent cx="3209925" cy="190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209925" cy="190500"/>
                    </a:xfrm>
                    <a:prstGeom prst="rect">
                      <a:avLst/>
                    </a:prstGeom>
                    <a:noFill/>
                    <a:ln>
                      <a:noFill/>
                    </a:ln>
                  </pic:spPr>
                </pic:pic>
              </a:graphicData>
            </a:graphic>
          </wp:inline>
        </w:drawing>
      </w:r>
      <w:r>
        <w:rPr>
          <w:rStyle w:val="translated-span"/>
        </w:rPr>
        <w:t>本节详细介绍了</w:t>
      </w:r>
      <w:r>
        <w:rPr>
          <w:rStyle w:val="translated-span"/>
        </w:rPr>
        <w:t>FPPDL</w:t>
      </w:r>
      <w:r>
        <w:rPr>
          <w:rStyle w:val="translated-span"/>
        </w:rPr>
        <w:t>的两阶段实现，以实现公平性和隐私性</w:t>
      </w:r>
      <w:r>
        <w:rPr>
          <w:rStyle w:val="translated-span"/>
        </w:rPr>
        <w:t>。</w:t>
      </w:r>
      <w:r>
        <w:rPr>
          <w:rStyle w:val="translated-span"/>
        </w:rPr>
        <w:t>其中包括如何算法</w:t>
      </w:r>
      <w:r>
        <w:rPr>
          <w:rStyle w:val="translated-span"/>
        </w:rPr>
        <w:t>1</w:t>
      </w:r>
      <w:r>
        <w:rPr>
          <w:rStyle w:val="translated-span"/>
        </w:rPr>
        <w:t>初始基准测</w:t>
      </w:r>
      <w:r>
        <w:rPr>
          <w:rStyle w:val="translated-span"/>
        </w:rPr>
        <w:t>试</w:t>
      </w:r>
    </w:p>
    <w:p w:rsidR="00000000" w:rsidRDefault="00A52409">
      <w:pPr>
        <w:spacing w:after="0" w:line="256" w:lineRule="auto"/>
        <w:ind w:left="175" w:hanging="10"/>
        <w:jc w:val="left"/>
      </w:pPr>
      <w:r>
        <w:rPr>
          <w:rStyle w:val="translated-span"/>
          <w:b/>
          <w:bCs/>
          <w:sz w:val="18"/>
          <w:szCs w:val="18"/>
        </w:rPr>
        <w:t>输入：参与方数量，</w:t>
      </w:r>
      <w:r>
        <w:rPr>
          <w:rStyle w:val="translated-span"/>
          <w:b/>
          <w:bCs/>
          <w:sz w:val="18"/>
          <w:szCs w:val="18"/>
        </w:rPr>
        <w:t>C=1</w:t>
      </w:r>
      <w:r>
        <w:rPr>
          <w:rStyle w:val="translated-span"/>
          <w:b/>
          <w:bCs/>
          <w:sz w:val="18"/>
          <w:szCs w:val="18"/>
        </w:rPr>
        <w:t>。</w:t>
      </w:r>
      <w:r>
        <w:rPr>
          <w:rStyle w:val="translated-span"/>
          <w:b/>
          <w:bCs/>
          <w:sz w:val="18"/>
          <w:szCs w:val="18"/>
        </w:rPr>
        <w:t>，</w:t>
      </w:r>
      <w:r>
        <w:rPr>
          <w:rStyle w:val="translated-span"/>
          <w:b/>
          <w:bCs/>
          <w:sz w:val="18"/>
          <w:szCs w:val="18"/>
        </w:rPr>
        <w:t>n</w:t>
      </w:r>
      <w:r>
        <w:rPr>
          <w:rStyle w:val="translated-span"/>
          <w:rFonts w:ascii="Cambria" w:hAnsi="Cambria"/>
          <w:i/>
          <w:iCs/>
          <w:sz w:val="18"/>
          <w:szCs w:val="18"/>
        </w:rPr>
        <w:t>n</w:t>
      </w:r>
      <w:r>
        <w:rPr>
          <w:rStyle w:val="translated-span"/>
          <w:rFonts w:ascii="Cambria" w:hAnsi="Cambria"/>
          <w:sz w:val="18"/>
          <w:szCs w:val="18"/>
        </w:rPr>
        <w:t>{</w:t>
      </w:r>
      <w:r>
        <w:rPr>
          <w:rStyle w:val="translated-span"/>
          <w:rFonts w:ascii="Cambria" w:hAnsi="Cambria"/>
          <w:sz w:val="18"/>
          <w:szCs w:val="18"/>
        </w:rPr>
        <w:t>}</w:t>
      </w:r>
    </w:p>
    <w:p w:rsidR="00000000" w:rsidRDefault="00A52409">
      <w:pPr>
        <w:spacing w:after="4" w:line="230" w:lineRule="auto"/>
        <w:ind w:left="175" w:hanging="10"/>
      </w:pPr>
      <w:r>
        <w:rPr>
          <w:rStyle w:val="translated-span"/>
          <w:b/>
          <w:bCs/>
          <w:sz w:val="18"/>
          <w:szCs w:val="18"/>
        </w:rPr>
        <w:t>输出：当地信誉和各方得</w:t>
      </w:r>
      <w:r>
        <w:rPr>
          <w:rStyle w:val="translated-span"/>
          <w:b/>
          <w:bCs/>
          <w:sz w:val="18"/>
          <w:szCs w:val="18"/>
        </w:rPr>
        <w:t>分</w:t>
      </w:r>
      <w:r>
        <w:rPr>
          <w:rStyle w:val="translated-span"/>
          <w:sz w:val="18"/>
          <w:szCs w:val="18"/>
        </w:rPr>
        <w:t>1</w:t>
      </w:r>
      <w:r>
        <w:rPr>
          <w:rStyle w:val="translated-span"/>
          <w:sz w:val="18"/>
          <w:szCs w:val="18"/>
        </w:rPr>
        <w:t>：</w:t>
      </w:r>
      <w:r>
        <w:rPr>
          <w:rStyle w:val="translated-span"/>
          <w:sz w:val="18"/>
          <w:szCs w:val="18"/>
        </w:rPr>
        <w:t xml:space="preserve"> aprior</w:t>
      </w:r>
      <w:r>
        <w:rPr>
          <w:rStyle w:val="translated-span"/>
          <w:sz w:val="18"/>
          <w:szCs w:val="18"/>
        </w:rPr>
        <w:t>模型预训练：各方基于其本地训练数据训练独立模型和本地</w:t>
      </w:r>
      <w:r>
        <w:rPr>
          <w:rStyle w:val="translated-span"/>
          <w:sz w:val="18"/>
          <w:szCs w:val="18"/>
        </w:rPr>
        <w:t>DPGAN</w:t>
      </w:r>
      <w:r>
        <w:rPr>
          <w:rStyle w:val="translated-span"/>
          <w:sz w:val="18"/>
          <w:szCs w:val="18"/>
        </w:rPr>
        <w:t>。</w:t>
      </w:r>
      <w:r>
        <w:rPr>
          <w:rStyle w:val="translated-span"/>
          <w:sz w:val="18"/>
          <w:szCs w:val="18"/>
        </w:rPr>
        <w:t>2</w:t>
      </w:r>
      <w:r>
        <w:rPr>
          <w:rStyle w:val="translated-span"/>
          <w:sz w:val="18"/>
          <w:szCs w:val="18"/>
        </w:rPr>
        <w:t>：</w:t>
      </w:r>
      <w:r>
        <w:rPr>
          <w:rStyle w:val="translated-span"/>
          <w:sz w:val="18"/>
          <w:szCs w:val="18"/>
        </w:rPr>
        <w:t xml:space="preserve"> </w:t>
      </w:r>
      <w:r>
        <w:rPr>
          <w:rStyle w:val="translated-span"/>
          <w:sz w:val="18"/>
          <w:szCs w:val="18"/>
        </w:rPr>
        <w:t>共享级初始化：初始化时，</w:t>
      </w:r>
      <w:r>
        <w:rPr>
          <w:rStyle w:val="translated-span"/>
          <w:sz w:val="18"/>
          <w:szCs w:val="18"/>
        </w:rPr>
        <w:t>party</w:t>
      </w:r>
      <w:r>
        <w:rPr>
          <w:rStyle w:val="translated-span"/>
          <w:sz w:val="18"/>
          <w:szCs w:val="18"/>
        </w:rPr>
        <w:t>随机选择本地</w:t>
      </w:r>
      <w:r>
        <w:rPr>
          <w:rStyle w:val="translated-span"/>
          <w:sz w:val="18"/>
          <w:szCs w:val="18"/>
        </w:rPr>
        <w:t>DPGAN</w:t>
      </w:r>
      <w:r>
        <w:rPr>
          <w:rStyle w:val="translated-span"/>
          <w:sz w:val="18"/>
          <w:szCs w:val="18"/>
        </w:rPr>
        <w:t>生成的人工样本发布给任何一方，共享级别自主确定为</w:t>
      </w:r>
      <w:r>
        <w:rPr>
          <w:rStyle w:val="translated-span"/>
          <w:sz w:val="18"/>
          <w:szCs w:val="18"/>
        </w:rPr>
        <w:t>=ui/| Di |</w:t>
      </w:r>
      <w:r>
        <w:rPr>
          <w:rStyle w:val="translated-span"/>
          <w:sz w:val="18"/>
          <w:szCs w:val="18"/>
        </w:rPr>
        <w:t>，其中</w:t>
      </w:r>
      <w:r>
        <w:rPr>
          <w:rStyle w:val="translated-span"/>
          <w:sz w:val="18"/>
          <w:szCs w:val="18"/>
        </w:rPr>
        <w:t>| Di |</w:t>
      </w:r>
      <w:r>
        <w:rPr>
          <w:rStyle w:val="translated-span"/>
          <w:sz w:val="18"/>
          <w:szCs w:val="18"/>
        </w:rPr>
        <w:t>为</w:t>
      </w:r>
      <w:r>
        <w:rPr>
          <w:rStyle w:val="translated-span"/>
          <w:sz w:val="18"/>
          <w:szCs w:val="18"/>
        </w:rPr>
        <w:t>party</w:t>
      </w:r>
      <w:r>
        <w:rPr>
          <w:rStyle w:val="translated-span"/>
          <w:sz w:val="18"/>
          <w:szCs w:val="18"/>
        </w:rPr>
        <w:t>的本地培训数据大小</w:t>
      </w:r>
      <w:r>
        <w:rPr>
          <w:rStyle w:val="translated-span"/>
          <w:sz w:val="18"/>
          <w:szCs w:val="18"/>
        </w:rPr>
        <w:t>。</w:t>
      </w:r>
      <w:r>
        <w:rPr>
          <w:rStyle w:val="translated-span"/>
          <w:rFonts w:ascii="Cambria" w:hAnsi="Cambria"/>
          <w:i/>
          <w:iCs/>
          <w:sz w:val="18"/>
          <w:szCs w:val="18"/>
        </w:rPr>
        <w:t>我</w:t>
      </w:r>
      <w:r>
        <w:rPr>
          <w:rStyle w:val="translated-span"/>
          <w:rFonts w:ascii="Cambria" w:hAnsi="Cambria"/>
          <w:i/>
          <w:iCs/>
          <w:sz w:val="18"/>
          <w:szCs w:val="18"/>
        </w:rPr>
        <w:t>惯性</w:t>
      </w:r>
      <w:r>
        <w:rPr>
          <w:rStyle w:val="translated-span"/>
          <w:rFonts w:ascii="Cambria" w:hAnsi="Cambria"/>
          <w:i/>
          <w:iCs/>
          <w:sz w:val="18"/>
          <w:szCs w:val="18"/>
        </w:rPr>
        <w:t>矩</w:t>
      </w:r>
      <w:r>
        <w:rPr>
          <w:rStyle w:val="translated-span"/>
          <w:rFonts w:ascii="Cambria" w:hAnsi="Cambria"/>
          <w:i/>
          <w:iCs/>
          <w:sz w:val="18"/>
          <w:szCs w:val="18"/>
        </w:rPr>
        <w:t>我</w:t>
      </w:r>
      <w:r>
        <w:rPr>
          <w:rStyle w:val="translated-span"/>
          <w:rFonts w:ascii="Cambria" w:hAnsi="Cambria"/>
          <w:i/>
          <w:iCs/>
          <w:sz w:val="18"/>
          <w:szCs w:val="18"/>
        </w:rPr>
        <w:t>用户界</w:t>
      </w:r>
      <w:r>
        <w:rPr>
          <w:rStyle w:val="translated-span"/>
          <w:rFonts w:ascii="Cambria" w:hAnsi="Cambria"/>
          <w:i/>
          <w:iCs/>
          <w:sz w:val="18"/>
          <w:szCs w:val="18"/>
        </w:rPr>
        <w:t>面</w:t>
      </w:r>
      <w:r>
        <w:rPr>
          <w:rStyle w:val="translated-span"/>
          <w:rFonts w:ascii="Cambria" w:hAnsi="Cambria"/>
          <w:i/>
          <w:iCs/>
          <w:sz w:val="18"/>
          <w:szCs w:val="18"/>
        </w:rPr>
        <w:t>j</w:t>
      </w:r>
      <w:r>
        <w:rPr>
          <w:rStyle w:val="translated-span"/>
          <w:rFonts w:ascii="Cambria" w:hAnsi="Cambria"/>
          <w:i/>
          <w:iCs/>
          <w:sz w:val="18"/>
          <w:szCs w:val="18"/>
        </w:rPr>
        <w:t>λ</w:t>
      </w:r>
      <w:r>
        <w:rPr>
          <w:rStyle w:val="translated-span"/>
          <w:rFonts w:ascii="Cambria" w:hAnsi="Cambria"/>
          <w:i/>
          <w:iCs/>
          <w:sz w:val="18"/>
          <w:szCs w:val="18"/>
        </w:rPr>
        <w:t>i</w:t>
      </w:r>
      <w:r>
        <w:rPr>
          <w:rStyle w:val="translated-span"/>
          <w:rFonts w:ascii="Cambria" w:hAnsi="Cambria"/>
          <w:i/>
          <w:iCs/>
          <w:sz w:val="18"/>
          <w:szCs w:val="18"/>
        </w:rPr>
        <w:t>我</w:t>
      </w:r>
    </w:p>
    <w:p w:rsidR="00000000" w:rsidRDefault="00A52409">
      <w:pPr>
        <w:spacing w:after="4" w:line="230" w:lineRule="auto"/>
        <w:ind w:left="175" w:hanging="10"/>
      </w:pPr>
      <w:r>
        <w:rPr>
          <w:rStyle w:val="translated-span"/>
          <w:sz w:val="18"/>
          <w:szCs w:val="18"/>
        </w:rPr>
        <w:t>3</w:t>
      </w:r>
      <w:r>
        <w:rPr>
          <w:rStyle w:val="translated-span"/>
          <w:sz w:val="18"/>
          <w:szCs w:val="18"/>
        </w:rPr>
        <w:t>：</w:t>
      </w:r>
      <w:r>
        <w:rPr>
          <w:rStyle w:val="translated-span"/>
          <w:sz w:val="18"/>
          <w:szCs w:val="18"/>
        </w:rPr>
        <w:t xml:space="preserve"> </w:t>
      </w:r>
      <w:r>
        <w:rPr>
          <w:rStyle w:val="translated-span"/>
          <w:sz w:val="18"/>
          <w:szCs w:val="18"/>
        </w:rPr>
        <w:t>局部可信度初始化：</w:t>
      </w:r>
      <w:r>
        <w:rPr>
          <w:rStyle w:val="translated-span"/>
          <w:sz w:val="18"/>
          <w:szCs w:val="18"/>
        </w:rPr>
        <w:t>Party</w:t>
      </w:r>
      <w:r>
        <w:rPr>
          <w:rStyle w:val="translated-span"/>
          <w:sz w:val="18"/>
          <w:szCs w:val="18"/>
        </w:rPr>
        <w:t>通过其局部模型对接收到的人工样本进行标记，然后将预测的标签返回给</w:t>
      </w:r>
      <w:r>
        <w:rPr>
          <w:rStyle w:val="translated-span"/>
          <w:sz w:val="18"/>
          <w:szCs w:val="18"/>
        </w:rPr>
        <w:t>Party</w:t>
      </w:r>
      <w:r>
        <w:rPr>
          <w:rStyle w:val="translated-span"/>
          <w:sz w:val="18"/>
          <w:szCs w:val="18"/>
        </w:rPr>
        <w:t>。</w:t>
      </w:r>
      <w:r>
        <w:rPr>
          <w:rStyle w:val="translated-span"/>
          <w:sz w:val="18"/>
          <w:szCs w:val="18"/>
        </w:rPr>
        <w:t>同时，该党还为自己的</w:t>
      </w:r>
      <w:r>
        <w:rPr>
          <w:rStyle w:val="translated-span"/>
          <w:sz w:val="18"/>
          <w:szCs w:val="18"/>
        </w:rPr>
        <w:t>DPGAN</w:t>
      </w:r>
      <w:r>
        <w:rPr>
          <w:rStyle w:val="translated-span"/>
          <w:sz w:val="18"/>
          <w:szCs w:val="18"/>
        </w:rPr>
        <w:t>样品贴上标签</w:t>
      </w:r>
      <w:r>
        <w:rPr>
          <w:rStyle w:val="translated-span"/>
          <w:sz w:val="18"/>
          <w:szCs w:val="18"/>
        </w:rPr>
        <w:t>。</w:t>
      </w:r>
      <w:r>
        <w:rPr>
          <w:rStyle w:val="translated-span"/>
          <w:sz w:val="18"/>
          <w:szCs w:val="18"/>
        </w:rPr>
        <w:t>然后，党对所有预测的标签进行多数票表决，从而初始化政党的地方公信</w:t>
      </w:r>
      <w:r>
        <w:rPr>
          <w:rStyle w:val="translated-span"/>
          <w:sz w:val="18"/>
          <w:szCs w:val="18"/>
        </w:rPr>
        <w:t>力</w:t>
      </w:r>
      <w:r>
        <w:rPr>
          <w:rStyle w:val="translated-span"/>
          <w:rFonts w:ascii="Cambria" w:hAnsi="Cambria"/>
          <w:i/>
          <w:iCs/>
          <w:sz w:val="18"/>
          <w:szCs w:val="18"/>
        </w:rPr>
        <w:t>j</w:t>
      </w:r>
      <w:r>
        <w:rPr>
          <w:rStyle w:val="translated-span"/>
          <w:rFonts w:ascii="Cambria" w:hAnsi="Cambria"/>
          <w:i/>
          <w:iCs/>
          <w:sz w:val="18"/>
          <w:szCs w:val="18"/>
        </w:rPr>
        <w:t>乔</w:t>
      </w:r>
      <w:r>
        <w:rPr>
          <w:rStyle w:val="translated-span"/>
          <w:rFonts w:ascii="Cambria" w:hAnsi="Cambria"/>
          <w:i/>
          <w:iCs/>
          <w:sz w:val="18"/>
          <w:szCs w:val="18"/>
        </w:rPr>
        <w:t>丹</w:t>
      </w:r>
      <w:r>
        <w:rPr>
          <w:rStyle w:val="translated-span"/>
          <w:rFonts w:ascii="Cambria" w:hAnsi="Cambria"/>
          <w:i/>
          <w:iCs/>
          <w:sz w:val="18"/>
          <w:szCs w:val="18"/>
        </w:rPr>
        <w:t>我</w:t>
      </w:r>
      <w:r>
        <w:rPr>
          <w:rStyle w:val="translated-span"/>
          <w:rFonts w:ascii="Cambria" w:hAnsi="Cambria"/>
          <w:i/>
          <w:iCs/>
          <w:sz w:val="18"/>
          <w:szCs w:val="18"/>
        </w:rPr>
        <w:t>我</w:t>
      </w:r>
      <w:r>
        <w:rPr>
          <w:rStyle w:val="translated-span"/>
          <w:rFonts w:ascii="Cambria" w:hAnsi="Cambria"/>
          <w:i/>
          <w:iCs/>
          <w:sz w:val="18"/>
          <w:szCs w:val="18"/>
        </w:rPr>
        <w:t>惯性</w:t>
      </w:r>
      <w:r>
        <w:rPr>
          <w:rStyle w:val="translated-span"/>
          <w:rFonts w:ascii="Cambria" w:hAnsi="Cambria"/>
          <w:i/>
          <w:iCs/>
          <w:sz w:val="18"/>
          <w:szCs w:val="18"/>
        </w:rPr>
        <w:t>矩</w:t>
      </w:r>
      <w:r>
        <w:rPr>
          <w:rStyle w:val="translated-span"/>
          <w:rFonts w:ascii="Cambria" w:hAnsi="Cambria"/>
          <w:i/>
          <w:iCs/>
          <w:sz w:val="18"/>
          <w:szCs w:val="18"/>
        </w:rPr>
        <w:t>我</w:t>
      </w:r>
      <w:r>
        <w:rPr>
          <w:noProof/>
        </w:rPr>
        <w:drawing>
          <wp:inline distT="0" distB="0" distL="0" distR="0">
            <wp:extent cx="619125" cy="161925"/>
            <wp:effectExtent l="0" t="0" r="9525" b="9525"/>
            <wp:docPr id="12" name="Picture 17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6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r>
        <w:rPr>
          <w:rStyle w:val="translated-span"/>
          <w:sz w:val="18"/>
          <w:szCs w:val="18"/>
        </w:rPr>
        <w:t>，其中是多数标签和</w:t>
      </w:r>
      <w:r>
        <w:rPr>
          <w:rStyle w:val="translated-span"/>
          <w:sz w:val="18"/>
          <w:szCs w:val="18"/>
        </w:rPr>
        <w:t>party</w:t>
      </w:r>
      <w:r>
        <w:rPr>
          <w:rStyle w:val="translated-span"/>
          <w:sz w:val="18"/>
          <w:szCs w:val="18"/>
        </w:rPr>
        <w:t>的预测标签之间的匹配数，</w:t>
      </w:r>
      <w:r>
        <w:rPr>
          <w:rStyle w:val="translated-span"/>
          <w:sz w:val="18"/>
          <w:szCs w:val="18"/>
        </w:rPr>
        <w:t>是</w:t>
      </w:r>
      <w:r>
        <w:rPr>
          <w:rStyle w:val="translated-span"/>
          <w:sz w:val="18"/>
          <w:szCs w:val="18"/>
        </w:rPr>
        <w:t>party</w:t>
      </w:r>
      <w:r>
        <w:rPr>
          <w:rStyle w:val="translated-span"/>
          <w:sz w:val="18"/>
          <w:szCs w:val="18"/>
        </w:rPr>
        <w:t>发布的</w:t>
      </w:r>
      <w:r>
        <w:rPr>
          <w:rStyle w:val="translated-span"/>
          <w:sz w:val="18"/>
          <w:szCs w:val="18"/>
        </w:rPr>
        <w:t>DPGAN</w:t>
      </w:r>
      <w:r>
        <w:rPr>
          <w:rStyle w:val="translated-span"/>
          <w:sz w:val="18"/>
          <w:szCs w:val="18"/>
        </w:rPr>
        <w:t>样本数</w:t>
      </w:r>
      <w:r>
        <w:rPr>
          <w:rStyle w:val="translated-span"/>
          <w:sz w:val="18"/>
          <w:szCs w:val="18"/>
        </w:rPr>
        <w:t>。</w:t>
      </w:r>
      <w:r>
        <w:rPr>
          <w:rStyle w:val="translated-span"/>
          <w:sz w:val="18"/>
          <w:szCs w:val="18"/>
        </w:rPr>
        <w:t>详细说明见第</w:t>
      </w:r>
      <w:r>
        <w:rPr>
          <w:rStyle w:val="translated-span"/>
          <w:sz w:val="18"/>
          <w:szCs w:val="18"/>
        </w:rPr>
        <w:t>5.1.1</w:t>
      </w:r>
      <w:r>
        <w:rPr>
          <w:rStyle w:val="translated-span"/>
          <w:sz w:val="18"/>
          <w:szCs w:val="18"/>
        </w:rPr>
        <w:t>节</w:t>
      </w:r>
      <w:r>
        <w:rPr>
          <w:rStyle w:val="translated-span"/>
          <w:sz w:val="18"/>
          <w:szCs w:val="18"/>
        </w:rPr>
        <w:t>。</w:t>
      </w:r>
      <w:r>
        <w:rPr>
          <w:rStyle w:val="translated-span"/>
          <w:rFonts w:ascii="Cambria" w:hAnsi="Cambria"/>
          <w:i/>
          <w:iCs/>
          <w:sz w:val="18"/>
          <w:szCs w:val="18"/>
        </w:rPr>
        <w:t>乔</w:t>
      </w:r>
      <w:r>
        <w:rPr>
          <w:rStyle w:val="translated-span"/>
          <w:rFonts w:ascii="Cambria" w:hAnsi="Cambria"/>
          <w:i/>
          <w:iCs/>
          <w:sz w:val="18"/>
          <w:szCs w:val="18"/>
        </w:rPr>
        <w:t>丹</w:t>
      </w:r>
      <w:r>
        <w:rPr>
          <w:rStyle w:val="translated-span"/>
          <w:rFonts w:ascii="Cambria" w:hAnsi="Cambria"/>
          <w:i/>
          <w:iCs/>
          <w:sz w:val="18"/>
          <w:szCs w:val="18"/>
        </w:rPr>
        <w:t>j</w:t>
      </w:r>
      <w:r>
        <w:rPr>
          <w:rStyle w:val="translated-span"/>
          <w:rFonts w:ascii="Cambria" w:hAnsi="Cambria"/>
          <w:i/>
          <w:iCs/>
          <w:sz w:val="18"/>
          <w:szCs w:val="18"/>
        </w:rPr>
        <w:t>用户界</w:t>
      </w:r>
      <w:r>
        <w:rPr>
          <w:rStyle w:val="translated-span"/>
          <w:rFonts w:ascii="Cambria" w:hAnsi="Cambria"/>
          <w:i/>
          <w:iCs/>
          <w:sz w:val="18"/>
          <w:szCs w:val="18"/>
        </w:rPr>
        <w:t>面</w:t>
      </w:r>
      <w:r>
        <w:rPr>
          <w:rStyle w:val="translated-span"/>
          <w:rFonts w:ascii="Cambria" w:hAnsi="Cambria"/>
          <w:i/>
          <w:iCs/>
          <w:sz w:val="18"/>
          <w:szCs w:val="18"/>
        </w:rPr>
        <w:t>我</w:t>
      </w:r>
    </w:p>
    <w:p w:rsidR="00000000" w:rsidRDefault="00A52409">
      <w:pPr>
        <w:spacing w:after="35" w:line="256" w:lineRule="auto"/>
        <w:ind w:left="175" w:hanging="10"/>
        <w:jc w:val="left"/>
      </w:pPr>
      <w:r>
        <w:rPr>
          <w:rStyle w:val="translated-span"/>
          <w:sz w:val="18"/>
          <w:szCs w:val="18"/>
        </w:rPr>
        <w:t>4</w:t>
      </w:r>
      <w:r>
        <w:rPr>
          <w:rStyle w:val="translated-span"/>
          <w:sz w:val="18"/>
          <w:szCs w:val="18"/>
        </w:rPr>
        <w:t>：</w:t>
      </w:r>
      <w:r>
        <w:rPr>
          <w:rStyle w:val="translated-span"/>
          <w:sz w:val="18"/>
          <w:szCs w:val="18"/>
        </w:rPr>
        <w:t xml:space="preserve"> </w:t>
      </w:r>
      <w:r>
        <w:rPr>
          <w:rStyle w:val="translated-span"/>
          <w:sz w:val="18"/>
          <w:szCs w:val="18"/>
        </w:rPr>
        <w:t>地方公信力规范化</w:t>
      </w:r>
      <w:r>
        <w:rPr>
          <w:rStyle w:val="translated-span"/>
          <w:sz w:val="18"/>
          <w:szCs w:val="18"/>
        </w:rPr>
        <w:t>：</w:t>
      </w:r>
      <w:r>
        <w:rPr>
          <w:noProof/>
        </w:rPr>
        <w:drawing>
          <wp:inline distT="0" distB="0" distL="0" distR="0">
            <wp:extent cx="742950" cy="266700"/>
            <wp:effectExtent l="0" t="0" r="0" b="0"/>
            <wp:docPr id="13" name="Picture 17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61"/>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p>
    <w:p w:rsidR="00000000" w:rsidRDefault="00A52409">
      <w:pPr>
        <w:spacing w:after="0" w:line="256" w:lineRule="auto"/>
        <w:ind w:left="175" w:hanging="10"/>
        <w:jc w:val="left"/>
      </w:pPr>
      <w:r>
        <w:rPr>
          <w:rStyle w:val="translated-span"/>
          <w:b/>
          <w:bCs/>
          <w:sz w:val="18"/>
          <w:szCs w:val="18"/>
        </w:rPr>
        <w:t>如果那样的</w:t>
      </w:r>
      <w:r>
        <w:rPr>
          <w:rStyle w:val="translated-span"/>
          <w:b/>
          <w:bCs/>
          <w:sz w:val="18"/>
          <w:szCs w:val="18"/>
        </w:rPr>
        <w:t>话</w:t>
      </w:r>
      <w:r>
        <w:rPr>
          <w:rStyle w:val="translated-span"/>
          <w:rFonts w:ascii="Cambria" w:hAnsi="Cambria"/>
          <w:i/>
          <w:iCs/>
          <w:sz w:val="18"/>
          <w:szCs w:val="18"/>
        </w:rPr>
        <w:t>c</w:t>
      </w:r>
      <w:r>
        <w:rPr>
          <w:rStyle w:val="translated-span"/>
          <w:rFonts w:ascii="Cambria" w:hAnsi="Cambria"/>
          <w:i/>
          <w:iCs/>
          <w:sz w:val="12"/>
          <w:szCs w:val="12"/>
        </w:rPr>
        <w:t>吉</w:t>
      </w:r>
      <w:r>
        <w:rPr>
          <w:rStyle w:val="translated-span"/>
          <w:rFonts w:ascii="Cambria" w:hAnsi="Cambria"/>
          <w:i/>
          <w:iCs/>
          <w:sz w:val="18"/>
          <w:szCs w:val="18"/>
        </w:rPr>
        <w:t>&lt;c</w:t>
      </w:r>
      <w:r>
        <w:rPr>
          <w:rStyle w:val="translated-span"/>
          <w:rFonts w:ascii="Cambria" w:hAnsi="Cambria"/>
          <w:i/>
          <w:iCs/>
          <w:sz w:val="18"/>
          <w:szCs w:val="18"/>
        </w:rPr>
        <w:t>级</w:t>
      </w:r>
      <w:r>
        <w:rPr>
          <w:rStyle w:val="translated-span"/>
          <w:rFonts w:ascii="Cambria" w:hAnsi="Cambria"/>
          <w:i/>
          <w:iCs/>
          <w:sz w:val="12"/>
          <w:szCs w:val="12"/>
        </w:rPr>
        <w:t>第</w:t>
      </w:r>
    </w:p>
    <w:p w:rsidR="00000000" w:rsidRDefault="00A52409">
      <w:pPr>
        <w:spacing w:after="0" w:line="256" w:lineRule="auto"/>
        <w:ind w:right="133" w:firstLine="0"/>
        <w:jc w:val="center"/>
      </w:pPr>
      <w:r>
        <w:rPr>
          <w:rStyle w:val="translated-span"/>
          <w:sz w:val="18"/>
          <w:szCs w:val="18"/>
        </w:rPr>
        <w:t>党报党为低贡献</w:t>
      </w:r>
      <w:r>
        <w:rPr>
          <w:rStyle w:val="translated-span"/>
          <w:sz w:val="18"/>
          <w:szCs w:val="18"/>
        </w:rPr>
        <w:t>党</w:t>
      </w:r>
      <w:r>
        <w:rPr>
          <w:rStyle w:val="translated-span"/>
          <w:rFonts w:ascii="Cambria" w:hAnsi="Cambria"/>
          <w:i/>
          <w:iCs/>
          <w:sz w:val="18"/>
          <w:szCs w:val="18"/>
        </w:rPr>
        <w:t>我</w:t>
      </w:r>
      <w:r>
        <w:rPr>
          <w:rStyle w:val="translated-span"/>
          <w:rFonts w:ascii="Cambria" w:hAnsi="Cambria"/>
          <w:i/>
          <w:iCs/>
          <w:sz w:val="18"/>
          <w:szCs w:val="18"/>
        </w:rPr>
        <w:t>j</w:t>
      </w:r>
    </w:p>
    <w:p w:rsidR="00000000" w:rsidRDefault="00A52409">
      <w:pPr>
        <w:spacing w:after="0" w:line="256" w:lineRule="auto"/>
        <w:ind w:left="175" w:hanging="10"/>
        <w:jc w:val="left"/>
      </w:pPr>
      <w:r>
        <w:rPr>
          <w:rStyle w:val="translated-span"/>
          <w:b/>
          <w:bCs/>
          <w:sz w:val="18"/>
          <w:szCs w:val="18"/>
        </w:rPr>
        <w:t>结束</w:t>
      </w:r>
      <w:r>
        <w:rPr>
          <w:rStyle w:val="translated-span"/>
          <w:b/>
          <w:bCs/>
          <w:sz w:val="18"/>
          <w:szCs w:val="18"/>
        </w:rPr>
        <w:t>i</w:t>
      </w:r>
      <w:r>
        <w:rPr>
          <w:rStyle w:val="translated-span"/>
          <w:b/>
          <w:bCs/>
          <w:sz w:val="18"/>
          <w:szCs w:val="18"/>
        </w:rPr>
        <w:t>f</w:t>
      </w:r>
    </w:p>
    <w:p w:rsidR="00000000" w:rsidRDefault="00A52409">
      <w:pPr>
        <w:spacing w:after="4" w:line="230" w:lineRule="auto"/>
        <w:ind w:left="175" w:hanging="10"/>
      </w:pPr>
      <w:r>
        <w:rPr>
          <w:rStyle w:val="translated-span"/>
          <w:sz w:val="18"/>
          <w:szCs w:val="18"/>
        </w:rPr>
        <w:t>5</w:t>
      </w:r>
      <w:r>
        <w:rPr>
          <w:rStyle w:val="translated-span"/>
          <w:sz w:val="18"/>
          <w:szCs w:val="18"/>
        </w:rPr>
        <w:t>：</w:t>
      </w:r>
      <w:r>
        <w:rPr>
          <w:rStyle w:val="translated-span"/>
          <w:sz w:val="18"/>
          <w:szCs w:val="18"/>
        </w:rPr>
        <w:t xml:space="preserve"> </w:t>
      </w:r>
      <w:r>
        <w:rPr>
          <w:rStyle w:val="translated-span"/>
          <w:sz w:val="18"/>
          <w:szCs w:val="18"/>
        </w:rPr>
        <w:t>可信方集：如果大多数参与方报告参与方为低贡献方，区块链将该方从可信方集中移除，所有各方再次运行第</w:t>
      </w:r>
      <w:r>
        <w:rPr>
          <w:rStyle w:val="translated-span"/>
          <w:sz w:val="18"/>
          <w:szCs w:val="18"/>
        </w:rPr>
        <w:t>4</w:t>
      </w:r>
      <w:r>
        <w:rPr>
          <w:rStyle w:val="translated-span"/>
          <w:sz w:val="18"/>
          <w:szCs w:val="18"/>
        </w:rPr>
        <w:t>步</w:t>
      </w:r>
      <w:r>
        <w:rPr>
          <w:rStyle w:val="translated-span"/>
          <w:sz w:val="18"/>
          <w:szCs w:val="18"/>
        </w:rPr>
        <w:t>。</w:t>
      </w:r>
      <w:r>
        <w:rPr>
          <w:rStyle w:val="translated-span"/>
          <w:sz w:val="18"/>
          <w:szCs w:val="18"/>
        </w:rPr>
        <w:t>6</w:t>
      </w:r>
      <w:r>
        <w:rPr>
          <w:rStyle w:val="translated-span"/>
          <w:sz w:val="18"/>
          <w:szCs w:val="18"/>
        </w:rPr>
        <w:t>：</w:t>
      </w:r>
      <w:r>
        <w:rPr>
          <w:rStyle w:val="translated-span"/>
          <w:sz w:val="18"/>
          <w:szCs w:val="18"/>
        </w:rPr>
        <w:t xml:space="preserve"> </w:t>
      </w:r>
      <w:r>
        <w:rPr>
          <w:rStyle w:val="translated-span"/>
          <w:sz w:val="18"/>
          <w:szCs w:val="18"/>
        </w:rPr>
        <w:t>下载渐变的点初始化：</w:t>
      </w:r>
      <w:r>
        <w:rPr>
          <w:rStyle w:val="translated-span"/>
          <w:sz w:val="18"/>
          <w:szCs w:val="18"/>
        </w:rPr>
        <w:t>=λi | |*</w:t>
      </w:r>
      <w:r>
        <w:rPr>
          <w:rStyle w:val="translated-span"/>
          <w:sz w:val="18"/>
          <w:szCs w:val="18"/>
        </w:rPr>
        <w:t>（</w:t>
      </w:r>
      <w:r>
        <w:rPr>
          <w:rStyle w:val="translated-span"/>
          <w:sz w:val="18"/>
          <w:szCs w:val="18"/>
        </w:rPr>
        <w:t>n</w:t>
      </w: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w:t>
      </w:r>
      <w:r>
        <w:rPr>
          <w:rStyle w:val="translated-span"/>
          <w:rFonts w:ascii="Cambria" w:hAnsi="Cambria"/>
          <w:i/>
          <w:iCs/>
          <w:sz w:val="18"/>
          <w:szCs w:val="18"/>
        </w:rPr>
        <w:t>j</w:t>
      </w:r>
      <w:r>
        <w:rPr>
          <w:rStyle w:val="translated-span"/>
          <w:rFonts w:ascii="Cambria" w:hAnsi="Cambria"/>
          <w:i/>
          <w:iCs/>
          <w:sz w:val="18"/>
          <w:szCs w:val="18"/>
        </w:rPr>
        <w:t>j</w:t>
      </w:r>
      <w:r>
        <w:rPr>
          <w:rStyle w:val="translated-span"/>
          <w:rFonts w:ascii="Cambria" w:hAnsi="Cambria"/>
          <w:i/>
          <w:iCs/>
          <w:sz w:val="18"/>
          <w:szCs w:val="18"/>
        </w:rPr>
        <w:t>C</w:t>
      </w:r>
      <w:r>
        <w:rPr>
          <w:rStyle w:val="translated-span"/>
          <w:rFonts w:ascii="Cambria" w:hAnsi="Cambria"/>
          <w:i/>
          <w:iCs/>
          <w:sz w:val="18"/>
          <w:szCs w:val="18"/>
        </w:rPr>
        <w:t>圆周</w:t>
      </w:r>
      <w:r>
        <w:rPr>
          <w:rStyle w:val="translated-span"/>
          <w:rFonts w:ascii="Cambria" w:hAnsi="Cambria"/>
          <w:i/>
          <w:iCs/>
          <w:sz w:val="18"/>
          <w:szCs w:val="18"/>
        </w:rPr>
        <w:t>率</w:t>
      </w:r>
      <w:r>
        <w:rPr>
          <w:rStyle w:val="translated-span"/>
          <w:i/>
          <w:iCs/>
          <w:sz w:val="18"/>
          <w:szCs w:val="18"/>
        </w:rPr>
        <w:t>威斯康星</w:t>
      </w:r>
      <w:r>
        <w:rPr>
          <w:rStyle w:val="translated-span"/>
          <w:i/>
          <w:iCs/>
          <w:sz w:val="18"/>
          <w:szCs w:val="18"/>
        </w:rPr>
        <w:t>州</w:t>
      </w:r>
    </w:p>
    <w:p w:rsidR="00000000" w:rsidRDefault="00A52409">
      <w:pPr>
        <w:spacing w:after="425" w:line="256" w:lineRule="auto"/>
        <w:ind w:firstLine="0"/>
        <w:jc w:val="left"/>
      </w:pPr>
      <w:r>
        <w:rPr>
          <w:noProof/>
          <w:sz w:val="22"/>
          <w:szCs w:val="22"/>
        </w:rPr>
        <w:drawing>
          <wp:inline distT="0" distB="0" distL="0" distR="0">
            <wp:extent cx="3209925" cy="9525"/>
            <wp:effectExtent l="0" t="0" r="0" b="0"/>
            <wp:docPr id="14" name="Group 15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382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209925" cy="9525"/>
                    </a:xfrm>
                    <a:prstGeom prst="rect">
                      <a:avLst/>
                    </a:prstGeom>
                    <a:noFill/>
                    <a:ln>
                      <a:noFill/>
                    </a:ln>
                  </pic:spPr>
                </pic:pic>
              </a:graphicData>
            </a:graphic>
          </wp:inline>
        </w:drawing>
      </w:r>
    </w:p>
    <w:p w:rsidR="00000000" w:rsidRDefault="00A52409">
      <w:pPr>
        <w:spacing w:after="274"/>
        <w:ind w:left="-15" w:firstLine="0"/>
      </w:pPr>
      <w:r>
        <w:rPr>
          <w:rStyle w:val="translated-span"/>
        </w:rPr>
        <w:t>初始化本地可信度值，通过初始基准测试共享级别和点数，以及如何在隐私保护协作深度学习阶段更新本地可信度值和点数，然后量化公平性</w:t>
      </w:r>
      <w:r>
        <w:rPr>
          <w:rStyle w:val="translated-span"/>
        </w:rPr>
        <w:t>。</w:t>
      </w:r>
      <w:r>
        <w:rPr>
          <w:rStyle w:val="translated-span"/>
        </w:rPr>
        <w:t>两阶段的实现如图</w:t>
      </w:r>
      <w:r>
        <w:rPr>
          <w:rStyle w:val="translated-span"/>
        </w:rPr>
        <w:t>4</w:t>
      </w:r>
      <w:r>
        <w:rPr>
          <w:rStyle w:val="translated-span"/>
        </w:rPr>
        <w:t>所示</w:t>
      </w:r>
      <w:r>
        <w:rPr>
          <w:rStyle w:val="translated-span"/>
        </w:rPr>
        <w:t>。</w:t>
      </w:r>
    </w:p>
    <w:p w:rsidR="00000000" w:rsidRDefault="00A52409">
      <w:pPr>
        <w:pStyle w:val="2"/>
        <w:spacing w:after="45"/>
        <w:ind w:left="439" w:hanging="454"/>
      </w:pPr>
      <w:r>
        <w:t>5.1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初始基</w:t>
      </w:r>
      <w:r>
        <w:rPr>
          <w:rStyle w:val="translated-span"/>
        </w:rPr>
        <w:t>准</w:t>
      </w:r>
    </w:p>
    <w:p w:rsidR="00000000" w:rsidRDefault="00A52409">
      <w:pPr>
        <w:ind w:left="-15" w:firstLine="0"/>
      </w:pPr>
      <w:r>
        <w:rPr>
          <w:rStyle w:val="translated-span"/>
        </w:rPr>
        <w:t>提出的初始对标算法的目的是在协作模型训练开始之前，不需要查看原始数据，而是通过</w:t>
      </w:r>
      <w:r>
        <w:rPr>
          <w:rStyle w:val="translated-span"/>
        </w:rPr>
        <w:t>相互评估来评估每个参与者的本地训练数据质量</w:t>
      </w:r>
      <w:r>
        <w:rPr>
          <w:rStyle w:val="translated-span"/>
        </w:rPr>
        <w:t>。</w:t>
      </w:r>
      <w:r>
        <w:rPr>
          <w:rStyle w:val="translated-span"/>
        </w:rPr>
        <w:t>该算法的工作原理是：每个参与者根据其局部训练数据训练一个</w:t>
      </w:r>
      <w:r>
        <w:rPr>
          <w:rStyle w:val="translated-span"/>
        </w:rPr>
        <w:t>DPGAN</w:t>
      </w:r>
      <w:r>
        <w:rPr>
          <w:rStyle w:val="translated-span"/>
        </w:rPr>
        <w:t>，生成人工样本</w:t>
      </w:r>
      <w:r>
        <w:rPr>
          <w:rStyle w:val="translated-span"/>
        </w:rPr>
        <w:t>。</w:t>
      </w:r>
      <w:r>
        <w:rPr>
          <w:rStyle w:val="translated-span"/>
        </w:rPr>
        <w:t>然而，这些生成的样本不会揭示真正敏感的例子，以及数据的真实分布，而只是在</w:t>
      </w:r>
      <w:r>
        <w:rPr>
          <w:rStyle w:val="translated-span"/>
        </w:rPr>
        <w:t>DPGAN</w:t>
      </w:r>
      <w:r>
        <w:rPr>
          <w:rStyle w:val="translated-span"/>
        </w:rPr>
        <w:t>中使用的适度隐私预算内的一些隐式密度估计</w:t>
      </w:r>
      <w:r>
        <w:rPr>
          <w:rStyle w:val="translated-span"/>
        </w:rPr>
        <w:t>。</w:t>
      </w:r>
      <w:r>
        <w:rPr>
          <w:rStyle w:val="translated-span"/>
        </w:rPr>
        <w:t>每个参与者根据各自的共享级别发布单独生成的人工样本，而不发布标签</w:t>
      </w:r>
      <w:r>
        <w:rPr>
          <w:rStyle w:val="translated-span"/>
        </w:rPr>
        <w:t>。</w:t>
      </w:r>
      <w:r>
        <w:rPr>
          <w:rStyle w:val="translated-span"/>
        </w:rPr>
        <w:t>所有其他参与者使用他们预先训练的独立模型对接收到的人工样本进行预测，并将预测的标签发送给生成这些样本的一方</w:t>
      </w:r>
      <w:r>
        <w:rPr>
          <w:rStyle w:val="translated-span"/>
        </w:rPr>
        <w:t>。</w:t>
      </w:r>
    </w:p>
    <w:p w:rsidR="00000000" w:rsidRDefault="00A52409">
      <w:pPr>
        <w:spacing w:after="3" w:line="264" w:lineRule="auto"/>
        <w:ind w:left="10" w:right="-15" w:hanging="10"/>
        <w:jc w:val="right"/>
      </w:pPr>
      <w:r>
        <w:rPr>
          <w:rStyle w:val="translated-span"/>
        </w:rPr>
        <w:t>共享人工</w:t>
      </w:r>
      <w:r>
        <w:rPr>
          <w:rStyle w:val="translated-span"/>
        </w:rPr>
        <w:t>DPGAN</w:t>
      </w:r>
      <w:r>
        <w:rPr>
          <w:rStyle w:val="translated-span"/>
        </w:rPr>
        <w:t>样品的目的有两个</w:t>
      </w:r>
      <w:r>
        <w:rPr>
          <w:rStyle w:val="translated-span"/>
        </w:rPr>
        <w:t>：</w:t>
      </w:r>
    </w:p>
    <w:p w:rsidR="00000000" w:rsidRDefault="00A52409">
      <w:pPr>
        <w:ind w:left="380" w:hanging="253"/>
      </w:pPr>
      <w:r>
        <w:rPr>
          <w:rStyle w:val="translated-span"/>
        </w:rPr>
        <w:t>1</w:t>
      </w:r>
      <w:r>
        <w:rPr>
          <w:rStyle w:val="translated-span"/>
        </w:rPr>
        <w:t>）</w:t>
      </w:r>
      <w:r>
        <w:rPr>
          <w:rStyle w:val="translated-span"/>
        </w:rPr>
        <w:t xml:space="preserve"> </w:t>
      </w:r>
      <w:r>
        <w:rPr>
          <w:rStyle w:val="translated-span"/>
        </w:rPr>
        <w:t>在协作学习开始之前获取有关单个模型的先验信</w:t>
      </w:r>
      <w:r>
        <w:rPr>
          <w:rStyle w:val="translated-span"/>
        </w:rPr>
        <w:t>息</w:t>
      </w:r>
      <w:r>
        <w:rPr>
          <w:rStyle w:val="translated-span"/>
        </w:rPr>
        <w:t>。</w:t>
      </w:r>
      <w:r>
        <w:rPr>
          <w:rStyle w:val="translated-span"/>
        </w:rPr>
        <w:t>如果参与者没有合理数量的培训数据来生成一个像样的模型，那么在初始评估阶段，它的表现将很差</w:t>
      </w:r>
      <w:r>
        <w:rPr>
          <w:rStyle w:val="translated-span"/>
        </w:rPr>
        <w:t>。</w:t>
      </w:r>
      <w:r>
        <w:rPr>
          <w:rStyle w:val="translated-span"/>
        </w:rPr>
        <w:t>因此，其他参与者在与它共享梯度时会非常谨慎</w:t>
      </w:r>
      <w:r>
        <w:rPr>
          <w:rStyle w:val="translated-span"/>
        </w:rPr>
        <w:t>。</w:t>
      </w:r>
    </w:p>
    <w:p w:rsidR="00000000" w:rsidRDefault="00A52409">
      <w:pPr>
        <w:spacing w:after="54"/>
        <w:ind w:left="380" w:hanging="253"/>
      </w:pPr>
      <w:r>
        <w:rPr>
          <w:rStyle w:val="translated-span"/>
        </w:rPr>
        <w:t>2</w:t>
      </w:r>
      <w:r>
        <w:rPr>
          <w:rStyle w:val="translated-span"/>
        </w:rPr>
        <w:t>）</w:t>
      </w:r>
      <w:r>
        <w:rPr>
          <w:rStyle w:val="translated-span"/>
        </w:rPr>
        <w:t xml:space="preserve"> </w:t>
      </w:r>
      <w:r>
        <w:rPr>
          <w:rStyle w:val="translated-span"/>
        </w:rPr>
        <w:t>获得其他参与者数据分布的粗略估计</w:t>
      </w:r>
      <w:r>
        <w:rPr>
          <w:rStyle w:val="translated-span"/>
        </w:rPr>
        <w:t>。</w:t>
      </w:r>
      <w:r>
        <w:rPr>
          <w:rStyle w:val="translated-span"/>
        </w:rPr>
        <w:t>只有当两个参与者的数据分布不同，但有一定程度的重叠时，他们才能互惠互利</w:t>
      </w:r>
      <w:r>
        <w:rPr>
          <w:rStyle w:val="translated-span"/>
        </w:rPr>
        <w:t>。</w:t>
      </w:r>
      <w:r>
        <w:rPr>
          <w:rStyle w:val="translated-span"/>
        </w:rPr>
        <w:t>假设两个参与者</w:t>
      </w:r>
      <w:r>
        <w:rPr>
          <w:rStyle w:val="translated-span"/>
        </w:rPr>
        <w:t>A</w:t>
      </w:r>
      <w:r>
        <w:rPr>
          <w:rStyle w:val="translated-span"/>
        </w:rPr>
        <w:t>和</w:t>
      </w:r>
      <w:r>
        <w:rPr>
          <w:rStyle w:val="translated-span"/>
        </w:rPr>
        <w:t>B</w:t>
      </w:r>
      <w:r>
        <w:rPr>
          <w:rStyle w:val="translated-span"/>
        </w:rPr>
        <w:t>发布了几乎相同的人工样本，这意味着他们的训练数据分布几乎相同</w:t>
      </w:r>
      <w:r>
        <w:rPr>
          <w:rStyle w:val="translated-span"/>
        </w:rPr>
        <w:t>。</w:t>
      </w:r>
      <w:r>
        <w:rPr>
          <w:rStyle w:val="translated-span"/>
        </w:rPr>
        <w:t>在这种情况下，</w:t>
      </w:r>
      <w:r>
        <w:rPr>
          <w:rStyle w:val="translated-span"/>
        </w:rPr>
        <w:t>B</w:t>
      </w:r>
      <w:r>
        <w:rPr>
          <w:rStyle w:val="translated-span"/>
        </w:rPr>
        <w:t>的更新不太可能提高模型</w:t>
      </w:r>
      <w:r>
        <w:rPr>
          <w:rStyle w:val="translated-span"/>
        </w:rPr>
        <w:t>A</w:t>
      </w:r>
      <w:r>
        <w:rPr>
          <w:rStyle w:val="translated-span"/>
        </w:rPr>
        <w:t>的精度，反之亦然</w:t>
      </w:r>
      <w:r>
        <w:rPr>
          <w:rStyle w:val="translated-span"/>
        </w:rPr>
        <w:t>。</w:t>
      </w:r>
      <w:r>
        <w:rPr>
          <w:rStyle w:val="translated-span"/>
        </w:rPr>
        <w:t>因此，在随后的通信回合中，</w:t>
      </w:r>
      <w:r>
        <w:rPr>
          <w:rStyle w:val="translated-span"/>
        </w:rPr>
        <w:t>A</w:t>
      </w:r>
      <w:r>
        <w:rPr>
          <w:rStyle w:val="translated-span"/>
        </w:rPr>
        <w:t>和</w:t>
      </w:r>
      <w:r>
        <w:rPr>
          <w:rStyle w:val="translated-span"/>
        </w:rPr>
        <w:t>B</w:t>
      </w:r>
      <w:r>
        <w:rPr>
          <w:rStyle w:val="translated-span"/>
        </w:rPr>
        <w:t>应避免从对方下载更新</w:t>
      </w:r>
      <w:r>
        <w:rPr>
          <w:rStyle w:val="translated-span"/>
        </w:rPr>
        <w:t>。</w:t>
      </w:r>
      <w:r>
        <w:rPr>
          <w:rStyle w:val="translated-span"/>
        </w:rPr>
        <w:t>其他参与者可以选择从</w:t>
      </w:r>
      <w:r>
        <w:rPr>
          <w:rStyle w:val="translated-span"/>
        </w:rPr>
        <w:t>A</w:t>
      </w:r>
      <w:r>
        <w:rPr>
          <w:rStyle w:val="translated-span"/>
        </w:rPr>
        <w:t>或</w:t>
      </w:r>
      <w:r>
        <w:rPr>
          <w:rStyle w:val="translated-span"/>
        </w:rPr>
        <w:t>B</w:t>
      </w:r>
      <w:r>
        <w:rPr>
          <w:rStyle w:val="translated-span"/>
        </w:rPr>
        <w:t>下载更新，但不能同时从</w:t>
      </w:r>
      <w:r>
        <w:rPr>
          <w:rStyle w:val="translated-span"/>
        </w:rPr>
        <w:t>A</w:t>
      </w:r>
      <w:r>
        <w:rPr>
          <w:rStyle w:val="translated-span"/>
        </w:rPr>
        <w:t>或</w:t>
      </w:r>
      <w:r>
        <w:rPr>
          <w:rStyle w:val="translated-span"/>
        </w:rPr>
        <w:t>B</w:t>
      </w:r>
      <w:r>
        <w:rPr>
          <w:rStyle w:val="translated-span"/>
        </w:rPr>
        <w:t>下载更新</w:t>
      </w:r>
      <w:r>
        <w:rPr>
          <w:rStyle w:val="translated-span"/>
        </w:rPr>
        <w:t>。</w:t>
      </w:r>
      <w:r>
        <w:rPr>
          <w:rStyle w:val="translated-span"/>
        </w:rPr>
        <w:t>另</w:t>
      </w:r>
      <w:r>
        <w:rPr>
          <w:rStyle w:val="translated-span"/>
        </w:rPr>
        <w:t>一方面，假设参与者</w:t>
      </w:r>
      <w:r>
        <w:rPr>
          <w:rStyle w:val="translated-span"/>
        </w:rPr>
        <w:t>A</w:t>
      </w:r>
      <w:r>
        <w:rPr>
          <w:rStyle w:val="translated-span"/>
        </w:rPr>
        <w:t>和</w:t>
      </w:r>
      <w:r>
        <w:rPr>
          <w:rStyle w:val="translated-span"/>
        </w:rPr>
        <w:t>B</w:t>
      </w:r>
      <w:r>
        <w:rPr>
          <w:rStyle w:val="translated-span"/>
        </w:rPr>
        <w:t>具有完全不同的数据分布，</w:t>
      </w:r>
      <w:r>
        <w:rPr>
          <w:rStyle w:val="translated-span"/>
        </w:rPr>
        <w:t>B</w:t>
      </w:r>
      <w:r>
        <w:rPr>
          <w:rStyle w:val="translated-span"/>
        </w:rPr>
        <w:t>的更新不可能提高模型</w:t>
      </w:r>
      <w:r>
        <w:rPr>
          <w:rStyle w:val="translated-span"/>
        </w:rPr>
        <w:t>A</w:t>
      </w:r>
      <w:r>
        <w:rPr>
          <w:rStyle w:val="translated-span"/>
        </w:rPr>
        <w:t>的精度，反之亦然</w:t>
      </w:r>
      <w:r>
        <w:rPr>
          <w:rStyle w:val="translated-span"/>
        </w:rPr>
        <w:t>。</w:t>
      </w:r>
      <w:r>
        <w:rPr>
          <w:rStyle w:val="translated-span"/>
        </w:rPr>
        <w:t>因此，在随后的回合中，</w:t>
      </w:r>
      <w:r>
        <w:rPr>
          <w:rStyle w:val="translated-span"/>
        </w:rPr>
        <w:t>A</w:t>
      </w:r>
      <w:r>
        <w:rPr>
          <w:rStyle w:val="translated-span"/>
        </w:rPr>
        <w:t>和</w:t>
      </w:r>
      <w:r>
        <w:rPr>
          <w:rStyle w:val="translated-span"/>
        </w:rPr>
        <w:t>B</w:t>
      </w:r>
      <w:r>
        <w:rPr>
          <w:rStyle w:val="translated-span"/>
        </w:rPr>
        <w:t>也应该避免从对方下载更新</w:t>
      </w:r>
      <w:r>
        <w:rPr>
          <w:rStyle w:val="translated-span"/>
        </w:rPr>
        <w:t>。</w:t>
      </w:r>
      <w:r>
        <w:rPr>
          <w:rStyle w:val="translated-span"/>
        </w:rPr>
        <w:t>此外，假设</w:t>
      </w:r>
      <w:r>
        <w:rPr>
          <w:rStyle w:val="translated-span"/>
        </w:rPr>
        <w:t>A</w:t>
      </w:r>
      <w:r>
        <w:rPr>
          <w:rStyle w:val="translated-span"/>
        </w:rPr>
        <w:t>的数据分布与所有其他参与者的数据分布不同，所有这些参与者都应尽量避免</w:t>
      </w:r>
      <w:r>
        <w:rPr>
          <w:rStyle w:val="translated-span"/>
        </w:rPr>
        <w:t>A</w:t>
      </w:r>
      <w:r>
        <w:rPr>
          <w:rStyle w:val="translated-span"/>
        </w:rPr>
        <w:t>。这会自动处理这样的场景：一个诚实的参与者发布一些渐变，而所有其他诚实参与者将非常低的可信度分配给发布者</w:t>
      </w:r>
      <w:r>
        <w:rPr>
          <w:rStyle w:val="translated-span"/>
        </w:rPr>
        <w:t>。</w:t>
      </w:r>
      <w:r>
        <w:rPr>
          <w:rStyle w:val="translated-span"/>
        </w:rPr>
        <w:t>在这种情况下，发布者的数据分发与其他参与者的数据分发完全不同</w:t>
      </w:r>
      <w:r>
        <w:rPr>
          <w:rStyle w:val="translated-span"/>
        </w:rPr>
        <w:t>。</w:t>
      </w:r>
      <w:r>
        <w:rPr>
          <w:rStyle w:val="translated-span"/>
        </w:rPr>
        <w:t>因此，降低出版商的信誉是合理的</w:t>
      </w:r>
      <w:r>
        <w:rPr>
          <w:rStyle w:val="translated-span"/>
        </w:rPr>
        <w:t>。</w:t>
      </w:r>
    </w:p>
    <w:p w:rsidR="00000000" w:rsidRDefault="00A52409">
      <w:pPr>
        <w:spacing w:after="294"/>
        <w:ind w:left="-15"/>
      </w:pPr>
      <w:r>
        <w:rPr>
          <w:rStyle w:val="translated-span"/>
        </w:rPr>
        <w:t>接着详细介绍了算法</w:t>
      </w:r>
      <w:r>
        <w:rPr>
          <w:rStyle w:val="translated-span"/>
        </w:rPr>
        <w:t>1</w:t>
      </w:r>
      <w:r>
        <w:rPr>
          <w:rStyle w:val="translated-span"/>
        </w:rPr>
        <w:t>中初始基准测试的具体步骤，包括：局部可信度初始化、共享级别和点初</w:t>
      </w:r>
      <w:r>
        <w:rPr>
          <w:rStyle w:val="translated-span"/>
        </w:rPr>
        <w:t>始化</w:t>
      </w:r>
      <w:r>
        <w:rPr>
          <w:rStyle w:val="translated-span"/>
        </w:rPr>
        <w:t>。</w:t>
      </w:r>
    </w:p>
    <w:p w:rsidR="00000000" w:rsidRDefault="00A52409">
      <w:pPr>
        <w:pStyle w:val="3"/>
        <w:spacing w:after="65"/>
        <w:ind w:left="598" w:hanging="613"/>
      </w:pPr>
      <w:r>
        <w:t>5.1.1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局部可信度初始</w:t>
      </w:r>
      <w:r>
        <w:rPr>
          <w:rStyle w:val="translated-span"/>
        </w:rPr>
        <w:t>化</w:t>
      </w:r>
    </w:p>
    <w:p w:rsidR="00000000" w:rsidRDefault="00A52409">
      <w:pPr>
        <w:spacing w:after="27"/>
        <w:ind w:left="-15" w:firstLine="0"/>
      </w:pPr>
      <w:r>
        <w:rPr>
          <w:rStyle w:val="translated-span"/>
        </w:rPr>
        <w:t>对于局部可信度初始化，每一方将所有组合标签的多数票与某一方的预测标签进行比较，以评估该方的效果</w:t>
      </w:r>
      <w:r>
        <w:rPr>
          <w:rStyle w:val="translated-span"/>
        </w:rPr>
        <w:t>。</w:t>
      </w:r>
      <w:r>
        <w:rPr>
          <w:rStyle w:val="translated-span"/>
        </w:rPr>
        <w:t>它依赖于这样一个事实，即所有组合标签的多数投票反映了大多数政党的结果，而政党的预测标签只反映了政党的结果</w:t>
      </w:r>
      <w:r>
        <w:rPr>
          <w:rStyle w:val="translated-span"/>
        </w:rPr>
        <w:t>。</w:t>
      </w:r>
      <w:r>
        <w:rPr>
          <w:rStyle w:val="translated-span"/>
          <w:rFonts w:ascii="Cambria" w:hAnsi="Cambria"/>
          <w:i/>
          <w:iCs/>
          <w:sz w:val="20"/>
          <w:szCs w:val="20"/>
        </w:rPr>
        <w:t>j</w:t>
      </w:r>
      <w:r>
        <w:rPr>
          <w:rStyle w:val="translated-span"/>
          <w:rFonts w:ascii="Cambria" w:hAnsi="Cambria"/>
          <w:i/>
          <w:iCs/>
          <w:sz w:val="20"/>
          <w:szCs w:val="20"/>
        </w:rPr>
        <w:t>j</w:t>
      </w:r>
    </w:p>
    <w:p w:rsidR="00000000" w:rsidRDefault="00A52409">
      <w:pPr>
        <w:ind w:left="-15"/>
      </w:pPr>
      <w:r>
        <w:rPr>
          <w:rStyle w:val="not-translated-para"/>
        </w:rPr>
        <w:t>For example, in the case of party initializing local credibility list for other parties, party broadcasts its DPGAN samples to</w:t>
      </w:r>
      <w:r>
        <w:rPr>
          <w:rStyle w:val="not-translated-para"/>
        </w:rPr>
        <w:t xml:space="preserve"> other parties, who label these samples using their pre-trained standalone models, and send the corresponding predicted labels back to party . Meanwhile, party also labels its own artificial samples using its pre-trained standalone model, then combines all</w:t>
      </w:r>
      <w:r>
        <w:rPr>
          <w:rStyle w:val="not-translated-para"/>
        </w:rPr>
        <w:t xml:space="preserve"> parties&amp;apos; predicted labels as a label matrix with total columns, where each column corresponds to one party&amp;apos;s predicted labels. Party</w:t>
      </w:r>
      <w:r>
        <w:rPr>
          <w:rStyle w:val="not-translated-para"/>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n</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Pr>
        <w:t>then initializes the local credibility of party, where</w:t>
      </w:r>
      <w:r>
        <w:rPr>
          <w:rStyle w:val="not-translated-para"/>
        </w:rPr>
        <w:t xml:space="preserve"> </w:t>
      </w:r>
      <w:r>
        <w:rPr>
          <w:rStyle w:val="not-translated-para"/>
          <w:rFonts w:ascii="Cambria" w:hAnsi="Cambria"/>
          <w:i/>
          <w:iCs/>
          <w:sz w:val="20"/>
          <w:szCs w:val="20"/>
        </w:rPr>
        <w:t>mj</w:t>
      </w:r>
      <w:r>
        <w:rPr>
          <w:rStyle w:val="not-translated-para"/>
          <w:rFonts w:ascii="Cambria" w:hAnsi="Cambria"/>
          <w:i/>
          <w:iCs/>
          <w:sz w:val="20"/>
          <w:szCs w:val="20"/>
        </w:rPr>
        <w:t xml:space="preserve"> </w:t>
      </w:r>
      <w:r>
        <w:rPr>
          <w:rStyle w:val="not-translated-para"/>
        </w:rPr>
        <w:t>is the number of matches between the majori</w:t>
      </w:r>
      <w:r>
        <w:rPr>
          <w:rStyle w:val="not-translated-para"/>
        </w:rPr>
        <w:t>ty labels and party &amp;apos;s predicted labels, and is the number of DPGAN samples released by party . Afterwards, party normalizes within [0,1]</w:t>
      </w:r>
      <w:r>
        <w:rPr>
          <w:rStyle w:val="not-translated-para"/>
        </w:rPr>
        <w:t>.</w:t>
      </w:r>
      <w:r>
        <w:rPr>
          <w:rStyle w:val="not-translated-para"/>
          <w:rFonts w:ascii="Cambria" w:hAnsi="Cambria"/>
          <w:i/>
          <w:iCs/>
          <w:sz w:val="20"/>
          <w:szCs w:val="20"/>
        </w:rPr>
        <w:t>j</w:t>
      </w:r>
      <w:r>
        <w:rPr>
          <w:rStyle w:val="not-translated-para"/>
          <w:rFonts w:ascii="Cambria" w:hAnsi="Cambria"/>
          <w:i/>
          <w:iCs/>
          <w:sz w:val="20"/>
          <w:szCs w:val="20"/>
        </w:rPr>
        <w:t>ui</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31"/>
          <w:szCs w:val="31"/>
          <w:vertAlign w:val="superscript"/>
        </w:rPr>
        <w:t>c</w:t>
      </w:r>
      <w:r>
        <w:rPr>
          <w:rStyle w:val="not-translated-para"/>
          <w:rFonts w:ascii="Cambria" w:hAnsi="Cambria"/>
          <w:i/>
          <w:iCs/>
          <w:vertAlign w:val="superscript"/>
        </w:rPr>
        <w:t>j</w:t>
      </w:r>
      <w:r>
        <w:rPr>
          <w:rStyle w:val="not-translated-para"/>
          <w:rFonts w:ascii="Cambria" w:hAnsi="Cambria"/>
          <w:i/>
          <w:iCs/>
          <w:vertAlign w:val="subscript"/>
        </w:rPr>
        <w:t>i</w:t>
      </w:r>
      <w:r>
        <w:rPr>
          <w:rStyle w:val="not-translated-para"/>
          <w:rFonts w:ascii="Cambria" w:hAnsi="Cambria"/>
          <w:i/>
          <w:iCs/>
          <w:vertAlign w:val="subscript"/>
        </w:rPr>
        <w:t xml:space="preserve"> </w:t>
      </w:r>
    </w:p>
    <w:tbl>
      <w:tblPr>
        <w:tblpPr w:vertAnchor="text"/>
        <w:tblW w:w="10320" w:type="dxa"/>
        <w:tblCellMar>
          <w:left w:w="0" w:type="dxa"/>
          <w:right w:w="0" w:type="dxa"/>
        </w:tblCellMar>
        <w:tblLook w:val="04A0" w:firstRow="1" w:lastRow="0" w:firstColumn="1" w:lastColumn="0" w:noHBand="0" w:noVBand="1"/>
      </w:tblPr>
      <w:tblGrid>
        <w:gridCol w:w="10320"/>
      </w:tblGrid>
      <w:tr w:rsidR="00000000">
        <w:trPr>
          <w:trHeight w:val="134"/>
        </w:trPr>
        <w:tc>
          <w:tcPr>
            <w:tcW w:w="98" w:type="dxa"/>
            <w:tcMar>
              <w:top w:w="0" w:type="dxa"/>
              <w:left w:w="389" w:type="dxa"/>
              <w:bottom w:w="0" w:type="dxa"/>
              <w:right w:w="211" w:type="dxa"/>
            </w:tcMar>
            <w:hideMark/>
          </w:tcPr>
          <w:p w:rsidR="00000000" w:rsidRDefault="00A52409">
            <w:pPr>
              <w:spacing w:after="0" w:line="256" w:lineRule="auto"/>
              <w:ind w:firstLine="0"/>
            </w:pPr>
            <w:r>
              <w:rPr>
                <w:noProof/>
              </w:rPr>
              <w:drawing>
                <wp:inline distT="0" distB="0" distL="0" distR="0">
                  <wp:extent cx="6172200" cy="3933825"/>
                  <wp:effectExtent l="0" t="0" r="0" b="9525"/>
                  <wp:docPr id="15" name="Picture 17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6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172200" cy="3933825"/>
                          </a:xfrm>
                          <a:prstGeom prst="rect">
                            <a:avLst/>
                          </a:prstGeom>
                          <a:noFill/>
                          <a:ln>
                            <a:noFill/>
                          </a:ln>
                        </pic:spPr>
                      </pic:pic>
                    </a:graphicData>
                  </a:graphic>
                </wp:inline>
              </w:drawing>
            </w:r>
            <w:r>
              <w:rPr>
                <w:rStyle w:val="not-translated-para"/>
                <w:rFonts w:ascii="Arial" w:hAnsi="Arial" w:cs="Arial"/>
                <w:color w:val="ED7D31"/>
                <w:sz w:val="12"/>
                <w:szCs w:val="12"/>
              </w:rPr>
              <w:t>s</w:t>
            </w:r>
            <w:r>
              <w:rPr>
                <w:rStyle w:val="not-translated-para"/>
                <w:rFonts w:ascii="Arial" w:hAnsi="Arial" w:cs="Arial"/>
                <w:color w:val="ED7D31"/>
                <w:sz w:val="12"/>
                <w:szCs w:val="12"/>
              </w:rPr>
              <w:t>t</w:t>
            </w:r>
          </w:p>
        </w:tc>
      </w:tr>
    </w:tbl>
    <w:p w:rsidR="00000000" w:rsidRDefault="00A52409">
      <w:pPr>
        <w:spacing w:after="270"/>
        <w:ind w:left="-15"/>
      </w:pPr>
      <w:r>
        <w:rPr>
          <w:rStyle w:val="not-translated-para"/>
        </w:rPr>
        <w:t>If the majority of parties report that the local credibility of one party is lower than the threshold , implying a potentially low-contribution party, it will be banned from the local credibility lists of all parties. Here, is mainly used to detect and iso</w:t>
      </w:r>
      <w:r>
        <w:rPr>
          <w:rStyle w:val="not-translated-para"/>
        </w:rPr>
        <w:t>late the low-contribution party, and it should be agreed by the majority of parties. However, it should not be too small or too large as fairness and accuracy may be affected. If it is too small, it might allow low-contribution party to into the collaborat</w:t>
      </w:r>
      <w:r>
        <w:rPr>
          <w:rStyle w:val="not-translated-para"/>
        </w:rPr>
        <w:t>ive learning system without being detected and isolated. If it is too large, it might ban most participants from the system. In the following update process, party is more likely to download gradients from more credible participants, while download less, e</w:t>
      </w:r>
      <w:r>
        <w:rPr>
          <w:rStyle w:val="not-translated-para"/>
        </w:rPr>
        <w:t>ven ignoring those published by less credible parties</w:t>
      </w:r>
      <w:r>
        <w:rPr>
          <w:rStyle w:val="not-translated-para"/>
        </w:rPr>
        <w:t>.</w:t>
      </w:r>
      <w:r>
        <w:rPr>
          <w:rStyle w:val="not-translated-para"/>
          <w:rFonts w:ascii="Cambria" w:hAnsi="Cambria"/>
          <w:i/>
          <w:iCs/>
          <w:sz w:val="20"/>
          <w:szCs w:val="20"/>
        </w:rPr>
        <w:t>ct</w:t>
      </w:r>
      <w:r>
        <w:rPr>
          <w:rStyle w:val="not-translated-para"/>
          <w:rFonts w:ascii="Cambria" w:hAnsi="Cambria"/>
          <w:i/>
          <w:iCs/>
          <w:sz w:val="20"/>
          <w:szCs w:val="20"/>
        </w:rPr>
        <w:t>h</w:t>
      </w:r>
      <w:r>
        <w:rPr>
          <w:rStyle w:val="not-translated-para"/>
          <w:rFonts w:ascii="Cambria" w:hAnsi="Cambria"/>
          <w:i/>
          <w:iCs/>
          <w:sz w:val="20"/>
          <w:szCs w:val="20"/>
        </w:rPr>
        <w:t>cth</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p>
    <w:p w:rsidR="00000000" w:rsidRDefault="00A52409">
      <w:pPr>
        <w:pStyle w:val="3"/>
        <w:ind w:left="598" w:hanging="613"/>
      </w:pPr>
      <w:r>
        <w:t>5.1.2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Sharing Level and Points Initializatio</w:t>
      </w:r>
      <w:r>
        <w:rPr>
          <w:rStyle w:val="not-translated-para"/>
        </w:rPr>
        <w:t>n</w:t>
      </w:r>
    </w:p>
    <w:p w:rsidR="00000000" w:rsidRDefault="00A52409">
      <w:pPr>
        <w:spacing w:after="188"/>
        <w:ind w:left="-15" w:firstLine="0"/>
      </w:pPr>
      <w:r>
        <w:rPr>
          <w:rStyle w:val="not-translated-para"/>
        </w:rPr>
        <w:t xml:space="preserve">Sharing level is denoted by the the upper bound of the number of samples or gradients one party can share with others. Based on the number </w:t>
      </w:r>
      <w:r>
        <w:rPr>
          <w:rStyle w:val="not-translated-para"/>
        </w:rPr>
        <w:t>of artificial samples that party publishes at the beginning, a suitable sharing level of party can be automatically estimated as = ui/|Di|, where is the local training data of party . Points are initialized as follows</w:t>
      </w:r>
      <w:r>
        <w:rPr>
          <w:rStyle w:val="not-translated-para"/>
        </w:rPr>
        <w:t>:</w:t>
      </w:r>
      <w:r>
        <w:rPr>
          <w:rStyle w:val="not-translated-para"/>
          <w:rFonts w:ascii="Cambria" w:hAnsi="Cambria"/>
          <w:i/>
          <w:iCs/>
          <w:sz w:val="20"/>
          <w:szCs w:val="20"/>
        </w:rPr>
        <w:t>ui</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λi</w:t>
      </w:r>
      <w:r>
        <w:rPr>
          <w:rStyle w:val="not-translated-para"/>
          <w:rFonts w:ascii="Cambria" w:hAnsi="Cambria"/>
          <w:i/>
          <w:iCs/>
          <w:sz w:val="20"/>
          <w:szCs w:val="20"/>
        </w:rPr>
        <w:t xml:space="preserve"> </w:t>
      </w:r>
      <w:r>
        <w:rPr>
          <w:rStyle w:val="not-translated-para"/>
          <w:rFonts w:ascii="Cambria" w:hAnsi="Cambria"/>
          <w:i/>
          <w:iCs/>
          <w:sz w:val="20"/>
          <w:szCs w:val="20"/>
        </w:rPr>
        <w:t>Di</w:t>
      </w:r>
      <w:r>
        <w:rPr>
          <w:rStyle w:val="not-translated-para"/>
          <w:rFonts w:ascii="Cambria" w:hAnsi="Cambria"/>
          <w:i/>
          <w:iCs/>
          <w:sz w:val="20"/>
          <w:szCs w:val="20"/>
        </w:rPr>
        <w:t xml:space="preserve"> </w:t>
      </w:r>
      <w:r>
        <w:rPr>
          <w:rStyle w:val="not-translated-para"/>
          <w:rFonts w:ascii="Cambria" w:hAnsi="Cambria"/>
          <w:i/>
          <w:iCs/>
          <w:sz w:val="20"/>
          <w:szCs w:val="20"/>
        </w:rPr>
        <w:t>i</w:t>
      </w:r>
    </w:p>
    <w:p w:rsidR="00000000" w:rsidRDefault="00A52409">
      <w:pPr>
        <w:spacing w:after="177" w:line="256" w:lineRule="auto"/>
        <w:ind w:firstLine="0"/>
        <w:jc w:val="left"/>
      </w:pPr>
      <w:r>
        <w:rPr>
          <w:sz w:val="22"/>
          <w:szCs w:val="22"/>
        </w:rPr>
        <w:t>                       </w:t>
      </w:r>
      <w:r>
        <w:rPr>
          <w:sz w:val="22"/>
          <w:szCs w:val="22"/>
        </w:rPr>
        <w:t>              </w:t>
      </w:r>
      <w:r>
        <w:rPr>
          <w:sz w:val="22"/>
          <w:szCs w:val="22"/>
        </w:rPr>
        <w:t xml:space="preserve"> </w:t>
      </w:r>
      <w:r>
        <w:rPr>
          <w:rStyle w:val="not-translated-para"/>
          <w:rFonts w:ascii="Cambria" w:hAnsi="Cambria"/>
          <w:i/>
          <w:iCs/>
          <w:sz w:val="20"/>
          <w:szCs w:val="20"/>
        </w:rPr>
        <w:t>pi</w:t>
      </w:r>
      <w:r>
        <w:rPr>
          <w:rStyle w:val="not-translated-para"/>
          <w:rFonts w:ascii="Cambria" w:hAnsi="Cambria"/>
          <w:i/>
          <w:iCs/>
          <w:sz w:val="20"/>
          <w:szCs w:val="20"/>
        </w:rPr>
        <w:t xml:space="preserve"> </w:t>
      </w:r>
      <w:r>
        <w:rPr>
          <w:rStyle w:val="not-translated-para"/>
          <w:rFonts w:ascii="Cambria" w:hAnsi="Cambria"/>
          <w:sz w:val="20"/>
          <w:szCs w:val="20"/>
        </w:rPr>
        <w:t xml:space="preserve">= λi </w:t>
      </w:r>
      <w:r>
        <w:rPr>
          <w:rStyle w:val="not-translated-para"/>
          <w:rFonts w:ascii="Cambria" w:hAnsi="Cambria"/>
          <w:sz w:val="20"/>
          <w:szCs w:val="20"/>
        </w:rPr>
        <w:t>∗</w:t>
      </w:r>
      <w:r>
        <w:rPr>
          <w:rStyle w:val="not-translated-para"/>
          <w:rFonts w:ascii="Cambria" w:hAnsi="Cambria"/>
          <w:sz w:val="20"/>
          <w:szCs w:val="20"/>
        </w:rPr>
        <w:t xml:space="preserve"> </w:t>
      </w:r>
      <w:r>
        <w:rPr>
          <w:rStyle w:val="not-translated-para"/>
          <w:rFonts w:ascii="Cambria" w:hAnsi="Cambria"/>
          <w:sz w:val="20"/>
          <w:szCs w:val="20"/>
        </w:rPr>
        <w:t>|</w:t>
      </w:r>
      <w:r>
        <w:rPr>
          <w:rStyle w:val="not-translated-para"/>
          <w:i/>
          <w:iCs/>
          <w:sz w:val="20"/>
          <w:szCs w:val="20"/>
        </w:rPr>
        <w:t>w</w:t>
      </w:r>
      <w:r>
        <w:rPr>
          <w:rStyle w:val="not-translated-para"/>
          <w:i/>
          <w:iCs/>
          <w:sz w:val="20"/>
          <w:szCs w:val="20"/>
        </w:rPr>
        <w:t>i</w:t>
      </w:r>
      <w:r>
        <w:rPr>
          <w:rStyle w:val="not-translated-para"/>
          <w:rFonts w:ascii="Cambria" w:hAnsi="Cambria"/>
          <w:sz w:val="20"/>
          <w:szCs w:val="20"/>
        </w:rPr>
        <w:t>|</w:t>
      </w:r>
      <w:r>
        <w:rPr>
          <w:rStyle w:val="not-translated-para"/>
          <w:rFonts w:ascii="Cambria" w:hAnsi="Cambria"/>
          <w:sz w:val="20"/>
          <w:szCs w:val="20"/>
        </w:rPr>
        <w:t>∗</w:t>
      </w:r>
      <w:r>
        <w:rPr>
          <w:rStyle w:val="not-translated-para"/>
          <w:rFonts w:ascii="Cambria" w:hAnsi="Cambria"/>
          <w:sz w:val="20"/>
          <w:szCs w:val="20"/>
        </w:rPr>
        <w:t xml:space="preserve">(n </w:t>
      </w:r>
      <w:r>
        <w:rPr>
          <w:rStyle w:val="not-translated-para"/>
          <w:rFonts w:ascii="Cambria" w:hAnsi="Cambria"/>
          <w:sz w:val="20"/>
          <w:szCs w:val="20"/>
        </w:rPr>
        <w:t>−</w:t>
      </w:r>
      <w:r>
        <w:rPr>
          <w:rStyle w:val="not-translated-para"/>
          <w:rFonts w:ascii="Cambria" w:hAnsi="Cambria"/>
          <w:sz w:val="20"/>
          <w:szCs w:val="20"/>
        </w:rPr>
        <w:t xml:space="preserve"> 1)</w:t>
      </w:r>
      <w:r>
        <w:rPr>
          <w:rStyle w:val="not-translated-para"/>
          <w:rFonts w:ascii="Cambria" w:hAnsi="Cambria"/>
          <w:sz w:val="20"/>
          <w:szCs w:val="20"/>
        </w:rPr>
        <w:t xml:space="preserve"> </w:t>
      </w:r>
      <w:r>
        <w:rPr>
          <w:rStyle w:val="not-translated-para"/>
        </w:rPr>
        <w:t>(1</w:t>
      </w:r>
      <w:r>
        <w:rPr>
          <w:rStyle w:val="not-translated-para"/>
        </w:rPr>
        <w:t>)</w:t>
      </w:r>
    </w:p>
    <w:p w:rsidR="00000000" w:rsidRDefault="00A52409">
      <w:pPr>
        <w:spacing w:after="272"/>
        <w:ind w:left="-15" w:firstLine="0"/>
      </w:pPr>
      <w:r>
        <w:rPr>
          <w:rStyle w:val="not-translated-para"/>
        </w:rPr>
        <w:t>where is the sharing level of party (i.e., the higher, the more data one party would like to share), || is the number of model parameters, and is the number of parties. The points gained from initial benchmarking w</w:t>
      </w:r>
      <w:r>
        <w:rPr>
          <w:rStyle w:val="not-translated-para"/>
        </w:rPr>
        <w:t>ill be used to download gradients in the following collaborative learning process, and the number of gradients can downloaded depends on both the local credibility and sharing level of the party from which it is requesting</w:t>
      </w:r>
      <w:r>
        <w:rPr>
          <w:rStyle w:val="not-translated-para"/>
        </w:rPr>
        <w:t>.</w:t>
      </w:r>
      <w:r>
        <w:rPr>
          <w:rStyle w:val="not-translated-para"/>
          <w:rFonts w:ascii="Cambria" w:hAnsi="Cambria"/>
          <w:i/>
          <w:iCs/>
          <w:sz w:val="20"/>
          <w:szCs w:val="20"/>
        </w:rPr>
        <w:t>λi</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i/>
          <w:iCs/>
          <w:sz w:val="20"/>
          <w:szCs w:val="20"/>
        </w:rPr>
        <w:t>w</w:t>
      </w:r>
      <w:r>
        <w:rPr>
          <w:rStyle w:val="not-translated-para"/>
          <w:i/>
          <w:iCs/>
          <w:sz w:val="20"/>
          <w:szCs w:val="20"/>
        </w:rPr>
        <w:t>i</w:t>
      </w:r>
      <w:r>
        <w:rPr>
          <w:rStyle w:val="not-translated-para"/>
          <w:rFonts w:ascii="Cambria" w:hAnsi="Cambria"/>
          <w:i/>
          <w:iCs/>
          <w:sz w:val="20"/>
          <w:szCs w:val="20"/>
        </w:rPr>
        <w:t>n</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p>
    <w:p w:rsidR="00000000" w:rsidRDefault="00A52409">
      <w:pPr>
        <w:pStyle w:val="3"/>
        <w:ind w:left="598" w:hanging="613"/>
      </w:pPr>
      <w:r>
        <w:t>5.1.3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Differen</w:t>
      </w:r>
      <w:r>
        <w:rPr>
          <w:rStyle w:val="not-translated-para"/>
        </w:rPr>
        <w:t>tially Private GAN (DPGAN</w:t>
      </w:r>
      <w:r>
        <w:rPr>
          <w:rStyle w:val="not-translated-para"/>
        </w:rPr>
        <w:t>)</w:t>
      </w:r>
    </w:p>
    <w:p w:rsidR="00000000" w:rsidRDefault="00A52409">
      <w:pPr>
        <w:ind w:left="-15" w:firstLine="0"/>
      </w:pPr>
      <w:r>
        <w:rPr>
          <w:rStyle w:val="not-translated-para"/>
        </w:rPr>
        <w:t>During initial benchmarking, although each party only releases a small amount of unlabeled samples, it may still disclose privacy of local training data. The approach of generating samples under differential privacy with generati</w:t>
      </w:r>
      <w:r>
        <w:rPr>
          <w:rStyle w:val="not-translated-para"/>
        </w:rPr>
        <w:t>ve adversarial network (GAN) offers a solution to this problem. Under FPPDL, we train a Differentially Private GAN (DPGAN) by adding tailored noise to the gradients during DPGAN learning [38] at each party</w:t>
      </w:r>
      <w:r>
        <w:rPr>
          <w:rStyle w:val="not-translated-para"/>
        </w:rPr>
        <w:t>.</w:t>
      </w:r>
    </w:p>
    <w:p w:rsidR="00000000" w:rsidRDefault="00A52409">
      <w:pPr>
        <w:ind w:left="-15"/>
      </w:pPr>
      <w:r>
        <w:rPr>
          <w:rStyle w:val="not-translated-para"/>
        </w:rPr>
        <w:t>In the context of a GAN, the discriminator is the</w:t>
      </w:r>
      <w:r>
        <w:rPr>
          <w:rStyle w:val="not-translated-para"/>
        </w:rPr>
        <w:t xml:space="preserve"> only component that accesses the private real data. Therefore, we only need to train the discriminator under differential privacy. The differential privacy guarantee of the entire GAN directly follows because the computations of the generator are simply p</w:t>
      </w:r>
      <w:r>
        <w:rPr>
          <w:rStyle w:val="not-translated-para"/>
        </w:rPr>
        <w:t>ost-processing from the discriminator. The main idea follows the post-processing property of differential privacy [29], as stated in Lemma 1</w:t>
      </w:r>
      <w:r>
        <w:rPr>
          <w:rStyle w:val="not-translated-para"/>
        </w:rPr>
        <w:t>.</w:t>
      </w:r>
    </w:p>
    <w:p w:rsidR="00000000" w:rsidRDefault="00A52409">
      <w:pPr>
        <w:spacing w:after="155"/>
        <w:ind w:left="-15"/>
      </w:pPr>
      <w:r>
        <w:rPr>
          <w:rStyle w:val="not-translated-para"/>
        </w:rPr>
        <w:t>To counter the stability and scalability issues of training DPGAN models, we apply multi-fold optimization strateg</w:t>
      </w:r>
      <w:r>
        <w:rPr>
          <w:rStyle w:val="not-translated-para"/>
        </w:rPr>
        <w:t>ies, including weight clustering, adaptive clipping and warm starting, which significantly improve both training stability and utility [38]. Unlike PATE [39], where privacy loss is proportional to the amount of data needed to be labeled in public test data</w:t>
      </w:r>
      <w:r>
        <w:rPr>
          <w:rStyle w:val="not-translated-para"/>
        </w:rPr>
        <w:t>, differentially private generator can generate infinite number of samples for the intended analysis, while rigorously guaranteeing -differential privacy of training data. Without loss of generality, we exemplify DPGAN in the context of the improved WGAN f</w:t>
      </w:r>
      <w:r>
        <w:rPr>
          <w:rStyle w:val="not-translated-para"/>
        </w:rPr>
        <w:t>ramework [40] and let each party generates a total of 1,000 artificial samples. As demonstrated in [38], DPGAN is able to synthesize both grey and RGB image with inception scores fairly close to the real data and samples generated by regular GANs without a</w:t>
      </w:r>
      <w:r>
        <w:rPr>
          <w:rStyle w:val="not-translated-para"/>
        </w:rPr>
        <w:t>ny privacy protection</w:t>
      </w:r>
      <w:r>
        <w:rPr>
          <w:rStyle w:val="not-translated-para"/>
        </w:rPr>
        <w:t>.</w:t>
      </w:r>
    </w:p>
    <w:p w:rsidR="00000000" w:rsidRDefault="00A52409">
      <w:pPr>
        <w:spacing w:after="89" w:line="249" w:lineRule="auto"/>
        <w:ind w:left="-5" w:hanging="10"/>
      </w:pPr>
      <w:r>
        <w:rPr>
          <w:rStyle w:val="not-translated-para"/>
          <w:b/>
          <w:bCs/>
        </w:rPr>
        <w:t>Lemma 1.</w:t>
      </w:r>
      <w:r>
        <w:rPr>
          <w:rStyle w:val="not-translated-para"/>
          <w:b/>
          <w:bCs/>
        </w:rPr>
        <w:t xml:space="preserve"> </w:t>
      </w:r>
      <w:r>
        <w:rPr>
          <w:rStyle w:val="not-translated-para"/>
          <w:i/>
          <w:iCs/>
        </w:rPr>
        <w:t>Let algorithm</w:t>
      </w:r>
      <w:r>
        <w:rPr>
          <w:rStyle w:val="not-translated-para"/>
          <w:i/>
          <w:iCs/>
        </w:rPr>
        <w:t xml:space="preserve"> </w:t>
      </w:r>
      <w:r>
        <w:rPr>
          <w:rStyle w:val="not-translated-para"/>
          <w:rFonts w:ascii="Cambria" w:hAnsi="Cambria"/>
          <w:sz w:val="20"/>
          <w:szCs w:val="20"/>
        </w:rPr>
        <w:t>A : R</w:t>
      </w:r>
      <w:r>
        <w:rPr>
          <w:rStyle w:val="not-translated-para"/>
          <w:rFonts w:ascii="Cambria" w:hAnsi="Cambria"/>
          <w:sz w:val="20"/>
          <w:szCs w:val="20"/>
        </w:rPr>
        <w:t>→</w:t>
      </w:r>
      <w:r>
        <w:rPr>
          <w:rStyle w:val="not-translated-para"/>
          <w:rFonts w:ascii="Cambria" w:hAnsi="Cambria"/>
          <w:sz w:val="20"/>
          <w:szCs w:val="20"/>
        </w:rPr>
        <w:t xml:space="preserve"> R be a randomize</w:t>
      </w:r>
      <w:r>
        <w:rPr>
          <w:rStyle w:val="not-translated-para"/>
          <w:rFonts w:ascii="Cambria" w:hAnsi="Cambria"/>
          <w:sz w:val="20"/>
          <w:szCs w:val="20"/>
        </w:rPr>
        <w:t>d</w:t>
      </w:r>
      <w:r>
        <w:rPr>
          <w:rStyle w:val="not-translated-para"/>
          <w:rFonts w:ascii="Cambria" w:hAnsi="Cambria"/>
          <w:i/>
          <w:iCs/>
          <w:vertAlign w:val="superscript"/>
        </w:rPr>
        <w:t>n</w:t>
      </w:r>
      <w:r>
        <w:rPr>
          <w:rStyle w:val="not-translated-para"/>
          <w:rFonts w:ascii="Cambria" w:hAnsi="Cambria"/>
          <w:i/>
          <w:iCs/>
          <w:vertAlign w:val="superscript"/>
        </w:rPr>
        <w:t xml:space="preserve"> </w:t>
      </w:r>
    </w:p>
    <w:p w:rsidR="00000000" w:rsidRDefault="00A52409">
      <w:pPr>
        <w:spacing w:after="0" w:line="333" w:lineRule="auto"/>
        <w:ind w:left="-5" w:hanging="10"/>
      </w:pPr>
      <w:r>
        <w:rPr>
          <w:rStyle w:val="not-translated-para"/>
          <w:i/>
          <w:iCs/>
        </w:rPr>
        <w:t xml:space="preserve">algorithm that is </w:t>
      </w:r>
      <w:r>
        <w:rPr>
          <w:rStyle w:val="not-translated-para"/>
          <w:i/>
          <w:iCs/>
        </w:rPr>
        <w:t>(</w:t>
      </w:r>
      <w:r>
        <w:rPr>
          <w:rStyle w:val="not-translated-para"/>
          <w:rFonts w:ascii="Cambria" w:hAnsi="Cambria"/>
          <w:i/>
          <w:iCs/>
          <w:sz w:val="20"/>
          <w:szCs w:val="20"/>
        </w:rPr>
        <w:t>,δ)-differentially private. Let</w:t>
      </w:r>
      <w:r>
        <w:rPr>
          <w:rStyle w:val="not-translated-para"/>
          <w:rFonts w:ascii="Cambria" w:hAnsi="Cambria"/>
          <w:i/>
          <w:iCs/>
          <w:sz w:val="20"/>
          <w:szCs w:val="20"/>
        </w:rPr>
        <w:t xml:space="preserve"> </w:t>
      </w:r>
      <w:r>
        <w:rPr>
          <w:rStyle w:val="not-translated-para"/>
          <w:rFonts w:ascii="Cambria" w:hAnsi="Cambria"/>
          <w:i/>
          <w:iCs/>
          <w:sz w:val="20"/>
          <w:szCs w:val="20"/>
        </w:rPr>
        <w:t>f</w:t>
      </w:r>
      <w:r>
        <w:rPr>
          <w:rStyle w:val="not-translated-para"/>
          <w:rFonts w:ascii="Cambria" w:hAnsi="Cambria"/>
          <w:i/>
          <w:iCs/>
          <w:sz w:val="20"/>
          <w:szCs w:val="20"/>
        </w:rPr>
        <w:t xml:space="preserve"> </w:t>
      </w:r>
      <w:r>
        <w:rPr>
          <w:rStyle w:val="not-translated-para"/>
          <w:rFonts w:ascii="Cambria" w:hAnsi="Cambria"/>
          <w:sz w:val="20"/>
          <w:szCs w:val="20"/>
        </w:rPr>
        <w:t xml:space="preserve">: R </w:t>
      </w:r>
      <w:r>
        <w:rPr>
          <w:rStyle w:val="not-translated-para"/>
          <w:rFonts w:ascii="Cambria" w:hAnsi="Cambria"/>
          <w:sz w:val="20"/>
          <w:szCs w:val="20"/>
        </w:rPr>
        <w:t>→</w:t>
      </w:r>
      <w:r>
        <w:rPr>
          <w:rStyle w:val="not-translated-para"/>
          <w:rFonts w:ascii="Cambria" w:hAnsi="Cambria"/>
          <w:sz w:val="20"/>
          <w:szCs w:val="20"/>
        </w:rPr>
        <w:t xml:space="preserve"> R</w:t>
      </w:r>
      <w:r>
        <w:rPr>
          <w:rStyle w:val="not-translated-para"/>
          <w:rFonts w:ascii="微软雅黑" w:eastAsia="微软雅黑" w:hAnsi="微软雅黑" w:cs="微软雅黑" w:hint="eastAsia"/>
          <w:sz w:val="20"/>
          <w:szCs w:val="20"/>
        </w:rPr>
        <w:t>◦</w:t>
      </w:r>
      <w:r>
        <w:rPr>
          <w:rStyle w:val="not-translated-para"/>
          <w:rFonts w:ascii="Cambria" w:hAnsi="Cambria"/>
          <w:sz w:val="20"/>
          <w:szCs w:val="20"/>
        </w:rPr>
        <w:t xml:space="preserve"> A : R</w:t>
      </w:r>
      <w:r>
        <w:rPr>
          <w:rStyle w:val="not-translated-para"/>
          <w:rFonts w:ascii="Cambria" w:hAnsi="Cambria"/>
          <w:sz w:val="20"/>
          <w:szCs w:val="20"/>
        </w:rPr>
        <w:t>→</w:t>
      </w:r>
      <w:r>
        <w:rPr>
          <w:rStyle w:val="not-translated-para"/>
          <w:rFonts w:ascii="Cambria" w:hAnsi="Cambria"/>
          <w:sz w:val="20"/>
          <w:szCs w:val="20"/>
        </w:rPr>
        <w:t xml:space="preserve"> </w:t>
      </w:r>
      <w:r>
        <w:rPr>
          <w:rStyle w:val="not-translated-para"/>
          <w:rFonts w:ascii="Cambria" w:hAnsi="Cambria"/>
          <w:sz w:val="20"/>
          <w:szCs w:val="20"/>
        </w:rPr>
        <w:t>R</w:t>
      </w:r>
      <w:r>
        <w:rPr>
          <w:rFonts w:ascii="Cambria" w:hAnsi="Cambria"/>
          <w:sz w:val="15"/>
          <w:szCs w:val="15"/>
          <w:vertAlign w:val="superscript"/>
        </w:rPr>
        <w:t>0</w:t>
      </w:r>
      <w:r>
        <w:rPr>
          <w:rFonts w:ascii="Cambria" w:hAnsi="Cambria"/>
          <w:sz w:val="15"/>
          <w:szCs w:val="15"/>
          <w:vertAlign w:val="superscript"/>
        </w:rPr>
        <w:t xml:space="preserve"> </w:t>
      </w:r>
      <w:r>
        <w:rPr>
          <w:rStyle w:val="not-translated-para"/>
          <w:i/>
          <w:iCs/>
        </w:rPr>
        <w:t>be an arbitrary randomized mapping. Then</w:t>
      </w:r>
      <w:r>
        <w:rPr>
          <w:rStyle w:val="not-translated-para"/>
          <w:i/>
          <w:iCs/>
        </w:rPr>
        <w:t xml:space="preserve"> </w:t>
      </w:r>
      <w:r>
        <w:rPr>
          <w:rStyle w:val="not-translated-para"/>
          <w:rFonts w:ascii="Cambria" w:hAnsi="Cambria"/>
          <w:i/>
          <w:iCs/>
          <w:sz w:val="20"/>
          <w:szCs w:val="20"/>
        </w:rPr>
        <w:t>f</w:t>
      </w:r>
      <w:r>
        <w:rPr>
          <w:rStyle w:val="not-translated-para"/>
          <w:rFonts w:ascii="Cambria" w:hAnsi="Cambria"/>
          <w:i/>
          <w:iCs/>
          <w:sz w:val="20"/>
          <w:szCs w:val="20"/>
        </w:rPr>
        <w:t xml:space="preserve"> </w:t>
      </w:r>
      <w:r>
        <w:rPr>
          <w:rStyle w:val="not-translated-para"/>
          <w:rFonts w:ascii="Cambria" w:hAnsi="Cambria"/>
          <w:i/>
          <w:iCs/>
          <w:vertAlign w:val="superscript"/>
        </w:rPr>
        <w:t>n</w:t>
      </w:r>
      <w:r>
        <w:rPr>
          <w:rStyle w:val="not-translated-para"/>
          <w:rFonts w:ascii="Cambria" w:hAnsi="Cambria"/>
          <w:i/>
          <w:iCs/>
          <w:vertAlign w:val="superscript"/>
        </w:rPr>
        <w:t xml:space="preserve"> </w:t>
      </w:r>
      <w:r>
        <w:rPr>
          <w:rFonts w:ascii="Cambria" w:hAnsi="Cambria"/>
          <w:sz w:val="15"/>
          <w:szCs w:val="15"/>
          <w:vertAlign w:val="superscript"/>
        </w:rPr>
        <w:t>0</w:t>
      </w:r>
      <w:r>
        <w:rPr>
          <w:rFonts w:ascii="Cambria" w:hAnsi="Cambria"/>
          <w:sz w:val="15"/>
          <w:szCs w:val="15"/>
          <w:vertAlign w:val="superscript"/>
        </w:rPr>
        <w:t xml:space="preserve"> </w:t>
      </w:r>
      <w:r>
        <w:rPr>
          <w:rStyle w:val="not-translated-para"/>
          <w:i/>
          <w:iCs/>
        </w:rPr>
        <w:t>i</w:t>
      </w:r>
      <w:r>
        <w:rPr>
          <w:rStyle w:val="not-translated-para"/>
          <w:i/>
          <w:iCs/>
        </w:rPr>
        <w:t>s</w:t>
      </w:r>
    </w:p>
    <w:p w:rsidR="00000000" w:rsidRDefault="00A52409">
      <w:pPr>
        <w:spacing w:after="89" w:line="249" w:lineRule="auto"/>
        <w:ind w:left="-5" w:hanging="10"/>
      </w:pPr>
      <w:r>
        <w:rPr>
          <w:noProof/>
        </w:rPr>
        <w:drawing>
          <wp:inline distT="0" distB="0" distL="0" distR="0">
            <wp:extent cx="200025" cy="123825"/>
            <wp:effectExtent l="0" t="0" r="9525" b="9525"/>
            <wp:docPr id="16" name="Picture 17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64"/>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00025" cy="123825"/>
                    </a:xfrm>
                    <a:prstGeom prst="rect">
                      <a:avLst/>
                    </a:prstGeom>
                    <a:noFill/>
                    <a:ln>
                      <a:noFill/>
                    </a:ln>
                  </pic:spPr>
                </pic:pic>
              </a:graphicData>
            </a:graphic>
          </wp:inline>
        </w:drawing>
      </w:r>
      <w:r>
        <w:rPr>
          <w:rStyle w:val="not-translated-para"/>
          <w:i/>
          <w:iCs/>
        </w:rPr>
        <w:t>)-differentially private</w:t>
      </w:r>
      <w:r>
        <w:rPr>
          <w:rStyle w:val="not-translated-para"/>
          <w:i/>
          <w:iCs/>
        </w:rPr>
        <w:t>.</w:t>
      </w:r>
    </w:p>
    <w:p w:rsidR="00000000" w:rsidRDefault="00A52409">
      <w:pPr>
        <w:spacing w:after="3" w:line="264" w:lineRule="auto"/>
        <w:ind w:left="10" w:right="-15" w:hanging="10"/>
        <w:jc w:val="right"/>
      </w:pPr>
      <w:r>
        <w:rPr>
          <w:rStyle w:val="not-translated-para"/>
        </w:rPr>
        <w:t>Meanwhile, it is well-known that larger amount of train</w:t>
      </w:r>
      <w:r>
        <w:rPr>
          <w:rStyle w:val="not-translated-para"/>
        </w:rPr>
        <w:t>-</w:t>
      </w:r>
    </w:p>
    <w:tbl>
      <w:tblPr>
        <w:tblpPr w:vertAnchor="text"/>
        <w:tblW w:w="10320" w:type="dxa"/>
        <w:tblCellMar>
          <w:left w:w="0" w:type="dxa"/>
          <w:right w:w="0" w:type="dxa"/>
        </w:tblCellMar>
        <w:tblLook w:val="04A0" w:firstRow="1" w:lastRow="0" w:firstColumn="1" w:lastColumn="0" w:noHBand="0" w:noVBand="1"/>
      </w:tblPr>
      <w:tblGrid>
        <w:gridCol w:w="10335"/>
      </w:tblGrid>
      <w:tr w:rsidR="00000000">
        <w:trPr>
          <w:trHeight w:val="6809"/>
        </w:trPr>
        <w:tc>
          <w:tcPr>
            <w:tcW w:w="10320" w:type="dxa"/>
            <w:hideMark/>
          </w:tcPr>
          <w:p w:rsidR="00000000" w:rsidRDefault="00A52409">
            <w:pPr>
              <w:spacing w:after="51" w:line="256" w:lineRule="auto"/>
              <w:ind w:firstLine="0"/>
              <w:jc w:val="left"/>
            </w:pPr>
            <w:r>
              <w:rPr>
                <w:noProof/>
                <w:sz w:val="22"/>
                <w:szCs w:val="22"/>
              </w:rPr>
              <w:drawing>
                <wp:inline distT="0" distB="0" distL="0" distR="0">
                  <wp:extent cx="6562725" cy="9525"/>
                  <wp:effectExtent l="0" t="0" r="0" b="0"/>
                  <wp:docPr id="17" name="Group 159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9586"/>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6562725" cy="9525"/>
                          </a:xfrm>
                          <a:prstGeom prst="rect">
                            <a:avLst/>
                          </a:prstGeom>
                          <a:noFill/>
                          <a:ln>
                            <a:noFill/>
                          </a:ln>
                        </pic:spPr>
                      </pic:pic>
                    </a:graphicData>
                  </a:graphic>
                </wp:inline>
              </w:drawing>
            </w:r>
          </w:p>
          <w:p w:rsidR="00000000" w:rsidRDefault="00A52409">
            <w:pPr>
              <w:spacing w:after="0" w:line="256" w:lineRule="auto"/>
              <w:ind w:firstLine="0"/>
              <w:jc w:val="left"/>
            </w:pPr>
            <w:r>
              <w:rPr>
                <w:rStyle w:val="not-translated-para"/>
                <w:b/>
                <w:bCs/>
              </w:rPr>
              <w:t>Algorithm 2</w:t>
            </w:r>
            <w:r>
              <w:rPr>
                <w:rStyle w:val="not-translated-para"/>
                <w:b/>
                <w:bCs/>
              </w:rPr>
              <w:t xml:space="preserve"> </w:t>
            </w:r>
            <w:r>
              <w:rPr>
                <w:rStyle w:val="not-translated-para"/>
              </w:rPr>
              <w:t>Privacy-Preserving Collaborative Deep Learnin</w:t>
            </w:r>
            <w:r>
              <w:rPr>
                <w:rStyle w:val="not-translated-para"/>
              </w:rPr>
              <w:t>g</w:t>
            </w:r>
          </w:p>
          <w:p w:rsidR="00000000" w:rsidRDefault="00A52409">
            <w:pPr>
              <w:spacing w:after="129" w:line="256" w:lineRule="auto"/>
              <w:ind w:firstLine="0"/>
              <w:jc w:val="left"/>
            </w:pPr>
            <w:r>
              <w:rPr>
                <w:noProof/>
                <w:sz w:val="22"/>
                <w:szCs w:val="22"/>
              </w:rPr>
              <w:drawing>
                <wp:inline distT="0" distB="0" distL="0" distR="0">
                  <wp:extent cx="6562725" cy="9525"/>
                  <wp:effectExtent l="0" t="0" r="0" b="0"/>
                  <wp:docPr id="18" name="Group 15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9591"/>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6562725" cy="9525"/>
                          </a:xfrm>
                          <a:prstGeom prst="rect">
                            <a:avLst/>
                          </a:prstGeom>
                          <a:noFill/>
                          <a:ln>
                            <a:noFill/>
                          </a:ln>
                        </pic:spPr>
                      </pic:pic>
                    </a:graphicData>
                  </a:graphic>
                </wp:inline>
              </w:drawing>
            </w:r>
          </w:p>
          <w:p w:rsidR="00000000" w:rsidRDefault="00A52409">
            <w:pPr>
              <w:spacing w:after="0" w:line="256" w:lineRule="auto"/>
              <w:ind w:left="180" w:right="4320" w:firstLine="0"/>
              <w:jc w:val="left"/>
            </w:pPr>
            <w:r>
              <w:rPr>
                <w:rStyle w:val="not-translated-para"/>
                <w:b/>
                <w:bCs/>
                <w:sz w:val="18"/>
                <w:szCs w:val="18"/>
              </w:rPr>
              <w:t>Input: , , , , , , ,</w:t>
            </w:r>
            <w:r>
              <w:rPr>
                <w:rStyle w:val="not-translated-para"/>
                <w:b/>
                <w:bCs/>
                <w:sz w:val="18"/>
                <w:szCs w:val="18"/>
              </w:rPr>
              <w:t xml:space="preserve"> </w:t>
            </w:r>
            <w:r>
              <w:rPr>
                <w:rStyle w:val="not-translated-para"/>
                <w:rFonts w:ascii="Cambria" w:hAnsi="Cambria"/>
                <w:i/>
                <w:iCs/>
                <w:sz w:val="18"/>
                <w:szCs w:val="18"/>
              </w:rPr>
              <w:t>C</w:t>
            </w:r>
            <w:r>
              <w:rPr>
                <w:rStyle w:val="not-translated-para"/>
                <w:rFonts w:ascii="Cambria" w:hAnsi="Cambria"/>
                <w:i/>
                <w:iCs/>
                <w:sz w:val="28"/>
                <w:szCs w:val="28"/>
                <w:vertAlign w:val="superscript"/>
              </w:rPr>
              <w:t>c</w:t>
            </w:r>
            <w:r>
              <w:rPr>
                <w:rStyle w:val="not-translated-para"/>
                <w:rFonts w:ascii="Cambria" w:hAnsi="Cambria"/>
                <w:i/>
                <w:iCs/>
                <w:sz w:val="18"/>
                <w:szCs w:val="18"/>
                <w:vertAlign w:val="superscript"/>
              </w:rPr>
              <w:t>j</w:t>
            </w:r>
            <w:r>
              <w:rPr>
                <w:rStyle w:val="not-translated-para"/>
                <w:rFonts w:ascii="Cambria" w:hAnsi="Cambria"/>
                <w:i/>
                <w:iCs/>
                <w:sz w:val="18"/>
                <w:szCs w:val="18"/>
                <w:vertAlign w:val="subscript"/>
              </w:rPr>
              <w:t>i</w:t>
            </w:r>
            <w:r>
              <w:rPr>
                <w:rStyle w:val="not-translated-para"/>
                <w:rFonts w:ascii="Cambria" w:hAnsi="Cambria"/>
                <w:i/>
                <w:iCs/>
                <w:sz w:val="18"/>
                <w:szCs w:val="18"/>
              </w:rPr>
              <w:t>p</w:t>
            </w:r>
            <w:r>
              <w:rPr>
                <w:rStyle w:val="not-translated-para"/>
                <w:rFonts w:ascii="Cambria" w:hAnsi="Cambria"/>
                <w:i/>
                <w:iCs/>
                <w:sz w:val="18"/>
                <w:szCs w:val="18"/>
              </w:rPr>
              <w:t>i</w:t>
            </w:r>
            <w:r>
              <w:rPr>
                <w:rStyle w:val="not-translated-para"/>
                <w:rFonts w:ascii="Cambria" w:hAnsi="Cambria"/>
                <w:i/>
                <w:iCs/>
                <w:sz w:val="18"/>
                <w:szCs w:val="18"/>
              </w:rPr>
              <w:t>p</w:t>
            </w:r>
            <w:r>
              <w:rPr>
                <w:rStyle w:val="not-translated-para"/>
                <w:rFonts w:ascii="Cambria" w:hAnsi="Cambria"/>
                <w:i/>
                <w:iCs/>
                <w:sz w:val="18"/>
                <w:szCs w:val="18"/>
              </w:rPr>
              <w:t>j</w:t>
            </w:r>
            <w:r>
              <w:rPr>
                <w:rStyle w:val="not-translated-para"/>
                <w:rFonts w:ascii="Cambria" w:hAnsi="Cambria"/>
                <w:i/>
                <w:iCs/>
                <w:sz w:val="18"/>
                <w:szCs w:val="18"/>
              </w:rPr>
              <w:t>d</w:t>
            </w:r>
            <w:r>
              <w:rPr>
                <w:rStyle w:val="not-translated-para"/>
                <w:rFonts w:ascii="Cambria" w:hAnsi="Cambria"/>
                <w:i/>
                <w:iCs/>
                <w:sz w:val="18"/>
                <w:szCs w:val="18"/>
              </w:rPr>
              <w:t>i</w:t>
            </w:r>
            <w:r>
              <w:rPr>
                <w:rStyle w:val="not-translated-para"/>
                <w:rFonts w:ascii="Cambria" w:hAnsi="Cambria"/>
                <w:i/>
                <w:iCs/>
                <w:sz w:val="18"/>
                <w:szCs w:val="18"/>
              </w:rPr>
              <w:t>λ</w:t>
            </w:r>
            <w:r>
              <w:rPr>
                <w:rStyle w:val="not-translated-para"/>
                <w:rFonts w:ascii="Cambria" w:hAnsi="Cambria"/>
                <w:i/>
                <w:iCs/>
                <w:sz w:val="18"/>
                <w:szCs w:val="18"/>
              </w:rPr>
              <w:t>j</w:t>
            </w:r>
            <w:r>
              <w:rPr>
                <w:rStyle w:val="not-translated-para"/>
                <w:i/>
                <w:iCs/>
                <w:sz w:val="18"/>
                <w:szCs w:val="18"/>
              </w:rPr>
              <w:t>w</w:t>
            </w:r>
            <w:r>
              <w:rPr>
                <w:rStyle w:val="not-translated-para"/>
                <w:i/>
                <w:iCs/>
                <w:sz w:val="18"/>
                <w:szCs w:val="18"/>
              </w:rPr>
              <w:t>i</w:t>
            </w:r>
            <w:r>
              <w:rPr>
                <w:rStyle w:val="not-translated-para"/>
                <w:rFonts w:ascii="Cambria" w:hAnsi="Cambria"/>
                <w:sz w:val="18"/>
                <w:szCs w:val="18"/>
              </w:rPr>
              <w:t>∆</w:t>
            </w:r>
            <w:r>
              <w:rPr>
                <w:rStyle w:val="not-translated-para"/>
                <w:i/>
                <w:iCs/>
                <w:sz w:val="18"/>
                <w:szCs w:val="18"/>
              </w:rPr>
              <w:t>w</w:t>
            </w:r>
            <w:r>
              <w:rPr>
                <w:rStyle w:val="not-translated-para"/>
                <w:i/>
                <w:iCs/>
                <w:sz w:val="18"/>
                <w:szCs w:val="18"/>
              </w:rPr>
              <w:t>j</w:t>
            </w:r>
          </w:p>
          <w:p w:rsidR="00000000" w:rsidRDefault="00A52409">
            <w:pPr>
              <w:spacing w:after="3" w:line="256" w:lineRule="auto"/>
              <w:ind w:left="180" w:firstLine="0"/>
              <w:jc w:val="left"/>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23825" cy="152400"/>
                  <wp:effectExtent l="0" t="0" r="9525" b="0"/>
                  <wp:wrapSquare wrapText="bothSides"/>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8"/>
                <w:szCs w:val="18"/>
              </w:rPr>
              <w:t>Output: updated points , , parameters , and local credibilit</w:t>
            </w:r>
            <w:r>
              <w:rPr>
                <w:rStyle w:val="not-translated-para"/>
                <w:b/>
                <w:bCs/>
                <w:sz w:val="18"/>
                <w:szCs w:val="18"/>
              </w:rPr>
              <w:t>y</w:t>
            </w:r>
            <w:r>
              <w:rPr>
                <w:rStyle w:val="not-translated-para"/>
                <w:rFonts w:ascii="Cambria" w:hAnsi="Cambria"/>
                <w:i/>
                <w:iCs/>
                <w:sz w:val="18"/>
                <w:szCs w:val="18"/>
              </w:rPr>
              <w:t>p</w:t>
            </w:r>
            <w:r>
              <w:rPr>
                <w:rFonts w:ascii="Cambria" w:hAnsi="Cambria"/>
                <w:sz w:val="18"/>
                <w:szCs w:val="18"/>
                <w:vertAlign w:val="superscript"/>
              </w:rPr>
              <w:t>0</w:t>
            </w:r>
            <w:r>
              <w:rPr>
                <w:rStyle w:val="not-translated-para"/>
                <w:rFonts w:ascii="Cambria" w:hAnsi="Cambria"/>
                <w:i/>
                <w:iCs/>
                <w:sz w:val="18"/>
                <w:szCs w:val="18"/>
                <w:vertAlign w:val="subscript"/>
              </w:rPr>
              <w:t>j</w:t>
            </w:r>
            <w:r>
              <w:rPr>
                <w:rStyle w:val="not-translated-para"/>
                <w:rFonts w:ascii="Cambria" w:hAnsi="Cambria"/>
                <w:i/>
                <w:iCs/>
                <w:sz w:val="18"/>
                <w:szCs w:val="18"/>
              </w:rPr>
              <w:t>p</w:t>
            </w:r>
            <w:r>
              <w:rPr>
                <w:rFonts w:ascii="Cambria" w:hAnsi="Cambria"/>
                <w:sz w:val="18"/>
                <w:szCs w:val="18"/>
                <w:vertAlign w:val="superscript"/>
              </w:rPr>
              <w:t>0</w:t>
            </w:r>
            <w:r>
              <w:rPr>
                <w:rStyle w:val="not-translated-para"/>
                <w:rFonts w:ascii="Cambria" w:hAnsi="Cambria"/>
                <w:i/>
                <w:iCs/>
                <w:sz w:val="18"/>
                <w:szCs w:val="18"/>
                <w:vertAlign w:val="subscript"/>
              </w:rPr>
              <w:t>i</w:t>
            </w:r>
            <w:r>
              <w:rPr>
                <w:rStyle w:val="not-translated-para"/>
                <w:i/>
                <w:iCs/>
                <w:sz w:val="18"/>
                <w:szCs w:val="18"/>
              </w:rPr>
              <w:t>w</w:t>
            </w:r>
            <w:r>
              <w:rPr>
                <w:rStyle w:val="not-translated-para"/>
                <w:i/>
                <w:iCs/>
                <w:sz w:val="18"/>
                <w:szCs w:val="18"/>
              </w:rPr>
              <w:t>i</w:t>
            </w:r>
            <w:r>
              <w:rPr>
                <w:rFonts w:ascii="Cambria" w:hAnsi="Cambria"/>
                <w:sz w:val="18"/>
                <w:szCs w:val="18"/>
                <w:vertAlign w:val="superscript"/>
              </w:rPr>
              <w:t>0</w:t>
            </w:r>
          </w:p>
          <w:p w:rsidR="00000000" w:rsidRDefault="00A52409">
            <w:pPr>
              <w:spacing w:after="47" w:line="235" w:lineRule="auto"/>
              <w:ind w:left="180" w:firstLine="0"/>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2819400" cy="247650"/>
                  <wp:effectExtent l="0" t="0" r="0" b="0"/>
                  <wp:wrapSquare wrapText="bothSides"/>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81940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8"/>
                <w:szCs w:val="18"/>
              </w:rPr>
              <w:t xml:space="preserve">1: Trade gradients as per download </w:t>
            </w:r>
            <w:r>
              <w:rPr>
                <w:rStyle w:val="not-translated-para"/>
                <w:sz w:val="18"/>
                <w:szCs w:val="18"/>
              </w:rPr>
              <w:t xml:space="preserve">requests, local credibility, and sharing level; Party points update: In each communication round, party aims to download total = pi gradients from all parties in , while party </w:t>
            </w:r>
            <w:r>
              <w:rPr>
                <w:rStyle w:val="not-translated-para"/>
                <w:rFonts w:ascii="宋体" w:hAnsi="宋体" w:hint="eastAsia"/>
                <w:sz w:val="18"/>
                <w:szCs w:val="18"/>
              </w:rPr>
              <w:t>∈</w:t>
            </w:r>
            <w:r>
              <w:rPr>
                <w:rStyle w:val="not-translated-para"/>
                <w:sz w:val="18"/>
                <w:szCs w:val="18"/>
              </w:rPr>
              <w:t xml:space="preserve"> C \ i can at most provide × |</w:t>
            </w:r>
            <w:r>
              <w:rPr>
                <w:rStyle w:val="not-translated-para"/>
                <w:sz w:val="18"/>
                <w:szCs w:val="18"/>
              </w:rPr>
              <w:t>∆</w:t>
            </w:r>
            <w:r>
              <w:rPr>
                <w:rStyle w:val="not-translated-para"/>
                <w:sz w:val="18"/>
                <w:szCs w:val="18"/>
              </w:rPr>
              <w:t xml:space="preserve">| gradients, one point is consumed/rewarded for </w:t>
            </w:r>
            <w:r>
              <w:rPr>
                <w:rStyle w:val="not-translated-para"/>
                <w:sz w:val="18"/>
                <w:szCs w:val="18"/>
              </w:rPr>
              <w:t xml:space="preserve">each download and upload. Each party updates local model parameters based on the gradients of party </w:t>
            </w:r>
            <w:r>
              <w:rPr>
                <w:rStyle w:val="not-translated-para"/>
                <w:rFonts w:ascii="宋体" w:hAnsi="宋体" w:hint="eastAsia"/>
                <w:sz w:val="18"/>
                <w:szCs w:val="18"/>
              </w:rPr>
              <w:t>∈</w:t>
            </w:r>
            <w:r>
              <w:rPr>
                <w:rStyle w:val="not-translated-para"/>
                <w:sz w:val="18"/>
                <w:szCs w:val="18"/>
              </w:rPr>
              <w:t xml:space="preserve"> C \ i as follows: fo</w:t>
            </w:r>
            <w:r>
              <w:rPr>
                <w:rStyle w:val="not-translated-para"/>
                <w:sz w:val="18"/>
                <w:szCs w:val="18"/>
              </w:rPr>
              <w:t>r</w:t>
            </w:r>
            <w:r>
              <w:rPr>
                <w:rStyle w:val="not-translated-para"/>
                <w:rFonts w:ascii="Cambria" w:hAnsi="Cambria"/>
                <w:i/>
                <w:iCs/>
                <w:sz w:val="18"/>
                <w:szCs w:val="18"/>
              </w:rPr>
              <w:t>i</w:t>
            </w:r>
            <w:r>
              <w:rPr>
                <w:rStyle w:val="not-translated-para"/>
                <w:rFonts w:ascii="Cambria" w:hAnsi="Cambria"/>
                <w:i/>
                <w:iCs/>
                <w:sz w:val="18"/>
                <w:szCs w:val="18"/>
              </w:rPr>
              <w:t xml:space="preserve"> </w:t>
            </w:r>
            <w:r>
              <w:rPr>
                <w:rStyle w:val="not-translated-para"/>
                <w:rFonts w:ascii="Cambria" w:hAnsi="Cambria"/>
                <w:i/>
                <w:iCs/>
                <w:sz w:val="18"/>
                <w:szCs w:val="18"/>
              </w:rPr>
              <w:t>di</w:t>
            </w:r>
            <w:r>
              <w:rPr>
                <w:rStyle w:val="not-translated-para"/>
                <w:rFonts w:ascii="Cambria" w:hAnsi="Cambria"/>
                <w:i/>
                <w:iCs/>
                <w:sz w:val="18"/>
                <w:szCs w:val="18"/>
              </w:rPr>
              <w:t xml:space="preserve"> </w:t>
            </w:r>
            <w:r>
              <w:rPr>
                <w:rStyle w:val="not-translated-para"/>
                <w:rFonts w:ascii="Cambria" w:hAnsi="Cambria"/>
                <w:i/>
                <w:iCs/>
                <w:sz w:val="18"/>
                <w:szCs w:val="18"/>
              </w:rPr>
              <w:t>C</w:t>
            </w:r>
            <w:r>
              <w:rPr>
                <w:rStyle w:val="not-translated-para"/>
                <w:rFonts w:ascii="Cambria" w:hAnsi="Cambria"/>
                <w:i/>
                <w:iCs/>
                <w:sz w:val="18"/>
                <w:szCs w:val="18"/>
              </w:rPr>
              <w:t>j</w:t>
            </w:r>
            <w:r>
              <w:rPr>
                <w:rStyle w:val="not-translated-para"/>
                <w:rFonts w:ascii="Cambria" w:hAnsi="Cambria"/>
                <w:i/>
                <w:iCs/>
                <w:sz w:val="18"/>
                <w:szCs w:val="18"/>
              </w:rPr>
              <w:t xml:space="preserve"> </w:t>
            </w:r>
            <w:r>
              <w:rPr>
                <w:rStyle w:val="not-translated-para"/>
                <w:rFonts w:ascii="Cambria" w:hAnsi="Cambria"/>
                <w:i/>
                <w:iCs/>
                <w:sz w:val="18"/>
                <w:szCs w:val="18"/>
              </w:rPr>
              <w:t>λj</w:t>
            </w:r>
            <w:r>
              <w:rPr>
                <w:rStyle w:val="not-translated-para"/>
                <w:rFonts w:ascii="Cambria" w:hAnsi="Cambria"/>
                <w:i/>
                <w:iCs/>
                <w:sz w:val="18"/>
                <w:szCs w:val="18"/>
              </w:rPr>
              <w:t xml:space="preserve"> </w:t>
            </w:r>
            <w:r>
              <w:rPr>
                <w:rStyle w:val="not-translated-para"/>
                <w:i/>
                <w:iCs/>
                <w:sz w:val="18"/>
                <w:szCs w:val="18"/>
              </w:rPr>
              <w:t>w</w:t>
            </w:r>
            <w:r>
              <w:rPr>
                <w:rStyle w:val="not-translated-para"/>
                <w:i/>
                <w:iCs/>
                <w:sz w:val="18"/>
                <w:szCs w:val="18"/>
              </w:rPr>
              <w:t>j</w:t>
            </w:r>
            <w:r>
              <w:rPr>
                <w:rStyle w:val="not-translated-para"/>
                <w:rFonts w:ascii="Cambria" w:hAnsi="Cambria"/>
                <w:i/>
                <w:iCs/>
                <w:sz w:val="18"/>
                <w:szCs w:val="18"/>
              </w:rPr>
              <w:t>i</w:t>
            </w:r>
            <w:r>
              <w:rPr>
                <w:rStyle w:val="not-translated-para"/>
                <w:rFonts w:ascii="Cambria" w:hAnsi="Cambria"/>
                <w:i/>
                <w:iCs/>
                <w:sz w:val="18"/>
                <w:szCs w:val="18"/>
              </w:rPr>
              <w:t xml:space="preserve"> </w:t>
            </w:r>
            <w:r>
              <w:rPr>
                <w:rStyle w:val="not-translated-para"/>
                <w:rFonts w:ascii="Cambria" w:hAnsi="Cambria"/>
                <w:i/>
                <w:iCs/>
                <w:sz w:val="18"/>
                <w:szCs w:val="18"/>
              </w:rPr>
              <w:t>j</w:t>
            </w:r>
            <w:r>
              <w:rPr>
                <w:rStyle w:val="not-translated-para"/>
                <w:rFonts w:ascii="Cambria" w:hAnsi="Cambria"/>
                <w:i/>
                <w:iCs/>
                <w:sz w:val="18"/>
                <w:szCs w:val="18"/>
              </w:rPr>
              <w:t xml:space="preserve"> </w:t>
            </w:r>
          </w:p>
          <w:p w:rsidR="00000000" w:rsidRDefault="00A52409">
            <w:pPr>
              <w:spacing w:after="58" w:line="256" w:lineRule="auto"/>
              <w:ind w:firstLine="0"/>
              <w:jc w:val="left"/>
            </w:pPr>
            <w:r>
              <w:rPr>
                <w:sz w:val="22"/>
                <w:szCs w:val="22"/>
              </w:rPr>
              <w:t>            </w:t>
            </w:r>
            <w:r>
              <w:rPr>
                <w:sz w:val="22"/>
                <w:szCs w:val="22"/>
              </w:rPr>
              <w:t xml:space="preserve"> </w:t>
            </w:r>
            <w:r>
              <w:rPr>
                <w:rStyle w:val="not-translated-para"/>
                <w:rFonts w:ascii="Cambria" w:hAnsi="Cambria"/>
                <w:i/>
                <w:iCs/>
                <w:sz w:val="12"/>
                <w:szCs w:val="12"/>
              </w:rPr>
              <w:t>i</w:t>
            </w:r>
            <w:r>
              <w:rPr>
                <w:rStyle w:val="not-translated-para"/>
                <w:rFonts w:ascii="Cambria" w:hAnsi="Cambria"/>
                <w:i/>
                <w:iCs/>
                <w:sz w:val="12"/>
                <w:szCs w:val="12"/>
              </w:rPr>
              <w:t xml:space="preserve"> </w:t>
            </w:r>
            <w:r>
              <w:rPr>
                <w:rStyle w:val="not-translated-para"/>
                <w:rFonts w:ascii="Cambria" w:hAnsi="Cambria"/>
                <w:sz w:val="18"/>
                <w:szCs w:val="18"/>
              </w:rPr>
              <w:t>= (</w:t>
            </w:r>
            <w:r>
              <w:rPr>
                <w:rStyle w:val="not-translated-para"/>
                <w:rFonts w:ascii="Cambria" w:hAnsi="Cambria"/>
                <w:sz w:val="18"/>
                <w:szCs w:val="18"/>
              </w:rPr>
              <w:t>c</w:t>
            </w:r>
            <w:r>
              <w:rPr>
                <w:rStyle w:val="not-translated-para"/>
                <w:rFonts w:ascii="Cambria" w:hAnsi="Cambria"/>
                <w:i/>
                <w:iCs/>
                <w:sz w:val="12"/>
                <w:szCs w:val="12"/>
              </w:rPr>
              <w:t>i</w:t>
            </w:r>
            <w:r>
              <w:rPr>
                <w:rStyle w:val="not-translated-para"/>
                <w:rFonts w:ascii="Cambria" w:hAnsi="Cambria"/>
                <w:i/>
                <w:iCs/>
                <w:sz w:val="12"/>
                <w:szCs w:val="12"/>
              </w:rPr>
              <w:t xml:space="preserve"> </w:t>
            </w:r>
            <w:r>
              <w:rPr>
                <w:rStyle w:val="not-translated-para"/>
                <w:rFonts w:ascii="Cambria" w:hAnsi="Cambria"/>
                <w:sz w:val="18"/>
                <w:szCs w:val="18"/>
              </w:rPr>
              <w:t>∗</w:t>
            </w:r>
            <w:r>
              <w:rPr>
                <w:rStyle w:val="not-translated-para"/>
                <w:rFonts w:ascii="Cambria" w:hAnsi="Cambria"/>
                <w:sz w:val="18"/>
                <w:szCs w:val="18"/>
              </w:rPr>
              <w:t xml:space="preserve"> </w:t>
            </w:r>
            <w:r>
              <w:rPr>
                <w:rStyle w:val="not-translated-para"/>
                <w:rFonts w:ascii="Cambria" w:hAnsi="Cambria"/>
                <w:i/>
                <w:iCs/>
                <w:sz w:val="12"/>
                <w:szCs w:val="12"/>
              </w:rPr>
              <w:t>i j</w:t>
            </w:r>
            <w:r>
              <w:rPr>
                <w:rStyle w:val="not-translated-para"/>
                <w:rFonts w:ascii="Cambria" w:hAnsi="Cambria"/>
                <w:i/>
                <w:iCs/>
                <w:sz w:val="12"/>
                <w:szCs w:val="12"/>
              </w:rPr>
              <w:t xml:space="preserve"> </w:t>
            </w:r>
            <w:r>
              <w:rPr>
                <w:rStyle w:val="not-translated-para"/>
                <w:rFonts w:ascii="Cambria" w:hAnsi="Cambria"/>
                <w:sz w:val="18"/>
                <w:szCs w:val="18"/>
              </w:rPr>
              <w:t>∆</w:t>
            </w:r>
            <w:r>
              <w:rPr>
                <w:rStyle w:val="not-translated-para"/>
                <w:i/>
                <w:iCs/>
                <w:sz w:val="18"/>
                <w:szCs w:val="18"/>
              </w:rPr>
              <w:t>w</w:t>
            </w:r>
            <w:r>
              <w:rPr>
                <w:rStyle w:val="not-translated-para"/>
                <w:i/>
                <w:iCs/>
                <w:sz w:val="12"/>
                <w:szCs w:val="12"/>
              </w:rPr>
              <w:t>j</w:t>
            </w:r>
            <w:r>
              <w:rPr>
                <w:rStyle w:val="not-translated-para"/>
                <w:i/>
                <w:iCs/>
                <w:sz w:val="12"/>
                <w:szCs w:val="12"/>
              </w:rPr>
              <w:t xml:space="preserve"> </w:t>
            </w:r>
            <w:r>
              <w:rPr>
                <w:rStyle w:val="not-translated-para"/>
                <w:rFonts w:ascii="Cambria" w:hAnsi="Cambria"/>
                <w:sz w:val="18"/>
                <w:szCs w:val="18"/>
              </w:rPr>
              <w:t>)</w:t>
            </w:r>
            <w:r>
              <w:rPr>
                <w:sz w:val="18"/>
                <w:szCs w:val="18"/>
              </w:rPr>
              <w:t>,</w:t>
            </w:r>
            <w:r>
              <w:rPr>
                <w:sz w:val="18"/>
                <w:szCs w:val="18"/>
              </w:rPr>
              <w:t xml:space="preserve"> </w:t>
            </w:r>
            <w:r>
              <w:rPr>
                <w:rStyle w:val="not-translated-para"/>
                <w:rFonts w:ascii="Cambria" w:hAnsi="Cambria"/>
                <w:i/>
                <w:iCs/>
                <w:sz w:val="18"/>
                <w:szCs w:val="18"/>
              </w:rPr>
              <w:t>p</w:t>
            </w:r>
            <w:r>
              <w:rPr>
                <w:rStyle w:val="not-translated-para"/>
                <w:rFonts w:ascii="Cambria" w:hAnsi="Cambria"/>
                <w:i/>
                <w:iCs/>
                <w:sz w:val="12"/>
                <w:szCs w:val="12"/>
              </w:rPr>
              <w:t>j</w:t>
            </w:r>
            <w:r>
              <w:rPr>
                <w:rStyle w:val="not-translated-para"/>
                <w:rFonts w:ascii="Cambria" w:hAnsi="Cambria"/>
                <w:i/>
                <w:iCs/>
                <w:sz w:val="12"/>
                <w:szCs w:val="12"/>
              </w:rPr>
              <w:t xml:space="preserve"> </w:t>
            </w:r>
            <w:r>
              <w:rPr>
                <w:rStyle w:val="not-translated-para"/>
                <w:rFonts w:ascii="Cambria" w:hAnsi="Cambria"/>
                <w:sz w:val="18"/>
                <w:szCs w:val="18"/>
              </w:rPr>
              <w:t xml:space="preserve">= </w:t>
            </w:r>
            <w:r>
              <w:rPr>
                <w:rStyle w:val="not-translated-para"/>
                <w:rFonts w:ascii="Cambria" w:hAnsi="Cambria"/>
                <w:sz w:val="18"/>
                <w:szCs w:val="18"/>
              </w:rPr>
              <w:t>p</w:t>
            </w:r>
            <w:r>
              <w:rPr>
                <w:rStyle w:val="not-translated-para"/>
                <w:rFonts w:ascii="Cambria" w:hAnsi="Cambria"/>
                <w:i/>
                <w:iCs/>
                <w:sz w:val="12"/>
                <w:szCs w:val="12"/>
              </w:rPr>
              <w:t>j</w:t>
            </w:r>
            <w:r>
              <w:rPr>
                <w:rStyle w:val="not-translated-para"/>
                <w:rFonts w:ascii="Cambria" w:hAnsi="Cambria"/>
                <w:i/>
                <w:iCs/>
                <w:sz w:val="12"/>
                <w:szCs w:val="12"/>
              </w:rPr>
              <w:t xml:space="preserve"> </w:t>
            </w:r>
            <w:r>
              <w:rPr>
                <w:rFonts w:ascii="Cambria" w:hAnsi="Cambria"/>
                <w:sz w:val="18"/>
                <w:szCs w:val="18"/>
              </w:rPr>
              <w:t>+</w:t>
            </w:r>
            <w:r>
              <w:rPr>
                <w:rFonts w:ascii="Cambria" w:hAnsi="Cambria"/>
                <w:sz w:val="18"/>
                <w:szCs w:val="18"/>
              </w:rPr>
              <w:t xml:space="preserve"> </w:t>
            </w:r>
            <w:r>
              <w:rPr>
                <w:rStyle w:val="not-translated-para"/>
                <w:rFonts w:ascii="Cambria" w:hAnsi="Cambria"/>
                <w:i/>
                <w:iCs/>
                <w:sz w:val="12"/>
                <w:szCs w:val="12"/>
              </w:rPr>
              <w:t>i</w:t>
            </w:r>
            <w:r>
              <w:rPr>
                <w:sz w:val="18"/>
                <w:szCs w:val="18"/>
              </w:rPr>
              <w:t>,</w:t>
            </w:r>
            <w:r>
              <w:rPr>
                <w:sz w:val="18"/>
                <w:szCs w:val="18"/>
              </w:rPr>
              <w:t xml:space="preserve"> </w:t>
            </w:r>
            <w:r>
              <w:rPr>
                <w:rStyle w:val="not-translated-para"/>
                <w:rFonts w:ascii="Cambria" w:hAnsi="Cambria"/>
                <w:i/>
                <w:iCs/>
                <w:sz w:val="18"/>
                <w:szCs w:val="18"/>
              </w:rPr>
              <w:t>p</w:t>
            </w:r>
            <w:r>
              <w:rPr>
                <w:rStyle w:val="not-translated-para"/>
                <w:rFonts w:ascii="Cambria" w:hAnsi="Cambria"/>
                <w:i/>
                <w:iCs/>
                <w:sz w:val="12"/>
                <w:szCs w:val="12"/>
              </w:rPr>
              <w:t>i</w:t>
            </w:r>
            <w:r>
              <w:rPr>
                <w:rStyle w:val="not-translated-para"/>
                <w:rFonts w:ascii="Cambria" w:hAnsi="Cambria"/>
                <w:i/>
                <w:iCs/>
                <w:sz w:val="12"/>
                <w:szCs w:val="12"/>
              </w:rPr>
              <w:t xml:space="preserve"> </w:t>
            </w:r>
            <w:r>
              <w:rPr>
                <w:rStyle w:val="not-translated-para"/>
                <w:rFonts w:ascii="Cambria" w:hAnsi="Cambria"/>
                <w:sz w:val="18"/>
                <w:szCs w:val="18"/>
              </w:rPr>
              <w:t xml:space="preserve">= </w:t>
            </w:r>
            <w:r>
              <w:rPr>
                <w:rStyle w:val="not-translated-para"/>
                <w:rFonts w:ascii="Cambria" w:hAnsi="Cambria"/>
                <w:sz w:val="18"/>
                <w:szCs w:val="18"/>
              </w:rPr>
              <w:t>p</w:t>
            </w:r>
            <w:r>
              <w:rPr>
                <w:rStyle w:val="not-translated-para"/>
                <w:rFonts w:ascii="Cambria" w:hAnsi="Cambria"/>
                <w:i/>
                <w:iCs/>
                <w:sz w:val="12"/>
                <w:szCs w:val="12"/>
              </w:rPr>
              <w:t>i</w:t>
            </w:r>
            <w:r>
              <w:rPr>
                <w:rStyle w:val="not-translated-para"/>
                <w:rFonts w:ascii="Cambria" w:hAnsi="Cambria"/>
                <w:i/>
                <w:iCs/>
                <w:sz w:val="12"/>
                <w:szCs w:val="12"/>
              </w:rPr>
              <w:t xml:space="preserve"> </w:t>
            </w:r>
            <w:r>
              <w:rPr>
                <w:rStyle w:val="not-translated-para"/>
                <w:rFonts w:ascii="Cambria" w:hAnsi="Cambria"/>
                <w:sz w:val="18"/>
                <w:szCs w:val="18"/>
              </w:rPr>
              <w:t>−</w:t>
            </w:r>
            <w:r>
              <w:rPr>
                <w:rStyle w:val="not-translated-para"/>
                <w:rFonts w:ascii="Cambria" w:hAnsi="Cambria"/>
                <w:sz w:val="18"/>
                <w:szCs w:val="18"/>
              </w:rPr>
              <w:t xml:space="preserve"> </w:t>
            </w:r>
            <w:r>
              <w:rPr>
                <w:rStyle w:val="not-translated-para"/>
                <w:rFonts w:ascii="Cambria" w:hAnsi="Cambria"/>
                <w:i/>
                <w:iCs/>
                <w:sz w:val="12"/>
                <w:szCs w:val="12"/>
              </w:rPr>
              <w:t>i</w:t>
            </w:r>
          </w:p>
          <w:p w:rsidR="00000000" w:rsidRDefault="00A52409">
            <w:pPr>
              <w:spacing w:after="0" w:line="340" w:lineRule="auto"/>
              <w:ind w:left="180" w:firstLine="270"/>
              <w:jc w:val="left"/>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495300" cy="152400"/>
                  <wp:effectExtent l="0" t="0" r="0" b="0"/>
                  <wp:wrapSquare wrapText="bothSides"/>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4953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Fonts w:ascii="Cambria" w:hAnsi="Cambria"/>
                <w:sz w:val="18"/>
                <w:szCs w:val="18"/>
              </w:rPr>
              <w:t>∆</w:t>
            </w:r>
            <w:r>
              <w:rPr>
                <w:rStyle w:val="not-translated-para"/>
                <w:rFonts w:ascii="Cambria" w:hAnsi="Cambria"/>
                <w:sz w:val="18"/>
                <w:szCs w:val="18"/>
              </w:rPr>
              <w:t xml:space="preserve">= </w:t>
            </w:r>
            <w:r>
              <w:rPr>
                <w:rStyle w:val="not-translated-para"/>
                <w:rFonts w:ascii="Cambria" w:hAnsi="Cambria"/>
                <w:sz w:val="18"/>
                <w:szCs w:val="18"/>
              </w:rPr>
              <w:t>∆</w:t>
            </w:r>
            <w:r>
              <w:rPr>
                <w:rStyle w:val="not-translated-para"/>
                <w:rFonts w:ascii="Cambria" w:hAnsi="Cambria"/>
                <w:sz w:val="18"/>
                <w:szCs w:val="18"/>
              </w:rPr>
              <w:t xml:space="preserve">, party first chooses meaningful gradients from </w:t>
            </w:r>
            <w:r>
              <w:rPr>
                <w:rStyle w:val="not-translated-para"/>
                <w:rFonts w:ascii="Cambria" w:hAnsi="Cambria"/>
                <w:sz w:val="18"/>
                <w:szCs w:val="18"/>
              </w:rPr>
              <w:t>∆</w:t>
            </w:r>
            <w:r>
              <w:rPr>
                <w:rStyle w:val="not-translated-para"/>
                <w:rFonts w:ascii="Cambria" w:hAnsi="Cambria"/>
                <w:sz w:val="18"/>
                <w:szCs w:val="18"/>
              </w:rPr>
              <w:t>ac</w:t>
            </w:r>
            <w:r>
              <w:rPr>
                <w:rStyle w:val="not-translated-para"/>
                <w:rFonts w:ascii="Cambria" w:hAnsi="Cambria"/>
                <w:sz w:val="18"/>
                <w:szCs w:val="18"/>
              </w:rPr>
              <w:t xml:space="preserve">cording to “largest values” criterion: sort gradients in </w:t>
            </w:r>
            <w:r>
              <w:rPr>
                <w:rStyle w:val="not-translated-para"/>
                <w:rFonts w:ascii="Cambria" w:hAnsi="Cambria"/>
                <w:sz w:val="18"/>
                <w:szCs w:val="18"/>
              </w:rPr>
              <w:t>∆</w:t>
            </w:r>
            <w:r>
              <w:rPr>
                <w:rStyle w:val="not-translated-para"/>
                <w:rFonts w:ascii="Cambria" w:hAnsi="Cambria"/>
                <w:sz w:val="18"/>
                <w:szCs w:val="18"/>
              </w:rPr>
              <w:t xml:space="preserve">and choose of them, starting from the largest, then masks the remaininggradients with 0 as </w:t>
            </w:r>
            <w:r>
              <w:rPr>
                <w:rStyle w:val="not-translated-para"/>
                <w:rFonts w:ascii="Cambria" w:hAnsi="Cambria"/>
                <w:sz w:val="18"/>
                <w:szCs w:val="18"/>
              </w:rPr>
              <w:t>∆</w:t>
            </w:r>
            <w:r>
              <w:rPr>
                <w:rStyle w:val="not-translated-para"/>
                <w:rFonts w:ascii="Cambria" w:hAnsi="Cambria"/>
                <w:sz w:val="18"/>
                <w:szCs w:val="18"/>
              </w:rPr>
              <w:t>.</w:t>
            </w:r>
            <w:r>
              <w:rPr>
                <w:rStyle w:val="not-translated-para"/>
                <w:i/>
                <w:iCs/>
                <w:sz w:val="18"/>
                <w:szCs w:val="18"/>
              </w:rPr>
              <w:t>wji</w:t>
            </w:r>
            <w:r>
              <w:rPr>
                <w:rStyle w:val="not-translated-para"/>
                <w:i/>
                <w:iCs/>
                <w:sz w:val="18"/>
                <w:szCs w:val="18"/>
              </w:rPr>
              <w:t xml:space="preserve"> </w:t>
            </w:r>
            <w:r>
              <w:rPr>
                <w:rStyle w:val="not-translated-para"/>
                <w:i/>
                <w:iCs/>
                <w:sz w:val="18"/>
                <w:szCs w:val="18"/>
              </w:rPr>
              <w:t>w</w:t>
            </w:r>
            <w:r>
              <w:rPr>
                <w:rStyle w:val="not-translated-para"/>
                <w:i/>
                <w:iCs/>
                <w:sz w:val="18"/>
                <w:szCs w:val="18"/>
              </w:rPr>
              <w:t>j</w:t>
            </w:r>
            <w:r>
              <w:rPr>
                <w:rStyle w:val="not-translated-para"/>
                <w:rFonts w:ascii="Cambria" w:hAnsi="Cambria"/>
                <w:i/>
                <w:iCs/>
                <w:sz w:val="18"/>
                <w:szCs w:val="18"/>
              </w:rPr>
              <w:t>j</w:t>
            </w:r>
            <w:r>
              <w:rPr>
                <w:rStyle w:val="not-translated-para"/>
                <w:rFonts w:ascii="Cambria" w:hAnsi="Cambria"/>
                <w:i/>
                <w:iCs/>
                <w:sz w:val="18"/>
                <w:szCs w:val="18"/>
              </w:rPr>
              <w:t xml:space="preserve"> </w:t>
            </w:r>
            <w:r>
              <w:rPr>
                <w:rStyle w:val="not-translated-para"/>
                <w:rFonts w:ascii="Cambria" w:hAnsi="Cambria"/>
                <w:i/>
                <w:iCs/>
                <w:sz w:val="18"/>
                <w:szCs w:val="18"/>
              </w:rPr>
              <w:t>dji</w:t>
            </w:r>
            <w:r>
              <w:rPr>
                <w:rStyle w:val="not-translated-para"/>
                <w:rFonts w:ascii="Cambria" w:hAnsi="Cambria"/>
                <w:i/>
                <w:iCs/>
                <w:sz w:val="18"/>
                <w:szCs w:val="18"/>
              </w:rPr>
              <w:t xml:space="preserve"> </w:t>
            </w:r>
            <w:r>
              <w:rPr>
                <w:rStyle w:val="not-translated-para"/>
                <w:i/>
                <w:iCs/>
                <w:sz w:val="18"/>
                <w:szCs w:val="18"/>
              </w:rPr>
              <w:t>wji</w:t>
            </w:r>
            <w:r>
              <w:rPr>
                <w:rStyle w:val="not-translated-para"/>
                <w:i/>
                <w:iCs/>
                <w:sz w:val="18"/>
                <w:szCs w:val="18"/>
              </w:rPr>
              <w:t xml:space="preserve"> </w:t>
            </w:r>
            <w:r>
              <w:rPr>
                <w:rStyle w:val="not-translated-para"/>
                <w:i/>
                <w:iCs/>
                <w:sz w:val="18"/>
                <w:szCs w:val="18"/>
              </w:rPr>
              <w:t>wji</w:t>
            </w:r>
            <w:r>
              <w:rPr>
                <w:rStyle w:val="not-translated-para"/>
                <w:i/>
                <w:iCs/>
                <w:sz w:val="18"/>
                <w:szCs w:val="18"/>
              </w:rPr>
              <w:t xml:space="preserve"> </w:t>
            </w:r>
            <w:r>
              <w:rPr>
                <w:rStyle w:val="not-translated-para"/>
                <w:rFonts w:ascii="Cambria" w:hAnsi="Cambria"/>
                <w:i/>
                <w:iCs/>
                <w:sz w:val="18"/>
                <w:szCs w:val="18"/>
              </w:rPr>
              <w:t>dji</w:t>
            </w:r>
            <w:r>
              <w:rPr>
                <w:rStyle w:val="not-translated-para"/>
                <w:rFonts w:ascii="Cambria" w:hAnsi="Cambria"/>
                <w:i/>
                <w:iCs/>
                <w:sz w:val="18"/>
                <w:szCs w:val="18"/>
              </w:rPr>
              <w:t xml:space="preserve"> </w:t>
            </w:r>
            <w:r>
              <w:rPr>
                <w:rStyle w:val="not-translated-para"/>
                <w:i/>
                <w:iCs/>
                <w:sz w:val="18"/>
                <w:szCs w:val="18"/>
              </w:rPr>
              <w:t>w</w:t>
            </w:r>
            <w:r>
              <w:rPr>
                <w:rStyle w:val="not-translated-para"/>
                <w:rFonts w:ascii="Cambria" w:hAnsi="Cambria"/>
                <w:b/>
                <w:bCs/>
                <w:sz w:val="18"/>
                <w:szCs w:val="18"/>
              </w:rPr>
              <w:t>˜</w:t>
            </w:r>
            <w:r>
              <w:rPr>
                <w:rStyle w:val="not-translated-para"/>
                <w:i/>
                <w:iCs/>
                <w:sz w:val="18"/>
                <w:szCs w:val="18"/>
                <w:vertAlign w:val="subscript"/>
              </w:rPr>
              <w:t>j</w:t>
            </w:r>
            <w:r>
              <w:rPr>
                <w:rStyle w:val="not-translated-para"/>
                <w:i/>
                <w:iCs/>
                <w:sz w:val="18"/>
                <w:szCs w:val="18"/>
                <w:vertAlign w:val="superscript"/>
              </w:rPr>
              <w:t>i</w:t>
            </w:r>
          </w:p>
          <w:p w:rsidR="00000000" w:rsidRDefault="00A52409">
            <w:pPr>
              <w:spacing w:after="11" w:line="256" w:lineRule="auto"/>
              <w:ind w:left="180" w:firstLine="0"/>
              <w:jc w:val="left"/>
            </w:pPr>
            <w:r>
              <w:rPr>
                <w:rStyle w:val="not-translated-para"/>
                <w:b/>
                <w:bCs/>
                <w:sz w:val="18"/>
                <w:szCs w:val="18"/>
              </w:rPr>
              <w:t>end fo</w:t>
            </w:r>
            <w:r>
              <w:rPr>
                <w:rStyle w:val="not-translated-para"/>
                <w:b/>
                <w:bCs/>
                <w:sz w:val="18"/>
                <w:szCs w:val="18"/>
              </w:rPr>
              <w:t>r</w:t>
            </w:r>
          </w:p>
          <w:p w:rsidR="00000000" w:rsidRDefault="00A52409">
            <w:pPr>
              <w:spacing w:after="0" w:line="256" w:lineRule="auto"/>
              <w:ind w:left="180" w:firstLine="0"/>
              <w:jc w:val="left"/>
            </w:pPr>
            <w:r>
              <w:rPr>
                <w:rStyle w:val="not-translated-para"/>
                <w:sz w:val="18"/>
                <w:szCs w:val="18"/>
              </w:rPr>
              <w:t xml:space="preserve">2: Three-layer onion-style encryption: Party follows Algorithm 3 to encrypt the masked gradients </w:t>
            </w:r>
            <w:r>
              <w:rPr>
                <w:rStyle w:val="not-translated-para"/>
                <w:sz w:val="18"/>
                <w:szCs w:val="18"/>
              </w:rPr>
              <w:t>∆</w:t>
            </w:r>
            <w:r>
              <w:rPr>
                <w:rStyle w:val="not-translated-para"/>
                <w:sz w:val="18"/>
                <w:szCs w:val="18"/>
              </w:rPr>
              <w:t>with its keystrea</w:t>
            </w:r>
            <w:r>
              <w:rPr>
                <w:rStyle w:val="not-translated-para"/>
                <w:sz w:val="18"/>
                <w:szCs w:val="18"/>
              </w:rPr>
              <w:t>m</w:t>
            </w:r>
            <w:r>
              <w:rPr>
                <w:rStyle w:val="not-translated-para"/>
                <w:rFonts w:ascii="Cambria" w:hAnsi="Cambria"/>
                <w:i/>
                <w:iCs/>
                <w:sz w:val="18"/>
                <w:szCs w:val="18"/>
              </w:rPr>
              <w:t>j</w:t>
            </w:r>
            <w:r>
              <w:rPr>
                <w:rStyle w:val="not-translated-para"/>
                <w:rFonts w:ascii="Cambria" w:hAnsi="Cambria"/>
                <w:i/>
                <w:iCs/>
                <w:sz w:val="18"/>
                <w:szCs w:val="18"/>
              </w:rPr>
              <w:t xml:space="preserve"> </w:t>
            </w:r>
            <w:r>
              <w:rPr>
                <w:rStyle w:val="not-translated-para"/>
                <w:i/>
                <w:iCs/>
                <w:sz w:val="18"/>
                <w:szCs w:val="18"/>
              </w:rPr>
              <w:t>w</w:t>
            </w:r>
            <w:r>
              <w:rPr>
                <w:rStyle w:val="not-translated-para"/>
                <w:rFonts w:ascii="Cambria" w:hAnsi="Cambria"/>
                <w:b/>
                <w:bCs/>
                <w:sz w:val="18"/>
                <w:szCs w:val="18"/>
              </w:rPr>
              <w:t>˜</w:t>
            </w:r>
            <w:r>
              <w:rPr>
                <w:rStyle w:val="not-translated-para"/>
                <w:i/>
                <w:iCs/>
                <w:sz w:val="18"/>
                <w:szCs w:val="18"/>
                <w:vertAlign w:val="subscript"/>
              </w:rPr>
              <w:t>j</w:t>
            </w:r>
            <w:r>
              <w:rPr>
                <w:rStyle w:val="not-translated-para"/>
                <w:i/>
                <w:iCs/>
                <w:sz w:val="18"/>
                <w:szCs w:val="18"/>
                <w:vertAlign w:val="superscript"/>
              </w:rPr>
              <w:t>i</w:t>
            </w:r>
            <w:r>
              <w:rPr>
                <w:rStyle w:val="not-translated-para"/>
                <w:i/>
                <w:iCs/>
                <w:sz w:val="18"/>
                <w:szCs w:val="18"/>
                <w:vertAlign w:val="superscript"/>
              </w:rPr>
              <w:t xml:space="preserve"> </w:t>
            </w:r>
          </w:p>
          <w:p w:rsidR="00000000" w:rsidRDefault="00A52409">
            <w:pPr>
              <w:spacing w:after="0" w:line="256" w:lineRule="auto"/>
              <w:ind w:firstLine="0"/>
              <w:jc w:val="right"/>
            </w:pPr>
            <w:r>
              <w:rPr>
                <w:noProof/>
              </w:rPr>
              <w:drawing>
                <wp:inline distT="0" distB="0" distL="0" distR="0">
                  <wp:extent cx="1190625" cy="152400"/>
                  <wp:effectExtent l="0" t="0" r="9525" b="0"/>
                  <wp:docPr id="19" name="Picture 17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7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r>
              <w:rPr>
                <w:rStyle w:val="not-translated-para"/>
                <w:sz w:val="18"/>
                <w:szCs w:val="18"/>
              </w:rPr>
              <w:t>, and re-encrypts the encrypted gradients with a fresh symmetric encryption key as (c,fsk)</w:t>
            </w:r>
            <w:r>
              <w:rPr>
                <w:rStyle w:val="not-translated-para"/>
                <w:sz w:val="18"/>
                <w:szCs w:val="18"/>
              </w:rPr>
              <w:t>,</w:t>
            </w:r>
            <w:r>
              <w:rPr>
                <w:rStyle w:val="not-translated-para"/>
                <w:rFonts w:ascii="Cambria" w:hAnsi="Cambria"/>
                <w:i/>
                <w:iCs/>
                <w:sz w:val="18"/>
                <w:szCs w:val="18"/>
              </w:rPr>
              <w:t>c</w:t>
            </w:r>
            <w:r>
              <w:rPr>
                <w:rStyle w:val="not-translated-para"/>
                <w:rFonts w:ascii="Cambria" w:hAnsi="Cambria"/>
                <w:i/>
                <w:iCs/>
                <w:sz w:val="18"/>
                <w:szCs w:val="18"/>
              </w:rPr>
              <w:t xml:space="preserve"> </w:t>
            </w:r>
            <w:r>
              <w:rPr>
                <w:rStyle w:val="not-translated-para"/>
                <w:rFonts w:ascii="Cambria" w:hAnsi="Cambria"/>
                <w:i/>
                <w:iCs/>
                <w:sz w:val="18"/>
                <w:szCs w:val="18"/>
              </w:rPr>
              <w:t>fsk</w:t>
            </w:r>
            <w:r>
              <w:rPr>
                <w:rStyle w:val="not-translated-para"/>
                <w:rFonts w:ascii="Cambria" w:hAnsi="Cambria"/>
                <w:i/>
                <w:iCs/>
                <w:sz w:val="18"/>
                <w:szCs w:val="18"/>
              </w:rPr>
              <w:t xml:space="preserve"> </w:t>
            </w:r>
            <w:r>
              <w:rPr>
                <w:rStyle w:val="not-translated-para"/>
                <w:rFonts w:ascii="Cambria" w:hAnsi="Cambria"/>
                <w:i/>
                <w:iCs/>
                <w:sz w:val="18"/>
                <w:szCs w:val="18"/>
              </w:rPr>
              <w:t>Sen</w:t>
            </w:r>
            <w:r>
              <w:rPr>
                <w:rStyle w:val="not-translated-para"/>
                <w:rFonts w:ascii="Cambria" w:hAnsi="Cambria"/>
                <w:i/>
                <w:iCs/>
                <w:sz w:val="18"/>
                <w:szCs w:val="18"/>
              </w:rPr>
              <w:t>c</w:t>
            </w:r>
          </w:p>
          <w:p w:rsidR="00000000" w:rsidRDefault="00A52409">
            <w:pPr>
              <w:spacing w:after="6" w:line="240" w:lineRule="auto"/>
              <w:ind w:left="180" w:firstLine="0"/>
            </w:pPr>
            <w:r>
              <w:rPr>
                <w:rStyle w:val="not-translated-para"/>
                <w:sz w:val="18"/>
                <w:szCs w:val="18"/>
              </w:rPr>
              <w:t>the symmetric encryption key o</w:t>
            </w:r>
            <w:r>
              <w:rPr>
                <w:rStyle w:val="not-translated-para"/>
                <w:sz w:val="18"/>
                <w:szCs w:val="18"/>
              </w:rPr>
              <w:t xml:space="preserve">f the second layer is encrypted in the third layer by the receiver party &amp;apos;s public key as (fsk,pki). Finally, the two-layer encrypted gradients (c,fsk) and the encrypted fresh symmetric encryption key (fsk,pki) are sent to party </w:t>
            </w:r>
            <w:r>
              <w:rPr>
                <w:rStyle w:val="not-translated-para"/>
                <w:sz w:val="18"/>
                <w:szCs w:val="18"/>
              </w:rPr>
              <w:t>;</w:t>
            </w:r>
            <w:r>
              <w:rPr>
                <w:rStyle w:val="not-translated-para"/>
                <w:rFonts w:ascii="Cambria" w:hAnsi="Cambria"/>
                <w:i/>
                <w:iCs/>
                <w:sz w:val="18"/>
                <w:szCs w:val="18"/>
              </w:rPr>
              <w:t>i</w:t>
            </w:r>
            <w:r>
              <w:rPr>
                <w:rStyle w:val="not-translated-para"/>
                <w:rFonts w:ascii="Cambria" w:hAnsi="Cambria"/>
                <w:i/>
                <w:iCs/>
                <w:sz w:val="18"/>
                <w:szCs w:val="18"/>
              </w:rPr>
              <w:t>pki</w:t>
            </w:r>
            <w:r>
              <w:rPr>
                <w:rStyle w:val="not-translated-para"/>
                <w:rFonts w:ascii="Cambria" w:hAnsi="Cambria"/>
                <w:i/>
                <w:iCs/>
                <w:sz w:val="18"/>
                <w:szCs w:val="18"/>
              </w:rPr>
              <w:t xml:space="preserve"> </w:t>
            </w:r>
            <w:r>
              <w:rPr>
                <w:rStyle w:val="not-translated-para"/>
                <w:rFonts w:ascii="Cambria" w:hAnsi="Cambria"/>
                <w:i/>
                <w:iCs/>
                <w:sz w:val="18"/>
                <w:szCs w:val="18"/>
              </w:rPr>
              <w:t>Aen</w:t>
            </w:r>
            <w:r>
              <w:rPr>
                <w:rStyle w:val="not-translated-para"/>
                <w:rFonts w:ascii="Cambria" w:hAnsi="Cambria"/>
                <w:i/>
                <w:iCs/>
                <w:sz w:val="18"/>
                <w:szCs w:val="18"/>
              </w:rPr>
              <w:t>c</w:t>
            </w:r>
            <w:r>
              <w:rPr>
                <w:rStyle w:val="not-translated-para"/>
                <w:rFonts w:ascii="Cambria" w:hAnsi="Cambria"/>
                <w:i/>
                <w:iCs/>
                <w:sz w:val="18"/>
                <w:szCs w:val="18"/>
              </w:rPr>
              <w:t>Sen</w:t>
            </w:r>
            <w:r>
              <w:rPr>
                <w:rStyle w:val="not-translated-para"/>
                <w:rFonts w:ascii="Cambria" w:hAnsi="Cambria"/>
                <w:i/>
                <w:iCs/>
                <w:sz w:val="18"/>
                <w:szCs w:val="18"/>
              </w:rPr>
              <w:t>c</w:t>
            </w:r>
            <w:r>
              <w:rPr>
                <w:rStyle w:val="not-translated-para"/>
                <w:rFonts w:ascii="Cambria" w:hAnsi="Cambria"/>
                <w:i/>
                <w:iCs/>
                <w:sz w:val="18"/>
                <w:szCs w:val="18"/>
              </w:rPr>
              <w:t>Aen</w:t>
            </w:r>
            <w:r>
              <w:rPr>
                <w:rStyle w:val="not-translated-para"/>
                <w:rFonts w:ascii="Cambria" w:hAnsi="Cambria"/>
                <w:i/>
                <w:iCs/>
                <w:sz w:val="18"/>
                <w:szCs w:val="18"/>
              </w:rPr>
              <w:t>c</w:t>
            </w:r>
            <w:r>
              <w:rPr>
                <w:rStyle w:val="not-translated-para"/>
                <w:rFonts w:ascii="Cambria" w:hAnsi="Cambria"/>
                <w:i/>
                <w:iCs/>
                <w:sz w:val="18"/>
                <w:szCs w:val="18"/>
              </w:rPr>
              <w:t>i</w:t>
            </w:r>
          </w:p>
          <w:p w:rsidR="00000000" w:rsidRDefault="00A52409">
            <w:pPr>
              <w:spacing w:after="9" w:line="230" w:lineRule="auto"/>
              <w:ind w:left="180" w:firstLine="0"/>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2295525" cy="171450"/>
                  <wp:effectExtent l="0" t="0" r="9525" b="0"/>
                  <wp:wrapSquare wrapText="bothSides"/>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229552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8"/>
                <w:szCs w:val="18"/>
              </w:rPr>
              <w:t>3</w:t>
            </w:r>
            <w:r>
              <w:rPr>
                <w:rStyle w:val="not-translated-para"/>
                <w:sz w:val="18"/>
                <w:szCs w:val="18"/>
              </w:rPr>
              <w:t>: Parameter update: party uses the paired secret key to decrypt the received encrypted fresh symmetric encryption key as , then uses to decrypt the two-layer encrypted gradients as</w:t>
            </w:r>
            <w:r>
              <w:rPr>
                <w:rStyle w:val="not-translated-para"/>
                <w:sz w:val="18"/>
                <w:szCs w:val="18"/>
              </w:rPr>
              <w:t xml:space="preserve"> </w:t>
            </w:r>
            <w:r>
              <w:rPr>
                <w:rStyle w:val="not-translated-para"/>
                <w:rFonts w:ascii="Cambria" w:hAnsi="Cambria"/>
                <w:i/>
                <w:iCs/>
                <w:sz w:val="18"/>
                <w:szCs w:val="18"/>
              </w:rPr>
              <w:t>i</w:t>
            </w:r>
            <w:r>
              <w:rPr>
                <w:rStyle w:val="not-translated-para"/>
                <w:rFonts w:ascii="Cambria" w:hAnsi="Cambria"/>
                <w:i/>
                <w:iCs/>
                <w:sz w:val="18"/>
                <w:szCs w:val="18"/>
              </w:rPr>
              <w:t xml:space="preserve"> </w:t>
            </w:r>
            <w:r>
              <w:rPr>
                <w:rStyle w:val="not-translated-para"/>
                <w:rFonts w:ascii="Cambria" w:hAnsi="Cambria"/>
                <w:i/>
                <w:iCs/>
                <w:sz w:val="18"/>
                <w:szCs w:val="18"/>
              </w:rPr>
              <w:t>ski</w:t>
            </w:r>
            <w:r>
              <w:rPr>
                <w:rStyle w:val="not-translated-para"/>
                <w:rFonts w:ascii="Cambria" w:hAnsi="Cambria"/>
                <w:i/>
                <w:iCs/>
                <w:sz w:val="18"/>
                <w:szCs w:val="18"/>
              </w:rPr>
              <w:t xml:space="preserve"> </w:t>
            </w:r>
            <w:r>
              <w:rPr>
                <w:rStyle w:val="not-translated-para"/>
                <w:rFonts w:ascii="Cambria" w:hAnsi="Cambria"/>
                <w:i/>
                <w:iCs/>
                <w:sz w:val="18"/>
                <w:szCs w:val="18"/>
              </w:rPr>
              <w:t>fs</w:t>
            </w:r>
            <w:r>
              <w:rPr>
                <w:rStyle w:val="not-translated-para"/>
                <w:rFonts w:ascii="Cambria" w:hAnsi="Cambria"/>
                <w:i/>
                <w:iCs/>
                <w:sz w:val="18"/>
                <w:szCs w:val="18"/>
              </w:rPr>
              <w:t>k</w:t>
            </w:r>
            <w:r>
              <w:rPr>
                <w:rStyle w:val="not-translated-para"/>
                <w:rFonts w:ascii="Cambria" w:hAnsi="Cambria"/>
                <w:i/>
                <w:iCs/>
                <w:sz w:val="18"/>
                <w:szCs w:val="18"/>
              </w:rPr>
              <w:t>fsk</w:t>
            </w:r>
            <w:r>
              <w:rPr>
                <w:rStyle w:val="not-translated-para"/>
                <w:rFonts w:ascii="Cambria" w:hAnsi="Cambria"/>
                <w:i/>
                <w:iCs/>
                <w:sz w:val="18"/>
                <w:szCs w:val="18"/>
              </w:rPr>
              <w:t xml:space="preserve"> </w:t>
            </w:r>
            <w:r>
              <w:rPr>
                <w:noProof/>
              </w:rPr>
              <w:drawing>
                <wp:inline distT="0" distB="0" distL="0" distR="0">
                  <wp:extent cx="933450" cy="142875"/>
                  <wp:effectExtent l="0" t="0" r="0" b="9525"/>
                  <wp:docPr id="20" name="Picture 17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71"/>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933450" cy="142875"/>
                          </a:xfrm>
                          <a:prstGeom prst="rect">
                            <a:avLst/>
                          </a:prstGeom>
                          <a:noFill/>
                          <a:ln>
                            <a:noFill/>
                          </a:ln>
                        </pic:spPr>
                      </pic:pic>
                    </a:graphicData>
                  </a:graphic>
                </wp:inline>
              </w:drawing>
            </w:r>
            <w:r>
              <w:rPr>
                <w:rStyle w:val="not-translated-para"/>
                <w:sz w:val="18"/>
                <w:szCs w:val="18"/>
              </w:rPr>
              <w:t xml:space="preserve">, finally decrypts the sum </w:t>
            </w:r>
            <w:r>
              <w:rPr>
                <w:rStyle w:val="not-translated-para"/>
                <w:sz w:val="18"/>
                <w:szCs w:val="18"/>
              </w:rPr>
              <w:t xml:space="preserve">of all the received gradients using homomorphic property and updates local parameters by integrating all its plain gradients </w:t>
            </w:r>
            <w:r>
              <w:rPr>
                <w:rStyle w:val="not-translated-para"/>
                <w:sz w:val="18"/>
                <w:szCs w:val="18"/>
              </w:rPr>
              <w:t>∆</w:t>
            </w:r>
            <w:r>
              <w:rPr>
                <w:rStyle w:val="not-translated-para"/>
                <w:sz w:val="18"/>
                <w:szCs w:val="18"/>
              </w:rPr>
              <w:t xml:space="preserve">as: wi= + </w:t>
            </w:r>
            <w:r>
              <w:rPr>
                <w:rStyle w:val="not-translated-para"/>
                <w:sz w:val="18"/>
                <w:szCs w:val="18"/>
              </w:rPr>
              <w:t>∆</w:t>
            </w:r>
            <w:r>
              <w:rPr>
                <w:rStyle w:val="not-translated-para"/>
                <w:sz w:val="18"/>
                <w:szCs w:val="18"/>
              </w:rPr>
              <w:t xml:space="preserve">+ </w:t>
            </w:r>
            <w:r>
              <w:rPr>
                <w:rStyle w:val="not-translated-para"/>
                <w:sz w:val="18"/>
                <w:szCs w:val="18"/>
              </w:rPr>
              <w:t>∆</w:t>
            </w:r>
            <w:r>
              <w:rPr>
                <w:rStyle w:val="not-translated-para"/>
                <w:sz w:val="18"/>
                <w:szCs w:val="18"/>
              </w:rPr>
              <w:t>, where wi is party &amp;apos;s local parameters at previous communication round</w:t>
            </w:r>
            <w:r>
              <w:rPr>
                <w:rStyle w:val="not-translated-para"/>
                <w:sz w:val="18"/>
                <w:szCs w:val="18"/>
              </w:rPr>
              <w:t>.</w:t>
            </w:r>
            <w:r>
              <w:rPr>
                <w:rStyle w:val="not-translated-para"/>
                <w:i/>
                <w:iCs/>
                <w:sz w:val="18"/>
                <w:szCs w:val="18"/>
              </w:rPr>
              <w:t>wi</w:t>
            </w:r>
            <w:r>
              <w:rPr>
                <w:rStyle w:val="not-translated-para"/>
                <w:i/>
                <w:iCs/>
                <w:sz w:val="18"/>
                <w:szCs w:val="18"/>
              </w:rPr>
              <w:t xml:space="preserve"> </w:t>
            </w:r>
            <w:r>
              <w:rPr>
                <w:rFonts w:ascii="Cambria" w:hAnsi="Cambria"/>
                <w:sz w:val="18"/>
                <w:szCs w:val="18"/>
                <w:vertAlign w:val="superscript"/>
              </w:rPr>
              <w:t>0</w:t>
            </w:r>
            <w:r>
              <w:rPr>
                <w:rFonts w:ascii="Cambria" w:hAnsi="Cambria"/>
                <w:sz w:val="18"/>
                <w:szCs w:val="18"/>
                <w:vertAlign w:val="superscript"/>
              </w:rPr>
              <w:t xml:space="preserve"> </w:t>
            </w:r>
            <w:r>
              <w:rPr>
                <w:rStyle w:val="not-translated-para"/>
                <w:i/>
                <w:iCs/>
                <w:sz w:val="18"/>
                <w:szCs w:val="18"/>
              </w:rPr>
              <w:t>wiwi</w:t>
            </w:r>
            <w:r>
              <w:rPr>
                <w:rStyle w:val="not-translated-para"/>
                <w:i/>
                <w:iCs/>
                <w:sz w:val="18"/>
                <w:szCs w:val="18"/>
              </w:rPr>
              <w:t xml:space="preserve"> </w:t>
            </w:r>
            <w:r>
              <w:rPr>
                <w:rStyle w:val="not-translated-para"/>
                <w:i/>
                <w:iCs/>
                <w:sz w:val="18"/>
                <w:szCs w:val="18"/>
              </w:rPr>
              <w:t>wi</w:t>
            </w:r>
            <w:r>
              <w:rPr>
                <w:rStyle w:val="not-translated-para"/>
                <w:i/>
                <w:iCs/>
                <w:sz w:val="18"/>
                <w:szCs w:val="18"/>
              </w:rPr>
              <w:t xml:space="preserve"> </w:t>
            </w:r>
            <w:r>
              <w:rPr>
                <w:rStyle w:val="not-translated-para"/>
                <w:rFonts w:ascii="Cambria" w:hAnsi="Cambria"/>
                <w:sz w:val="28"/>
                <w:szCs w:val="28"/>
                <w:vertAlign w:val="superscript"/>
              </w:rPr>
              <w:t>P</w:t>
            </w:r>
            <w:r>
              <w:rPr>
                <w:rStyle w:val="not-translated-para"/>
                <w:rFonts w:ascii="Cambria" w:hAnsi="Cambria"/>
                <w:i/>
                <w:iCs/>
                <w:sz w:val="18"/>
                <w:szCs w:val="18"/>
                <w:vertAlign w:val="subscript"/>
              </w:rPr>
              <w:t>j</w:t>
            </w:r>
            <w:r>
              <w:rPr>
                <w:rStyle w:val="not-translated-para"/>
                <w:rFonts w:ascii="Cambria" w:hAnsi="Cambria"/>
                <w:sz w:val="18"/>
                <w:szCs w:val="18"/>
                <w:vertAlign w:val="subscript"/>
              </w:rPr>
              <w:t>∈</w:t>
            </w:r>
            <w:r>
              <w:rPr>
                <w:rStyle w:val="not-translated-para"/>
                <w:rFonts w:ascii="Cambria" w:hAnsi="Cambria"/>
                <w:sz w:val="18"/>
                <w:szCs w:val="18"/>
                <w:vertAlign w:val="subscript"/>
              </w:rPr>
              <w:t>C\</w:t>
            </w:r>
            <w:r>
              <w:rPr>
                <w:rStyle w:val="not-translated-para"/>
                <w:rFonts w:ascii="Cambria" w:hAnsi="Cambria"/>
                <w:sz w:val="18"/>
                <w:szCs w:val="18"/>
                <w:vertAlign w:val="subscript"/>
              </w:rPr>
              <w:t>i</w:t>
            </w:r>
            <w:r>
              <w:rPr>
                <w:rStyle w:val="not-translated-para"/>
                <w:i/>
                <w:iCs/>
                <w:sz w:val="18"/>
                <w:szCs w:val="18"/>
              </w:rPr>
              <w:t>w</w:t>
            </w:r>
            <w:r>
              <w:rPr>
                <w:rStyle w:val="not-translated-para"/>
                <w:rFonts w:ascii="Cambria" w:hAnsi="Cambria"/>
                <w:b/>
                <w:bCs/>
                <w:sz w:val="18"/>
                <w:szCs w:val="18"/>
              </w:rPr>
              <w:t>˜</w:t>
            </w:r>
            <w:r>
              <w:rPr>
                <w:rStyle w:val="not-translated-para"/>
                <w:i/>
                <w:iCs/>
                <w:sz w:val="18"/>
                <w:szCs w:val="18"/>
                <w:vertAlign w:val="subscript"/>
              </w:rPr>
              <w:t>j</w:t>
            </w:r>
            <w:r>
              <w:rPr>
                <w:rStyle w:val="not-translated-para"/>
                <w:i/>
                <w:iCs/>
                <w:sz w:val="18"/>
                <w:szCs w:val="18"/>
                <w:vertAlign w:val="superscript"/>
              </w:rPr>
              <w:t>i</w:t>
            </w:r>
            <w:r>
              <w:rPr>
                <w:rStyle w:val="not-translated-para"/>
                <w:rFonts w:ascii="Cambria" w:hAnsi="Cambria"/>
                <w:i/>
                <w:iCs/>
                <w:sz w:val="18"/>
                <w:szCs w:val="18"/>
              </w:rPr>
              <w:t>i</w:t>
            </w:r>
          </w:p>
          <w:p w:rsidR="00000000" w:rsidRDefault="00A52409">
            <w:pPr>
              <w:spacing w:after="62" w:line="297" w:lineRule="auto"/>
              <w:ind w:left="180" w:firstLine="0"/>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123825" cy="152400"/>
                  <wp:effectExtent l="0" t="0" r="9525" b="0"/>
                  <wp:wrapSquare wrapText="bothSides"/>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723900" cy="266700"/>
                  <wp:effectExtent l="0" t="0" r="0" b="0"/>
                  <wp:wrapSquare wrapText="bothSides"/>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428625" cy="152400"/>
                  <wp:effectExtent l="0" t="0" r="9525" b="0"/>
                  <wp:wrapSquare wrapText="bothSides"/>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8"/>
                <w:szCs w:val="18"/>
              </w:rPr>
              <w:t>4: Local cr</w:t>
            </w:r>
            <w:r>
              <w:rPr>
                <w:rStyle w:val="not-translated-para"/>
                <w:sz w:val="18"/>
                <w:szCs w:val="18"/>
              </w:rPr>
              <w:t>edibility update: party randomly selects and releases artificial samples to any party for labelling, mutual evaluation is repeated by following Step 3 of Algorithm 1 to calculate local credibility of party at current communication round as. Party updates l</w:t>
            </w:r>
            <w:r>
              <w:rPr>
                <w:rStyle w:val="not-translated-para"/>
                <w:sz w:val="18"/>
                <w:szCs w:val="18"/>
              </w:rPr>
              <w:t>ocal credibility of party by integrating its historical credibility as: = 0.2</w:t>
            </w:r>
            <w:r>
              <w:rPr>
                <w:rStyle w:val="not-translated-para"/>
                <w:rFonts w:ascii="MS Mincho" w:eastAsia="MS Mincho" w:hAnsi="MS Mincho" w:cs="MS Mincho" w:hint="eastAsia"/>
                <w:sz w:val="18"/>
                <w:szCs w:val="18"/>
              </w:rPr>
              <w:t>∗</w:t>
            </w:r>
            <w:r>
              <w:rPr>
                <w:rStyle w:val="not-translated-para"/>
                <w:sz w:val="18"/>
                <w:szCs w:val="18"/>
              </w:rPr>
              <w:t>cji +0.8</w:t>
            </w:r>
            <w:r>
              <w:rPr>
                <w:rStyle w:val="not-translated-para"/>
                <w:rFonts w:ascii="MS Mincho" w:eastAsia="MS Mincho" w:hAnsi="MS Mincho" w:cs="MS Mincho" w:hint="eastAsia"/>
                <w:sz w:val="18"/>
                <w:szCs w:val="18"/>
              </w:rPr>
              <w:t>∗</w:t>
            </w:r>
            <w:r>
              <w:rPr>
                <w:rStyle w:val="not-translated-para"/>
                <w:sz w:val="18"/>
                <w:szCs w:val="18"/>
              </w:rPr>
              <w:t>cij0, where is the local credibility of party at previous communication round</w:t>
            </w:r>
            <w:r>
              <w:rPr>
                <w:rStyle w:val="not-translated-para"/>
                <w:sz w:val="18"/>
                <w:szCs w:val="18"/>
              </w:rPr>
              <w:t>.</w:t>
            </w:r>
            <w:r>
              <w:rPr>
                <w:rStyle w:val="not-translated-para"/>
                <w:rFonts w:ascii="Cambria" w:hAnsi="Cambria"/>
                <w:i/>
                <w:iCs/>
                <w:sz w:val="18"/>
                <w:szCs w:val="18"/>
              </w:rPr>
              <w:t>i</w:t>
            </w:r>
            <w:r>
              <w:rPr>
                <w:rStyle w:val="not-translated-para"/>
                <w:rFonts w:ascii="Cambria" w:hAnsi="Cambria"/>
                <w:i/>
                <w:iCs/>
                <w:sz w:val="18"/>
                <w:szCs w:val="18"/>
              </w:rPr>
              <w:t xml:space="preserve"> </w:t>
            </w:r>
            <w:r>
              <w:rPr>
                <w:rStyle w:val="not-translated-para"/>
                <w:rFonts w:ascii="Cambria" w:hAnsi="Cambria"/>
                <w:i/>
                <w:iCs/>
                <w:sz w:val="18"/>
                <w:szCs w:val="18"/>
              </w:rPr>
              <w:t>ui</w:t>
            </w:r>
            <w:r>
              <w:rPr>
                <w:rStyle w:val="not-translated-para"/>
                <w:rFonts w:ascii="Cambria" w:hAnsi="Cambria"/>
                <w:i/>
                <w:iCs/>
                <w:sz w:val="18"/>
                <w:szCs w:val="18"/>
              </w:rPr>
              <w:t xml:space="preserve"> </w:t>
            </w:r>
            <w:r>
              <w:rPr>
                <w:rStyle w:val="not-translated-para"/>
                <w:rFonts w:ascii="Cambria" w:hAnsi="Cambria"/>
                <w:i/>
                <w:iCs/>
                <w:sz w:val="18"/>
                <w:szCs w:val="18"/>
              </w:rPr>
              <w:t>j</w:t>
            </w:r>
            <w:r>
              <w:rPr>
                <w:rStyle w:val="not-translated-para"/>
                <w:rFonts w:ascii="Cambria" w:hAnsi="Cambria"/>
                <w:i/>
                <w:iCs/>
                <w:sz w:val="18"/>
                <w:szCs w:val="18"/>
              </w:rPr>
              <w:t xml:space="preserve"> </w:t>
            </w:r>
            <w:r>
              <w:rPr>
                <w:rStyle w:val="not-translated-para"/>
                <w:rFonts w:ascii="Cambria" w:hAnsi="Cambria"/>
                <w:i/>
                <w:iCs/>
                <w:sz w:val="18"/>
                <w:szCs w:val="18"/>
              </w:rPr>
              <w:t>j</w:t>
            </w:r>
            <w:r>
              <w:rPr>
                <w:rStyle w:val="not-translated-para"/>
                <w:rFonts w:ascii="Cambria" w:hAnsi="Cambria"/>
                <w:i/>
                <w:iCs/>
                <w:sz w:val="18"/>
                <w:szCs w:val="18"/>
              </w:rPr>
              <w:t xml:space="preserve"> </w:t>
            </w:r>
            <w:r>
              <w:rPr>
                <w:rStyle w:val="not-translated-para"/>
                <w:rFonts w:ascii="Cambria" w:hAnsi="Cambria"/>
                <w:i/>
                <w:iCs/>
                <w:sz w:val="18"/>
                <w:szCs w:val="18"/>
              </w:rPr>
              <w:t>i</w:t>
            </w:r>
            <w:r>
              <w:rPr>
                <w:rStyle w:val="not-translated-para"/>
                <w:rFonts w:ascii="Cambria" w:hAnsi="Cambria"/>
                <w:i/>
                <w:iCs/>
                <w:sz w:val="18"/>
                <w:szCs w:val="18"/>
              </w:rPr>
              <w:t xml:space="preserve"> </w:t>
            </w:r>
            <w:r>
              <w:rPr>
                <w:rStyle w:val="not-translated-para"/>
                <w:rFonts w:ascii="Cambria" w:hAnsi="Cambria"/>
                <w:i/>
                <w:iCs/>
                <w:sz w:val="18"/>
                <w:szCs w:val="18"/>
              </w:rPr>
              <w:t>j</w:t>
            </w:r>
            <w:r>
              <w:rPr>
                <w:rStyle w:val="not-translated-para"/>
                <w:rFonts w:ascii="Cambria" w:hAnsi="Cambria"/>
                <w:i/>
                <w:iCs/>
                <w:sz w:val="18"/>
                <w:szCs w:val="18"/>
              </w:rPr>
              <w:t xml:space="preserve"> </w:t>
            </w:r>
            <w:r>
              <w:rPr>
                <w:rStyle w:val="not-translated-para"/>
                <w:rFonts w:ascii="Cambria" w:hAnsi="Cambria"/>
                <w:i/>
                <w:iCs/>
                <w:sz w:val="18"/>
                <w:szCs w:val="18"/>
              </w:rPr>
              <w:t>cj</w:t>
            </w:r>
            <w:r>
              <w:rPr>
                <w:rStyle w:val="not-translated-para"/>
                <w:rFonts w:ascii="Cambria" w:hAnsi="Cambria"/>
                <w:i/>
                <w:iCs/>
                <w:sz w:val="18"/>
                <w:szCs w:val="18"/>
              </w:rPr>
              <w:t>i</w:t>
            </w:r>
            <w:r>
              <w:rPr>
                <w:rFonts w:ascii="Cambria" w:hAnsi="Cambria"/>
                <w:sz w:val="18"/>
                <w:szCs w:val="18"/>
                <w:vertAlign w:val="superscript"/>
              </w:rPr>
              <w:t>0</w:t>
            </w:r>
            <w:r>
              <w:rPr>
                <w:rFonts w:ascii="Cambria" w:hAnsi="Cambria"/>
                <w:sz w:val="18"/>
                <w:szCs w:val="18"/>
                <w:vertAlign w:val="superscript"/>
              </w:rPr>
              <w:t xml:space="preserve"> </w:t>
            </w:r>
            <w:r>
              <w:rPr>
                <w:rStyle w:val="not-translated-para"/>
                <w:rFonts w:ascii="Cambria" w:hAnsi="Cambria"/>
                <w:i/>
                <w:iCs/>
                <w:sz w:val="18"/>
                <w:szCs w:val="18"/>
              </w:rPr>
              <w:t>cji</w:t>
            </w:r>
            <w:r>
              <w:rPr>
                <w:rStyle w:val="not-translated-para"/>
                <w:rFonts w:ascii="Cambria" w:hAnsi="Cambria"/>
                <w:i/>
                <w:iCs/>
                <w:sz w:val="18"/>
                <w:szCs w:val="18"/>
              </w:rPr>
              <w:t xml:space="preserve"> </w:t>
            </w:r>
            <w:r>
              <w:rPr>
                <w:rStyle w:val="not-translated-para"/>
                <w:rFonts w:ascii="Cambria" w:hAnsi="Cambria"/>
                <w:i/>
                <w:iCs/>
                <w:sz w:val="18"/>
                <w:szCs w:val="18"/>
              </w:rPr>
              <w:t>j</w:t>
            </w:r>
            <w:r>
              <w:rPr>
                <w:rStyle w:val="not-translated-para"/>
                <w:rFonts w:ascii="Cambria" w:hAnsi="Cambria"/>
                <w:i/>
                <w:iCs/>
                <w:sz w:val="18"/>
                <w:szCs w:val="18"/>
              </w:rPr>
              <w:t xml:space="preserve"> </w:t>
            </w:r>
          </w:p>
          <w:p w:rsidR="00000000" w:rsidRDefault="00A52409">
            <w:pPr>
              <w:spacing w:after="123" w:line="256" w:lineRule="auto"/>
              <w:ind w:left="180" w:right="6120" w:firstLine="0"/>
              <w:jc w:val="left"/>
            </w:pPr>
            <w:r>
              <w:rPr>
                <w:rStyle w:val="not-translated-para"/>
                <w:sz w:val="18"/>
                <w:szCs w:val="18"/>
              </w:rPr>
              <w:t>5: Local credibility normalization</w:t>
            </w:r>
            <w:r>
              <w:rPr>
                <w:rStyle w:val="not-translated-para"/>
                <w:sz w:val="18"/>
                <w:szCs w:val="18"/>
              </w:rPr>
              <w:t>:</w:t>
            </w:r>
          </w:p>
          <w:p w:rsidR="00000000" w:rsidRDefault="00A52409">
            <w:pPr>
              <w:spacing w:after="0" w:line="256" w:lineRule="auto"/>
              <w:ind w:left="180" w:firstLine="0"/>
              <w:jc w:val="left"/>
            </w:pPr>
            <w:r>
              <w:rPr>
                <w:rStyle w:val="not-translated-para"/>
                <w:b/>
                <w:bCs/>
                <w:sz w:val="18"/>
                <w:szCs w:val="18"/>
              </w:rPr>
              <w:t>ifthe</w:t>
            </w:r>
            <w:r>
              <w:rPr>
                <w:rStyle w:val="not-translated-para"/>
                <w:b/>
                <w:bCs/>
                <w:sz w:val="18"/>
                <w:szCs w:val="18"/>
              </w:rPr>
              <w:t>n</w:t>
            </w:r>
          </w:p>
          <w:p w:rsidR="00000000" w:rsidRDefault="00A52409">
            <w:pPr>
              <w:spacing w:after="0" w:line="256" w:lineRule="auto"/>
              <w:ind w:left="450" w:firstLine="0"/>
              <w:jc w:val="left"/>
            </w:pPr>
            <w:r>
              <w:rPr>
                <w:rStyle w:val="not-translated-para"/>
                <w:sz w:val="18"/>
                <w:szCs w:val="18"/>
              </w:rPr>
              <w:t xml:space="preserve">party reports party as </w:t>
            </w:r>
            <w:r>
              <w:rPr>
                <w:rStyle w:val="not-translated-para"/>
                <w:sz w:val="18"/>
                <w:szCs w:val="18"/>
              </w:rPr>
              <w:t>a low-contribution part</w:t>
            </w:r>
            <w:r>
              <w:rPr>
                <w:rStyle w:val="not-translated-para"/>
                <w:sz w:val="18"/>
                <w:szCs w:val="18"/>
              </w:rPr>
              <w:t>y</w:t>
            </w:r>
            <w:r>
              <w:rPr>
                <w:rStyle w:val="not-translated-para"/>
                <w:rFonts w:ascii="Cambria" w:hAnsi="Cambria"/>
                <w:i/>
                <w:iCs/>
                <w:sz w:val="18"/>
                <w:szCs w:val="18"/>
              </w:rPr>
              <w:t>i</w:t>
            </w:r>
            <w:r>
              <w:rPr>
                <w:rStyle w:val="not-translated-para"/>
                <w:rFonts w:ascii="Cambria" w:hAnsi="Cambria"/>
                <w:i/>
                <w:iCs/>
                <w:sz w:val="18"/>
                <w:szCs w:val="18"/>
              </w:rPr>
              <w:t xml:space="preserve"> </w:t>
            </w:r>
            <w:r>
              <w:rPr>
                <w:rStyle w:val="not-translated-para"/>
                <w:rFonts w:ascii="Cambria" w:hAnsi="Cambria"/>
                <w:i/>
                <w:iCs/>
                <w:sz w:val="18"/>
                <w:szCs w:val="18"/>
              </w:rPr>
              <w:t>j</w:t>
            </w:r>
            <w:r>
              <w:rPr>
                <w:rStyle w:val="not-translated-para"/>
                <w:rFonts w:ascii="Cambria" w:hAnsi="Cambria"/>
                <w:i/>
                <w:iCs/>
                <w:sz w:val="18"/>
                <w:szCs w:val="18"/>
              </w:rPr>
              <w:t xml:space="preserve"> </w:t>
            </w:r>
          </w:p>
          <w:p w:rsidR="00000000" w:rsidRDefault="00A52409">
            <w:pPr>
              <w:spacing w:after="0" w:line="256" w:lineRule="auto"/>
              <w:ind w:left="180" w:firstLine="0"/>
              <w:jc w:val="left"/>
            </w:pPr>
            <w:r>
              <w:rPr>
                <w:rStyle w:val="not-translated-para"/>
                <w:b/>
                <w:bCs/>
                <w:sz w:val="18"/>
                <w:szCs w:val="18"/>
              </w:rPr>
              <w:t>end i</w:t>
            </w:r>
            <w:r>
              <w:rPr>
                <w:rStyle w:val="not-translated-para"/>
                <w:b/>
                <w:bCs/>
                <w:sz w:val="18"/>
                <w:szCs w:val="18"/>
              </w:rPr>
              <w:t>f</w:t>
            </w:r>
          </w:p>
          <w:p w:rsidR="00000000" w:rsidRDefault="00A52409">
            <w:pPr>
              <w:spacing w:after="0" w:line="256" w:lineRule="auto"/>
              <w:ind w:left="180" w:firstLine="0"/>
              <w:jc w:val="left"/>
            </w:pPr>
            <w:r>
              <w:rPr>
                <w:rStyle w:val="not-translated-para"/>
                <w:sz w:val="18"/>
                <w:szCs w:val="18"/>
              </w:rPr>
              <w:t>6: Credible party set: If the majority of parties report party as low-contribution, Blockchain removes party from credibl</w:t>
            </w:r>
            <w:r>
              <w:rPr>
                <w:rStyle w:val="not-translated-para"/>
                <w:sz w:val="18"/>
                <w:szCs w:val="18"/>
              </w:rPr>
              <w:t>e</w:t>
            </w:r>
            <w:r>
              <w:rPr>
                <w:rStyle w:val="not-translated-para"/>
                <w:rFonts w:ascii="Cambria" w:hAnsi="Cambria"/>
                <w:i/>
                <w:iCs/>
                <w:sz w:val="18"/>
                <w:szCs w:val="18"/>
              </w:rPr>
              <w:t>j</w:t>
            </w:r>
            <w:r>
              <w:rPr>
                <w:rStyle w:val="not-translated-para"/>
                <w:rFonts w:ascii="Cambria" w:hAnsi="Cambria"/>
                <w:i/>
                <w:iCs/>
                <w:sz w:val="18"/>
                <w:szCs w:val="18"/>
              </w:rPr>
              <w:t xml:space="preserve"> </w:t>
            </w:r>
            <w:r>
              <w:rPr>
                <w:rStyle w:val="not-translated-para"/>
                <w:rFonts w:ascii="Cambria" w:hAnsi="Cambria"/>
                <w:i/>
                <w:iCs/>
                <w:sz w:val="18"/>
                <w:szCs w:val="18"/>
              </w:rPr>
              <w:t>j</w:t>
            </w:r>
            <w:r>
              <w:rPr>
                <w:rStyle w:val="not-translated-para"/>
                <w:rFonts w:ascii="Cambria" w:hAnsi="Cambria"/>
                <w:i/>
                <w:iCs/>
                <w:sz w:val="18"/>
                <w:szCs w:val="18"/>
              </w:rPr>
              <w:t xml:space="preserve"> </w:t>
            </w:r>
          </w:p>
        </w:tc>
      </w:tr>
    </w:tbl>
    <w:p w:rsidR="00000000" w:rsidRDefault="00A52409">
      <w:pPr>
        <w:spacing w:after="214" w:line="230" w:lineRule="auto"/>
        <w:ind w:left="175" w:hanging="10"/>
      </w:pPr>
      <w:r>
        <w:rPr>
          <w:noProof/>
        </w:rPr>
        <w:drawing>
          <wp:inline distT="0" distB="0" distL="0" distR="0">
            <wp:extent cx="6562725" cy="9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6562725" cy="9525"/>
                    </a:xfrm>
                    <a:prstGeom prst="rect">
                      <a:avLst/>
                    </a:prstGeom>
                    <a:noFill/>
                    <a:ln>
                      <a:noFill/>
                    </a:ln>
                  </pic:spPr>
                </pic:pic>
              </a:graphicData>
            </a:graphic>
          </wp:inline>
        </w:drawing>
      </w:r>
      <w:r>
        <w:br w:type="textWrapping" w:clear="all"/>
      </w:r>
      <w:r>
        <w:rPr>
          <w:rStyle w:val="not-translated-para"/>
          <w:sz w:val="18"/>
          <w:szCs w:val="18"/>
        </w:rPr>
        <w:t>party set and all parties run Step 5 again</w:t>
      </w:r>
      <w:r>
        <w:rPr>
          <w:rStyle w:val="not-translated-para"/>
          <w:sz w:val="18"/>
          <w:szCs w:val="18"/>
        </w:rPr>
        <w:t>.</w:t>
      </w:r>
      <w:r>
        <w:rPr>
          <w:rStyle w:val="not-translated-para"/>
          <w:rFonts w:ascii="Cambria" w:hAnsi="Cambria"/>
          <w:i/>
          <w:iCs/>
          <w:sz w:val="18"/>
          <w:szCs w:val="18"/>
        </w:rPr>
        <w:t>C</w:t>
      </w:r>
      <w:r>
        <w:rPr>
          <w:rStyle w:val="not-translated-para"/>
          <w:rFonts w:ascii="Cambria" w:hAnsi="Cambria"/>
          <w:i/>
          <w:iCs/>
          <w:sz w:val="18"/>
          <w:szCs w:val="18"/>
        </w:rPr>
        <w:t xml:space="preserve"> </w:t>
      </w:r>
    </w:p>
    <w:p w:rsidR="00000000" w:rsidRDefault="00A52409">
      <w:pPr>
        <w:spacing w:before="457"/>
        <w:ind w:left="-15" w:firstLine="0"/>
      </w:pPr>
      <w:r>
        <w:rPr>
          <w:rStyle w:val="not-translated-para"/>
        </w:rPr>
        <w:t>ing data causes less privacy loss, and allows for more iterations within a moderate p</w:t>
      </w:r>
      <w:r>
        <w:rPr>
          <w:rStyle w:val="not-translated-para"/>
        </w:rPr>
        <w:t>rivacy budget [30]. Due to the scarcity of training data of each party, data augmentation is exploited to expand local data size of each party to 100 times, which allows DPGAN to generate realistic samples within a moderate privacy budget. In particular, w</w:t>
      </w:r>
      <w:r>
        <w:rPr>
          <w:rStyle w:val="not-translated-para"/>
        </w:rPr>
        <w:t>e augment original data with rotation range of 1 and width shift range and height shift range of 0.01</w:t>
      </w:r>
      <w:r>
        <w:rPr>
          <w:rStyle w:val="not-translated-para"/>
        </w:rPr>
        <w:t>.</w:t>
      </w:r>
    </w:p>
    <w:p w:rsidR="00000000" w:rsidRDefault="00A52409">
      <w:pPr>
        <w:ind w:left="-15"/>
      </w:pPr>
      <w:r>
        <w:rPr>
          <w:rStyle w:val="not-translated-para"/>
        </w:rPr>
        <w:t>In our study, we use moments accountant described in [30] to track the spent privacy over the course of training. Our DPGAN is able to generate realistic</w:t>
      </w:r>
      <w:r>
        <w:rPr>
          <w:rStyle w:val="not-translated-para"/>
        </w:rPr>
        <w:t xml:space="preserve"> MNIST samples with and</w:t>
      </w:r>
      <w:r>
        <w:rPr>
          <w:rStyle w:val="not-translated-para"/>
        </w:rPr>
        <w:t xml:space="preserve"> </w:t>
      </w:r>
      <w:r>
        <w:rPr>
          <w:rStyle w:val="not-translated-para"/>
          <w:rFonts w:ascii="Cambria" w:hAnsi="Cambria"/>
          <w:i/>
          <w:iCs/>
          <w:sz w:val="20"/>
          <w:szCs w:val="20"/>
        </w:rPr>
        <w:t>δ</w:t>
      </w:r>
      <w:r>
        <w:rPr>
          <w:rStyle w:val="not-translated-para"/>
          <w:rFonts w:ascii="Cambria" w:hAnsi="Cambria"/>
          <w:i/>
          <w:iCs/>
          <w:sz w:val="20"/>
          <w:szCs w:val="20"/>
        </w:rPr>
        <w:t xml:space="preserve"> </w:t>
      </w:r>
      <w:r>
        <w:rPr>
          <w:rStyle w:val="not-translated-para"/>
          <w:rFonts w:ascii="Cambria" w:hAnsi="Cambria"/>
          <w:sz w:val="20"/>
          <w:szCs w:val="20"/>
        </w:rPr>
        <w:t>= 10</w:t>
      </w:r>
      <w:r>
        <w:rPr>
          <w:rStyle w:val="not-translated-para"/>
          <w:rFonts w:ascii="Cambria" w:hAnsi="Cambria"/>
          <w:sz w:val="20"/>
          <w:szCs w:val="20"/>
        </w:rPr>
        <w:t>−</w:t>
      </w:r>
      <w:r>
        <w:rPr>
          <w:rStyle w:val="not-translated-para"/>
          <w:rFonts w:ascii="Cambria" w:hAnsi="Cambria"/>
          <w:sz w:val="20"/>
          <w:szCs w:val="20"/>
        </w:rPr>
        <w:t>5, as shown in Fig. 5. Note that each party can individually train DPGAN and generate massive DPGAN samples offline without affecting collaboration</w:t>
      </w:r>
      <w:r>
        <w:rPr>
          <w:rStyle w:val="not-translated-para"/>
          <w:rFonts w:ascii="Cambria" w:hAnsi="Cambria"/>
          <w:sz w:val="20"/>
          <w:szCs w:val="20"/>
        </w:rPr>
        <w:t>.</w:t>
      </w:r>
    </w:p>
    <w:p w:rsidR="00000000" w:rsidRDefault="00A52409">
      <w:pPr>
        <w:spacing w:after="147" w:line="256" w:lineRule="auto"/>
        <w:ind w:left="1180" w:firstLine="0"/>
        <w:jc w:val="left"/>
      </w:pPr>
      <w:r>
        <w:rPr>
          <w:noProof/>
        </w:rPr>
        <w:drawing>
          <wp:inline distT="0" distB="0" distL="0" distR="0">
            <wp:extent cx="1704975" cy="419100"/>
            <wp:effectExtent l="0" t="0" r="9525" b="0"/>
            <wp:docPr id="22" name="Picture 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1"/>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noFill/>
                    <a:ln>
                      <a:noFill/>
                    </a:ln>
                  </pic:spPr>
                </pic:pic>
              </a:graphicData>
            </a:graphic>
          </wp:inline>
        </w:drawing>
      </w:r>
    </w:p>
    <w:p w:rsidR="00000000" w:rsidRDefault="00A52409">
      <w:pPr>
        <w:spacing w:after="501"/>
        <w:ind w:left="-15" w:firstLine="0"/>
      </w:pPr>
      <w:r>
        <w:rPr>
          <w:rStyle w:val="not-translated-para"/>
        </w:rPr>
        <w:t>Fig. 5: Generated DPGAN samples with using the augmented 60000 MNIST exampl</w:t>
      </w:r>
      <w:r>
        <w:rPr>
          <w:rStyle w:val="not-translated-para"/>
        </w:rPr>
        <w:t>es of one party who owns 600 original MNIST examples</w:t>
      </w:r>
      <w:r>
        <w:rPr>
          <w:rStyle w:val="not-translated-para"/>
        </w:rPr>
        <w:t>.</w:t>
      </w:r>
    </w:p>
    <w:p w:rsidR="00000000" w:rsidRDefault="00A52409">
      <w:pPr>
        <w:pStyle w:val="2"/>
        <w:ind w:left="439" w:hanging="454"/>
      </w:pPr>
      <w:r>
        <w:t>5.2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Privacy-Preserving Collaborative Deep Learnin</w:t>
      </w:r>
      <w:r>
        <w:rPr>
          <w:rStyle w:val="not-translated-para"/>
        </w:rPr>
        <w:t>g</w:t>
      </w:r>
    </w:p>
    <w:p w:rsidR="00000000" w:rsidRDefault="00A52409">
      <w:pPr>
        <w:spacing w:after="203"/>
        <w:ind w:left="-15" w:firstLine="0"/>
      </w:pPr>
      <w:r>
        <w:rPr>
          <w:rStyle w:val="not-translated-para"/>
        </w:rPr>
        <w:t>Algorithm 2 summarizes the steps for the privacypreserving collaborative deep learning in each communication round, including how to update point</w:t>
      </w:r>
      <w:r>
        <w:rPr>
          <w:rStyle w:val="not-translated-para"/>
        </w:rPr>
        <w:t>s as per upload/download, how to preserve privacy of individual model updates using three-layer onion-style encryption followed by parameter and local credibility update, and credible party set maintenance by the Blockchain system. In particular, the gradi</w:t>
      </w:r>
      <w:r>
        <w:rPr>
          <w:rStyle w:val="not-translated-para"/>
        </w:rPr>
        <w:t>ents download budget of party , i.e., , is closely related with how many points party has in each communication round. More concretely, should not exceed , otherwise, party will not have enough points to pay for the gradients provided by other parties. Mor</w:t>
      </w:r>
      <w:r>
        <w:rPr>
          <w:rStyle w:val="not-translated-para"/>
        </w:rPr>
        <w:t xml:space="preserve">eover, can be dynamically determined based on the existing points in each communication round. For simplicity, we initialize = pi in each communication round, but how many gradients can be downloaded will be dependent on both the local credibility list of </w:t>
      </w:r>
      <w:r>
        <w:rPr>
          <w:rStyle w:val="not-translated-para"/>
        </w:rPr>
        <w:t>the requester and sharing levels of the requested parties, which can be referred to Section 4.1. In the following sections, we will focus on the most important details for parameter update, three-layer onion-style encryption, and local credibility update</w:t>
      </w:r>
      <w:r>
        <w:rPr>
          <w:rStyle w:val="not-translated-para"/>
        </w:rPr>
        <w:t>.</w:t>
      </w:r>
      <w:r>
        <w:rPr>
          <w:rStyle w:val="not-translated-para"/>
          <w:rFonts w:ascii="Cambria" w:hAnsi="Cambria"/>
          <w:i/>
          <w:iCs/>
          <w:sz w:val="20"/>
          <w:szCs w:val="20"/>
        </w:rPr>
        <w:t>i</w:t>
      </w:r>
      <w:r>
        <w:rPr>
          <w:rStyle w:val="not-translated-para"/>
          <w:rFonts w:ascii="Cambria" w:hAnsi="Cambria"/>
          <w:i/>
          <w:iCs/>
          <w:sz w:val="20"/>
          <w:szCs w:val="20"/>
        </w:rPr>
        <w:t>d</w:t>
      </w:r>
      <w:r>
        <w:rPr>
          <w:rStyle w:val="not-translated-para"/>
          <w:rFonts w:ascii="Cambria" w:hAnsi="Cambria"/>
          <w:i/>
          <w:iCs/>
          <w:sz w:val="20"/>
          <w:szCs w:val="20"/>
        </w:rPr>
        <w:t>i</w:t>
      </w:r>
      <w:r>
        <w:rPr>
          <w:rStyle w:val="not-translated-para"/>
          <w:rFonts w:ascii="Cambria" w:hAnsi="Cambria"/>
          <w:i/>
          <w:iCs/>
          <w:sz w:val="20"/>
          <w:szCs w:val="20"/>
        </w:rPr>
        <w:t>pi</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di</w:t>
      </w:r>
      <w:r>
        <w:rPr>
          <w:rStyle w:val="not-translated-para"/>
          <w:rFonts w:ascii="Cambria" w:hAnsi="Cambria"/>
          <w:i/>
          <w:iCs/>
          <w:sz w:val="20"/>
          <w:szCs w:val="20"/>
        </w:rPr>
        <w:t xml:space="preserve"> </w:t>
      </w:r>
      <w:r>
        <w:rPr>
          <w:rStyle w:val="not-translated-para"/>
          <w:rFonts w:ascii="Cambria" w:hAnsi="Cambria"/>
          <w:i/>
          <w:iCs/>
          <w:sz w:val="20"/>
          <w:szCs w:val="20"/>
        </w:rPr>
        <w:t>p</w:t>
      </w:r>
      <w:r>
        <w:rPr>
          <w:rStyle w:val="not-translated-para"/>
          <w:rFonts w:ascii="Cambria" w:hAnsi="Cambria"/>
          <w:i/>
          <w:iCs/>
          <w:sz w:val="20"/>
          <w:szCs w:val="20"/>
        </w:rPr>
        <w:t>i</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di</w:t>
      </w:r>
      <w:r>
        <w:rPr>
          <w:rStyle w:val="not-translated-para"/>
          <w:rFonts w:ascii="Cambria" w:hAnsi="Cambria"/>
          <w:i/>
          <w:iCs/>
          <w:sz w:val="20"/>
          <w:szCs w:val="20"/>
        </w:rPr>
        <w:t xml:space="preserve"> </w:t>
      </w:r>
      <w:r>
        <w:rPr>
          <w:rStyle w:val="not-translated-para"/>
          <w:rFonts w:ascii="Cambria" w:hAnsi="Cambria"/>
          <w:i/>
          <w:iCs/>
          <w:sz w:val="20"/>
          <w:szCs w:val="20"/>
        </w:rPr>
        <w:t>pi</w:t>
      </w:r>
      <w:r>
        <w:rPr>
          <w:rStyle w:val="not-translated-para"/>
          <w:rFonts w:ascii="Cambria" w:hAnsi="Cambria"/>
          <w:i/>
          <w:iCs/>
          <w:sz w:val="20"/>
          <w:szCs w:val="20"/>
        </w:rPr>
        <w:t xml:space="preserve"> </w:t>
      </w:r>
      <w:r>
        <w:rPr>
          <w:rStyle w:val="not-translated-para"/>
          <w:rFonts w:ascii="Cambria" w:hAnsi="Cambria"/>
          <w:i/>
          <w:iCs/>
          <w:sz w:val="20"/>
          <w:szCs w:val="20"/>
        </w:rPr>
        <w:t>di</w:t>
      </w:r>
      <w:r>
        <w:rPr>
          <w:rStyle w:val="not-translated-para"/>
          <w:rFonts w:ascii="Cambria" w:hAnsi="Cambria"/>
          <w:i/>
          <w:iCs/>
          <w:sz w:val="20"/>
          <w:szCs w:val="20"/>
        </w:rPr>
        <w:t xml:space="preserve"> </w:t>
      </w:r>
    </w:p>
    <w:p w:rsidR="00000000" w:rsidRDefault="00A52409">
      <w:pPr>
        <w:pStyle w:val="3"/>
        <w:ind w:left="598" w:hanging="613"/>
      </w:pPr>
      <w:r>
        <w:t>5.2.1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Parameter Update with Homomorphic Encryptio</w:t>
      </w:r>
      <w:r>
        <w:rPr>
          <w:rStyle w:val="not-translated-para"/>
        </w:rPr>
        <w:t>n</w:t>
      </w:r>
    </w:p>
    <w:p w:rsidR="00000000" w:rsidRDefault="00A52409">
      <w:pPr>
        <w:ind w:left="-15" w:firstLine="0"/>
      </w:pPr>
      <w:r>
        <w:rPr>
          <w:rStyle w:val="not-translated-para"/>
        </w:rPr>
        <w:t>Sharing gradients can prevent direct exposure of the local data, but may indirectly disclose local data information. To further prevent potential privacy leakage from sharing</w:t>
      </w:r>
      <w:r>
        <w:rPr>
          <w:rStyle w:val="not-translated-para"/>
        </w:rPr>
        <w:t xml:space="preserve"> gradients and facilitate gradients aggregation during the collaborative learning process, we use additive homomorphic encryption such that each party can only decrypt the sum of all the received encrypted gradients. Specifically, Vernam cipher or one-time</w:t>
      </w:r>
      <w:r>
        <w:rPr>
          <w:rStyle w:val="not-translated-para"/>
        </w:rPr>
        <w:t xml:space="preserve"> pad (OTP) has been mathematicall</w:t>
      </w:r>
      <w:r>
        <w:rPr>
          <w:rStyle w:val="not-translated-para"/>
        </w:rPr>
        <w:t>y</w:t>
      </w:r>
    </w:p>
    <w:p w:rsidR="00000000" w:rsidRDefault="00A52409">
      <w:pPr>
        <w:ind w:left="-15" w:firstLine="0"/>
      </w:pPr>
      <w:r>
        <w:br w:type="page"/>
      </w:r>
      <w:r>
        <w:rPr>
          <w:rStyle w:val="not-translated-para"/>
        </w:rPr>
        <w:t>proved to be completely secure, which cannot be broken given enough ciphertext and time. Therefore, we use simple and provably secure OTP for additively homomorphic encryption that allows efficient aggregation of encrypted data [41], [42]. The main idea of</w:t>
      </w:r>
      <w:r>
        <w:rPr>
          <w:rStyle w:val="not-translated-para"/>
        </w:rPr>
        <w:t xml:space="preserve"> forming the ciphertext is to combine the keystream with the plaintext digits. Meanwhile, rather than XOR operation typically found in stream ciphers, which is unsecured under the frequency analysis attacks, our encryption scheme uses modular addition (+),</w:t>
      </w:r>
      <w:r>
        <w:rPr>
          <w:rStyle w:val="not-translated-para"/>
        </w:rPr>
        <w:t xml:space="preserve"> and is hence very efficient [41]. The security relies on two important features: (1) the keystream changes from one message to another; and (2) all the operations are performed modulo a large integer [41]</w:t>
      </w:r>
      <w:r>
        <w:rPr>
          <w:rStyle w:val="not-translated-para"/>
        </w:rPr>
        <w:t>.</w:t>
      </w:r>
      <w:r>
        <w:rPr>
          <w:rStyle w:val="not-translated-para"/>
          <w:rFonts w:ascii="Cambria" w:hAnsi="Cambria"/>
          <w:i/>
          <w:iCs/>
          <w:sz w:val="20"/>
          <w:szCs w:val="20"/>
        </w:rPr>
        <w:t>M</w:t>
      </w:r>
      <w:r>
        <w:rPr>
          <w:rStyle w:val="not-translated-para"/>
          <w:rFonts w:ascii="Cambria" w:hAnsi="Cambria"/>
          <w:i/>
          <w:iCs/>
          <w:sz w:val="20"/>
          <w:szCs w:val="20"/>
        </w:rPr>
        <w:t xml:space="preserve"> </w:t>
      </w:r>
    </w:p>
    <w:p w:rsidR="00000000" w:rsidRDefault="00A52409">
      <w:pPr>
        <w:ind w:left="-15"/>
      </w:pPr>
      <w:r>
        <w:rPr>
          <w:rStyle w:val="not-translated-para"/>
        </w:rPr>
        <w:t>The detailed procedure for homomorphic encrypti</w:t>
      </w:r>
      <w:r>
        <w:rPr>
          <w:rStyle w:val="not-translated-para"/>
        </w:rPr>
        <w:t>on is presented in Algorithm 3. In practice, if = max(xi), is derived as = 2dlog. All computations in the remainder of this paper are modulo unless otherwise stated. However, all the original floating-point values need to be mapped to the integer domain by</w:t>
      </w:r>
      <w:r>
        <w:rPr>
          <w:rStyle w:val="not-translated-para"/>
        </w:rPr>
        <w:t xml:space="preserve"> using Scaling, Rounding, Unscaling (SRU) algorithm [42]. A pseudorandom keystream can be generated by a secure pseudo random function (PRF) by implementing a secure stream cipher, such as Trivium [43], keyed with each party&amp;apos;s keystream and a unique m</w:t>
      </w:r>
      <w:r>
        <w:rPr>
          <w:rStyle w:val="not-translated-para"/>
        </w:rPr>
        <w:t>essage ID. For encryption purpose, the secret keys are pre-computed through a trusted setup, which can be performed by a trusted dealer or through a standard SMC protocol</w:t>
      </w:r>
      <w:r>
        <w:rPr>
          <w:rStyle w:val="not-translated-para"/>
        </w:rPr>
        <w:t>.</w:t>
      </w:r>
      <w:r>
        <w:rPr>
          <w:rStyle w:val="not-translated-para"/>
          <w:rFonts w:ascii="Cambria" w:hAnsi="Cambria"/>
          <w:i/>
          <w:iCs/>
          <w:sz w:val="20"/>
          <w:szCs w:val="20"/>
        </w:rPr>
        <w:t>p</w:t>
      </w:r>
      <w:r>
        <w:rPr>
          <w:rStyle w:val="not-translated-para"/>
          <w:rFonts w:ascii="Cambria" w:hAnsi="Cambria"/>
          <w:i/>
          <w:iCs/>
          <w:sz w:val="20"/>
          <w:szCs w:val="20"/>
        </w:rPr>
        <w:t xml:space="preserve"> </w:t>
      </w:r>
      <w:r>
        <w:rPr>
          <w:rStyle w:val="not-translated-para"/>
          <w:rFonts w:ascii="Cambria" w:hAnsi="Cambria"/>
          <w:i/>
          <w:iCs/>
          <w:sz w:val="20"/>
          <w:szCs w:val="20"/>
        </w:rPr>
        <w:t>M</w:t>
      </w:r>
      <w:r>
        <w:rPr>
          <w:rStyle w:val="not-translated-para"/>
          <w:rFonts w:ascii="Cambria" w:hAnsi="Cambria"/>
          <w:i/>
          <w:iCs/>
          <w:sz w:val="20"/>
          <w:szCs w:val="20"/>
        </w:rPr>
        <w:t xml:space="preserve"> </w:t>
      </w:r>
      <w:r>
        <w:rPr>
          <w:rStyle w:val="not-translated-para"/>
          <w:rFonts w:ascii="Cambria" w:hAnsi="Cambria"/>
          <w:i/>
          <w:iCs/>
          <w:sz w:val="20"/>
          <w:szCs w:val="20"/>
        </w:rPr>
        <w:t>M</w:t>
      </w:r>
      <w:r>
        <w:rPr>
          <w:rStyle w:val="not-translated-para"/>
          <w:rFonts w:ascii="Cambria" w:hAnsi="Cambria"/>
          <w:i/>
          <w:iCs/>
          <w:sz w:val="20"/>
          <w:szCs w:val="20"/>
        </w:rPr>
        <w:t xml:space="preserve"> </w:t>
      </w:r>
      <w:r>
        <w:rPr>
          <w:rFonts w:ascii="Cambria" w:hAnsi="Cambria"/>
          <w:sz w:val="15"/>
          <w:szCs w:val="15"/>
          <w:vertAlign w:val="superscript"/>
        </w:rPr>
        <w:t>2</w:t>
      </w:r>
      <w:r>
        <w:rPr>
          <w:rStyle w:val="not-translated-para"/>
          <w:rFonts w:ascii="Cambria" w:hAnsi="Cambria"/>
          <w:sz w:val="20"/>
          <w:szCs w:val="20"/>
          <w:vertAlign w:val="superscript"/>
        </w:rPr>
        <w:t>(p×n)</w:t>
      </w:r>
      <w:r>
        <w:rPr>
          <w:rStyle w:val="not-translated-para"/>
          <w:rFonts w:ascii="Cambria" w:hAnsi="Cambria"/>
          <w:sz w:val="20"/>
          <w:szCs w:val="20"/>
          <w:vertAlign w:val="superscript"/>
        </w:rPr>
        <w:t>e</w:t>
      </w:r>
      <w:r>
        <w:rPr>
          <w:rStyle w:val="not-translated-para"/>
          <w:rFonts w:ascii="Cambria" w:hAnsi="Cambria"/>
          <w:i/>
          <w:iCs/>
          <w:sz w:val="20"/>
          <w:szCs w:val="20"/>
        </w:rPr>
        <w:t>M</w:t>
      </w:r>
      <w:r>
        <w:rPr>
          <w:rStyle w:val="not-translated-para"/>
          <w:rFonts w:ascii="Cambria" w:hAnsi="Cambria"/>
          <w:i/>
          <w:iCs/>
          <w:sz w:val="20"/>
          <w:szCs w:val="20"/>
        </w:rPr>
        <w:t xml:space="preserve"> </w:t>
      </w:r>
      <w:r>
        <w:rPr>
          <w:rStyle w:val="not-translated-para"/>
          <w:rFonts w:ascii="Cambria" w:hAnsi="Cambria"/>
          <w:i/>
          <w:iCs/>
          <w:sz w:val="20"/>
          <w:szCs w:val="20"/>
        </w:rPr>
        <w:t>k</w:t>
      </w:r>
      <w:r>
        <w:rPr>
          <w:rStyle w:val="not-translated-para"/>
          <w:rFonts w:ascii="Cambria" w:hAnsi="Cambria"/>
          <w:i/>
          <w:iCs/>
          <w:sz w:val="20"/>
          <w:szCs w:val="20"/>
        </w:rPr>
        <w:t xml:space="preserve"> </w:t>
      </w:r>
      <w:r>
        <w:rPr>
          <w:rStyle w:val="not-translated-para"/>
          <w:rFonts w:ascii="Cambria" w:hAnsi="Cambria"/>
          <w:i/>
          <w:iCs/>
          <w:sz w:val="20"/>
          <w:szCs w:val="20"/>
        </w:rPr>
        <w:t>ki</w:t>
      </w:r>
      <w:r>
        <w:rPr>
          <w:rStyle w:val="not-translated-para"/>
          <w:rFonts w:ascii="Cambria" w:hAnsi="Cambria"/>
          <w:i/>
          <w:iCs/>
          <w:sz w:val="20"/>
          <w:szCs w:val="20"/>
        </w:rPr>
        <w:t xml:space="preserve"> </w:t>
      </w:r>
    </w:p>
    <w:p w:rsidR="00000000" w:rsidRDefault="00A52409">
      <w:pPr>
        <w:spacing w:after="156"/>
        <w:ind w:left="-15"/>
      </w:pPr>
      <w:r>
        <w:rPr>
          <w:rStyle w:val="not-translated-para"/>
        </w:rPr>
        <w:t xml:space="preserve">For example, a trusted key managing authority can generate these keystreams in each communication round, but the generated keystreams cannot be used more than once. The trusted setup generates non-zero random shares of 0: </w:t>
      </w:r>
      <w:r>
        <w:rPr>
          <w:rStyle w:val="not-translated-para"/>
          <w:rFonts w:ascii="宋体" w:hAnsi="宋体" w:hint="eastAsia"/>
        </w:rPr>
        <w:t>∈</w:t>
      </w:r>
      <w:r>
        <w:rPr>
          <w:rStyle w:val="not-translated-para"/>
        </w:rPr>
        <w:t xml:space="preserve">C= 0, such that each participant </w:t>
      </w:r>
      <w:r>
        <w:rPr>
          <w:rStyle w:val="not-translated-para"/>
          <w:rFonts w:ascii="宋体" w:hAnsi="宋体" w:hint="eastAsia"/>
        </w:rPr>
        <w:t>∈</w:t>
      </w:r>
      <w:r>
        <w:rPr>
          <w:rStyle w:val="not-translated-para"/>
        </w:rPr>
        <w:t xml:space="preserve"> C obtains a keystream . Note that if the Blockchain removes party from the credible party set , a new credible party set should be constructed</w:t>
      </w:r>
      <w:r>
        <w:rPr>
          <w:rStyle w:val="not-translated-para"/>
        </w:rPr>
        <w:t>.</w:t>
      </w:r>
      <w:r>
        <w:rPr>
          <w:rStyle w:val="not-translated-para"/>
          <w:rFonts w:ascii="Cambria" w:hAnsi="Cambria"/>
          <w:sz w:val="29"/>
          <w:szCs w:val="29"/>
          <w:vertAlign w:val="superscript"/>
        </w:rPr>
        <w:t>P</w:t>
      </w:r>
      <w:r>
        <w:rPr>
          <w:rStyle w:val="not-translated-para"/>
          <w:rFonts w:ascii="Cambria" w:hAnsi="Cambria"/>
          <w:i/>
          <w:iCs/>
          <w:sz w:val="14"/>
          <w:szCs w:val="14"/>
        </w:rPr>
        <w:t>i</w:t>
      </w:r>
      <w:r>
        <w:rPr>
          <w:rStyle w:val="not-translated-para"/>
          <w:rFonts w:ascii="Cambria" w:hAnsi="Cambria"/>
          <w:i/>
          <w:iCs/>
          <w:sz w:val="20"/>
          <w:szCs w:val="20"/>
        </w:rPr>
        <w:t>ki</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k</w:t>
      </w:r>
      <w:r>
        <w:rPr>
          <w:rStyle w:val="not-translated-para"/>
          <w:rFonts w:ascii="Cambria" w:hAnsi="Cambria"/>
          <w:i/>
          <w:iCs/>
          <w:sz w:val="20"/>
          <w:szCs w:val="20"/>
        </w:rPr>
        <w:t>i</w:t>
      </w:r>
      <w:r>
        <w:rPr>
          <w:rStyle w:val="not-translated-para"/>
          <w:rFonts w:ascii="Cambria" w:hAnsi="Cambria"/>
          <w:i/>
          <w:iCs/>
          <w:sz w:val="20"/>
          <w:szCs w:val="20"/>
        </w:rPr>
        <w:t>j</w:t>
      </w:r>
      <w:r>
        <w:rPr>
          <w:rStyle w:val="not-translated-para"/>
          <w:rFonts w:ascii="Cambria" w:hAnsi="Cambria"/>
          <w:i/>
          <w:iCs/>
          <w:sz w:val="20"/>
          <w:szCs w:val="20"/>
        </w:rPr>
        <w:t xml:space="preserve"> </w:t>
      </w:r>
      <w:r>
        <w:rPr>
          <w:rStyle w:val="not-translated-para"/>
          <w:rFonts w:ascii="Cambria" w:hAnsi="Cambria"/>
          <w:i/>
          <w:iCs/>
          <w:sz w:val="20"/>
          <w:szCs w:val="20"/>
        </w:rPr>
        <w:t>C</w:t>
      </w:r>
      <w:r>
        <w:rPr>
          <w:rStyle w:val="not-translated-para"/>
          <w:rFonts w:ascii="Cambria" w:hAnsi="Cambria"/>
          <w:i/>
          <w:iCs/>
          <w:sz w:val="20"/>
          <w:szCs w:val="20"/>
        </w:rPr>
        <w:t>C</w:t>
      </w:r>
      <w:r>
        <w:rPr>
          <w:rStyle w:val="not-translated-para"/>
          <w:rFonts w:ascii="Cambria" w:hAnsi="Cambria"/>
          <w:i/>
          <w:iCs/>
          <w:sz w:val="20"/>
          <w:szCs w:val="20"/>
        </w:rPr>
        <w:t xml:space="preserve"> </w:t>
      </w:r>
    </w:p>
    <w:p w:rsidR="00000000" w:rsidRDefault="00A52409">
      <w:pPr>
        <w:spacing w:after="72"/>
        <w:ind w:left="-15" w:firstLine="0"/>
      </w:pPr>
      <w:r>
        <w:rPr>
          <w:noProof/>
        </w:rPr>
        <w:drawing>
          <wp:inline distT="0" distB="0" distL="0" distR="0">
            <wp:extent cx="3209925" cy="1905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209925" cy="190500"/>
                    </a:xfrm>
                    <a:prstGeom prst="rect">
                      <a:avLst/>
                    </a:prstGeom>
                    <a:noFill/>
                    <a:ln>
                      <a:noFill/>
                    </a:ln>
                  </pic:spPr>
                </pic:pic>
              </a:graphicData>
            </a:graphic>
          </wp:inline>
        </w:drawing>
      </w:r>
      <w:r>
        <w:rPr>
          <w:rStyle w:val="not-translated-para"/>
          <w:b/>
          <w:bCs/>
        </w:rPr>
        <w:t>Algorithm 3</w:t>
      </w:r>
      <w:r>
        <w:rPr>
          <w:rStyle w:val="not-translated-para"/>
          <w:b/>
          <w:bCs/>
        </w:rPr>
        <w:t xml:space="preserve"> </w:t>
      </w:r>
      <w:r>
        <w:rPr>
          <w:rStyle w:val="not-translated-para"/>
        </w:rPr>
        <w:t>Homomorphic Encryption Schem</w:t>
      </w:r>
      <w:r>
        <w:rPr>
          <w:rStyle w:val="not-translated-para"/>
        </w:rPr>
        <w:t>e</w:t>
      </w:r>
    </w:p>
    <w:p w:rsidR="00000000" w:rsidRDefault="00A52409">
      <w:pPr>
        <w:spacing w:after="7" w:line="256" w:lineRule="auto"/>
        <w:ind w:left="185" w:hanging="10"/>
        <w:jc w:val="left"/>
      </w:pPr>
      <w:r>
        <w:rPr>
          <w:rStyle w:val="not-translated-para"/>
          <w:b/>
          <w:bCs/>
        </w:rPr>
        <w:t>Setu</w:t>
      </w:r>
      <w:r>
        <w:rPr>
          <w:rStyle w:val="not-translated-para"/>
          <w:b/>
          <w:bCs/>
        </w:rPr>
        <w:t>p</w:t>
      </w:r>
    </w:p>
    <w:p w:rsidR="00000000" w:rsidRDefault="00A52409">
      <w:pPr>
        <w:spacing w:after="122"/>
        <w:ind w:left="190" w:firstLine="0"/>
      </w:pPr>
      <w:r>
        <w:rPr>
          <w:rStyle w:val="not-translated-para"/>
        </w:rPr>
        <w:t>1: A trusted dealer randomly generates |C| keyst</w:t>
      </w:r>
      <w:r>
        <w:rPr>
          <w:rStyle w:val="not-translated-para"/>
        </w:rPr>
        <w:t xml:space="preserve">reams: </w:t>
      </w:r>
      <w:r>
        <w:rPr>
          <w:rStyle w:val="not-translated-para"/>
          <w:rFonts w:ascii="宋体" w:hAnsi="宋体" w:hint="eastAsia"/>
        </w:rPr>
        <w:t>∈</w:t>
      </w:r>
      <w:r>
        <w:rPr>
          <w:rStyle w:val="not-translated-para"/>
        </w:rPr>
        <w:t xml:space="preserve"> [0,M </w:t>
      </w:r>
      <w:r>
        <w:rPr>
          <w:rStyle w:val="not-translated-para"/>
        </w:rPr>
        <w:t>−</w:t>
      </w:r>
      <w:r>
        <w:rPr>
          <w:rStyle w:val="not-translated-para"/>
        </w:rPr>
        <w:t xml:space="preserve"> 1], such that (mod )= 0, where is a large integer. 2: Party obtains keystream </w:t>
      </w:r>
      <w:r>
        <w:rPr>
          <w:rStyle w:val="not-translated-para"/>
        </w:rPr>
        <w:t>.</w:t>
      </w:r>
      <w:r>
        <w:rPr>
          <w:rStyle w:val="not-translated-para"/>
          <w:rFonts w:ascii="Cambria" w:hAnsi="Cambria"/>
          <w:i/>
          <w:iCs/>
          <w:sz w:val="20"/>
          <w:szCs w:val="20"/>
        </w:rPr>
        <w:t>k</w:t>
      </w:r>
      <w:r>
        <w:rPr>
          <w:rFonts w:ascii="Cambria" w:hAnsi="Cambria"/>
          <w:sz w:val="20"/>
          <w:szCs w:val="20"/>
          <w:vertAlign w:val="subscript"/>
        </w:rPr>
        <w:t>1</w:t>
      </w:r>
      <w:r>
        <w:rPr>
          <w:rStyle w:val="not-translated-para"/>
          <w:rFonts w:ascii="Cambria" w:hAnsi="Cambria"/>
          <w:i/>
          <w:iCs/>
          <w:sz w:val="20"/>
          <w:szCs w:val="20"/>
        </w:rPr>
        <w:t>,...,</w:t>
      </w:r>
      <w:r>
        <w:rPr>
          <w:rStyle w:val="not-translated-para"/>
          <w:rFonts w:ascii="Cambria" w:hAnsi="Cambria"/>
          <w:i/>
          <w:iCs/>
          <w:sz w:val="20"/>
          <w:szCs w:val="20"/>
        </w:rPr>
        <w:t>k</w:t>
      </w:r>
      <w:r>
        <w:rPr>
          <w:rStyle w:val="not-translated-para"/>
          <w:rFonts w:ascii="Cambria" w:hAnsi="Cambria"/>
          <w:sz w:val="20"/>
          <w:szCs w:val="20"/>
          <w:vertAlign w:val="subscript"/>
        </w:rPr>
        <w:t>|C|</w:t>
      </w:r>
      <w:r>
        <w:rPr>
          <w:rStyle w:val="not-translated-para"/>
          <w:rFonts w:ascii="Cambria" w:hAnsi="Cambria"/>
          <w:sz w:val="20"/>
          <w:szCs w:val="20"/>
          <w:vertAlign w:val="subscript"/>
        </w:rPr>
        <w:t xml:space="preserve"> </w:t>
      </w:r>
      <w:r>
        <w:rPr>
          <w:rStyle w:val="not-translated-para"/>
          <w:rFonts w:ascii="Cambria" w:hAnsi="Cambria"/>
          <w:sz w:val="29"/>
          <w:szCs w:val="29"/>
          <w:vertAlign w:val="superscript"/>
        </w:rPr>
        <w:t>P</w:t>
      </w:r>
      <w:r>
        <w:rPr>
          <w:rStyle w:val="not-translated-para"/>
          <w:rFonts w:ascii="Cambria" w:hAnsi="Cambria"/>
          <w:i/>
          <w:iCs/>
          <w:vertAlign w:val="subscript"/>
        </w:rPr>
        <w:t>i</w:t>
      </w:r>
      <w:r>
        <w:rPr>
          <w:rStyle w:val="not-translated-para"/>
          <w:rFonts w:ascii="Cambria" w:hAnsi="Cambria"/>
          <w:vertAlign w:val="subscript"/>
        </w:rPr>
        <w:t>∈</w:t>
      </w:r>
      <w:r>
        <w:rPr>
          <w:rStyle w:val="not-translated-para"/>
          <w:rFonts w:ascii="Cambria" w:hAnsi="Cambria"/>
          <w:vertAlign w:val="subscript"/>
        </w:rPr>
        <w:t>C</w:t>
      </w:r>
      <w:r>
        <w:rPr>
          <w:rStyle w:val="not-translated-para"/>
          <w:rFonts w:ascii="Cambria" w:hAnsi="Cambria"/>
          <w:i/>
          <w:iCs/>
          <w:sz w:val="20"/>
          <w:szCs w:val="20"/>
        </w:rPr>
        <w:t>ki</w:t>
      </w:r>
      <w:r>
        <w:rPr>
          <w:rStyle w:val="not-translated-para"/>
          <w:rFonts w:ascii="Cambria" w:hAnsi="Cambria"/>
          <w:i/>
          <w:iCs/>
          <w:sz w:val="20"/>
          <w:szCs w:val="20"/>
        </w:rPr>
        <w:t xml:space="preserve"> </w:t>
      </w:r>
      <w:r>
        <w:rPr>
          <w:rStyle w:val="not-translated-para"/>
          <w:rFonts w:ascii="Cambria" w:hAnsi="Cambria"/>
          <w:i/>
          <w:iCs/>
          <w:sz w:val="20"/>
          <w:szCs w:val="20"/>
        </w:rPr>
        <w:t>M</w:t>
      </w:r>
      <w:r>
        <w:rPr>
          <w:rStyle w:val="not-translated-para"/>
          <w:rFonts w:ascii="Cambria" w:hAnsi="Cambria"/>
          <w:i/>
          <w:iCs/>
          <w:sz w:val="20"/>
          <w:szCs w:val="20"/>
        </w:rPr>
        <w:t>M</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i/>
          <w:iCs/>
          <w:sz w:val="20"/>
          <w:szCs w:val="20"/>
        </w:rPr>
        <w:t>k</w:t>
      </w:r>
      <w:r>
        <w:rPr>
          <w:rStyle w:val="not-translated-para"/>
          <w:rFonts w:ascii="Cambria" w:hAnsi="Cambria"/>
          <w:i/>
          <w:iCs/>
          <w:sz w:val="20"/>
          <w:szCs w:val="20"/>
        </w:rPr>
        <w:t>i</w:t>
      </w:r>
    </w:p>
    <w:p w:rsidR="00000000" w:rsidRDefault="00A52409">
      <w:pPr>
        <w:spacing w:after="7" w:line="256" w:lineRule="auto"/>
        <w:ind w:left="185" w:hanging="10"/>
        <w:jc w:val="left"/>
      </w:pPr>
      <w:r>
        <w:rPr>
          <w:rStyle w:val="not-translated-para"/>
          <w:b/>
          <w:bCs/>
        </w:rPr>
        <w:t xml:space="preserve">Enc(, </w:t>
      </w:r>
      <w:r>
        <w:rPr>
          <w:rStyle w:val="not-translated-para"/>
          <w:b/>
          <w:bCs/>
        </w:rPr>
        <w:t>)</w:t>
      </w:r>
      <w:r>
        <w:rPr>
          <w:rStyle w:val="not-translated-para"/>
          <w:rFonts w:ascii="Cambria" w:hAnsi="Cambria"/>
          <w:i/>
          <w:iCs/>
          <w:sz w:val="20"/>
          <w:szCs w:val="20"/>
        </w:rPr>
        <w:t>m</w:t>
      </w:r>
      <w:r>
        <w:rPr>
          <w:rStyle w:val="not-translated-para"/>
          <w:rFonts w:ascii="Cambria" w:hAnsi="Cambria"/>
          <w:i/>
          <w:iCs/>
          <w:sz w:val="20"/>
          <w:szCs w:val="20"/>
        </w:rPr>
        <w:t>k</w:t>
      </w:r>
    </w:p>
    <w:p w:rsidR="00000000" w:rsidRDefault="00A52409">
      <w:pPr>
        <w:ind w:left="190" w:firstLine="0"/>
      </w:pPr>
      <w:r>
        <w:rPr>
          <w:rStyle w:val="not-translated-para"/>
        </w:rPr>
        <w:t xml:space="preserve">1: Represent message as integer </w:t>
      </w:r>
      <w:r>
        <w:rPr>
          <w:rStyle w:val="not-translated-para"/>
          <w:rFonts w:ascii="宋体" w:hAnsi="宋体" w:hint="eastAsia"/>
        </w:rPr>
        <w:t>∈</w:t>
      </w:r>
      <w:r>
        <w:rPr>
          <w:rStyle w:val="not-translated-para"/>
        </w:rPr>
        <w:t xml:space="preserve"> [0,M </w:t>
      </w:r>
      <w:r>
        <w:rPr>
          <w:rStyle w:val="not-translated-para"/>
        </w:rPr>
        <w:t>−</w:t>
      </w:r>
      <w:r>
        <w:rPr>
          <w:rStyle w:val="not-translated-para"/>
        </w:rPr>
        <w:t xml:space="preserve"> 1]. 2: Let be a randomly generated keystream, where </w:t>
      </w:r>
      <w:r>
        <w:rPr>
          <w:rStyle w:val="not-translated-para"/>
          <w:rFonts w:ascii="宋体" w:hAnsi="宋体" w:hint="eastAsia"/>
        </w:rPr>
        <w:t>∈</w:t>
      </w:r>
      <w:r>
        <w:rPr>
          <w:rStyle w:val="not-translated-para"/>
        </w:rPr>
        <w:t xml:space="preserve"> [0,M </w:t>
      </w:r>
      <w:r>
        <w:rPr>
          <w:rStyle w:val="not-translated-para"/>
        </w:rPr>
        <w:t>−</w:t>
      </w:r>
      <w:r>
        <w:rPr>
          <w:rStyle w:val="not-translated-para"/>
        </w:rPr>
        <w:t xml:space="preserve"> 1]</w:t>
      </w:r>
      <w:r>
        <w:rPr>
          <w:rStyle w:val="not-translated-para"/>
        </w:rPr>
        <w:t>.</w:t>
      </w:r>
      <w:r>
        <w:rPr>
          <w:rStyle w:val="not-translated-para"/>
          <w:rFonts w:ascii="Cambria" w:hAnsi="Cambria"/>
          <w:i/>
          <w:iCs/>
          <w:sz w:val="20"/>
          <w:szCs w:val="20"/>
        </w:rPr>
        <w:t>m</w:t>
      </w:r>
      <w:r>
        <w:rPr>
          <w:rStyle w:val="not-translated-para"/>
          <w:rFonts w:ascii="Cambria" w:hAnsi="Cambria"/>
          <w:i/>
          <w:iCs/>
          <w:sz w:val="20"/>
          <w:szCs w:val="20"/>
        </w:rPr>
        <w:t xml:space="preserve"> </w:t>
      </w:r>
      <w:r>
        <w:rPr>
          <w:rStyle w:val="not-translated-para"/>
          <w:rFonts w:ascii="Cambria" w:hAnsi="Cambria"/>
          <w:i/>
          <w:iCs/>
          <w:sz w:val="20"/>
          <w:szCs w:val="20"/>
        </w:rPr>
        <w:t>m</w:t>
      </w:r>
      <w:r>
        <w:rPr>
          <w:rStyle w:val="not-translated-para"/>
          <w:rFonts w:ascii="Cambria" w:hAnsi="Cambria"/>
          <w:i/>
          <w:iCs/>
          <w:sz w:val="20"/>
          <w:szCs w:val="20"/>
        </w:rPr>
        <w:t xml:space="preserve"> </w:t>
      </w:r>
      <w:r>
        <w:rPr>
          <w:rStyle w:val="not-translated-para"/>
          <w:rFonts w:ascii="Cambria" w:hAnsi="Cambria"/>
          <w:i/>
          <w:iCs/>
          <w:sz w:val="20"/>
          <w:szCs w:val="20"/>
        </w:rPr>
        <w:t>k</w:t>
      </w:r>
      <w:r>
        <w:rPr>
          <w:rStyle w:val="not-translated-para"/>
          <w:rFonts w:ascii="Cambria" w:hAnsi="Cambria"/>
          <w:i/>
          <w:iCs/>
          <w:sz w:val="20"/>
          <w:szCs w:val="20"/>
        </w:rPr>
        <w:t xml:space="preserve"> </w:t>
      </w:r>
      <w:r>
        <w:rPr>
          <w:rStyle w:val="not-translated-para"/>
          <w:rFonts w:ascii="Cambria" w:hAnsi="Cambria"/>
          <w:i/>
          <w:iCs/>
          <w:sz w:val="20"/>
          <w:szCs w:val="20"/>
        </w:rPr>
        <w:t>k</w:t>
      </w:r>
      <w:r>
        <w:rPr>
          <w:rStyle w:val="not-translated-para"/>
          <w:rFonts w:ascii="Cambria" w:hAnsi="Cambria"/>
          <w:i/>
          <w:iCs/>
          <w:sz w:val="20"/>
          <w:szCs w:val="20"/>
        </w:rPr>
        <w:t xml:space="preserve"> </w:t>
      </w:r>
    </w:p>
    <w:p w:rsidR="00000000" w:rsidRDefault="00A52409">
      <w:pPr>
        <w:spacing w:after="128"/>
        <w:ind w:left="190" w:firstLine="0"/>
      </w:pPr>
      <w:r>
        <w:rPr>
          <w:rStyle w:val="not-translated-para"/>
        </w:rPr>
        <w:t>3: Compute</w:t>
      </w:r>
      <w:r>
        <w:rPr>
          <w:rStyle w:val="not-translated-para"/>
        </w:rPr>
        <w:t xml:space="preserve"> = Enc(m,k) = m + k</w:t>
      </w:r>
      <w:r>
        <w:rPr>
          <w:rStyle w:val="not-translated-para"/>
        </w:rPr>
        <w:t>.</w:t>
      </w:r>
      <w:r>
        <w:rPr>
          <w:rStyle w:val="not-translated-para"/>
          <w:rFonts w:ascii="Cambria" w:hAnsi="Cambria"/>
          <w:i/>
          <w:iCs/>
          <w:sz w:val="20"/>
          <w:szCs w:val="20"/>
        </w:rPr>
        <w:t>c</w:t>
      </w:r>
      <w:r>
        <w:rPr>
          <w:rStyle w:val="not-translated-para"/>
          <w:rFonts w:ascii="Cambria" w:hAnsi="Cambria"/>
          <w:i/>
          <w:iCs/>
          <w:sz w:val="20"/>
          <w:szCs w:val="20"/>
        </w:rPr>
        <w:t xml:space="preserve"> </w:t>
      </w:r>
    </w:p>
    <w:p w:rsidR="00000000" w:rsidRDefault="00A52409">
      <w:pPr>
        <w:spacing w:after="7" w:line="256" w:lineRule="auto"/>
        <w:ind w:left="185" w:hanging="10"/>
        <w:jc w:val="left"/>
      </w:pPr>
      <w:r>
        <w:rPr>
          <w:rStyle w:val="not-translated-para"/>
          <w:b/>
          <w:bCs/>
        </w:rPr>
        <w:t xml:space="preserve">Dec(, </w:t>
      </w:r>
      <w:r>
        <w:rPr>
          <w:rStyle w:val="not-translated-para"/>
          <w:b/>
          <w:bCs/>
        </w:rPr>
        <w:t>)</w:t>
      </w:r>
      <w:r>
        <w:rPr>
          <w:rStyle w:val="not-translated-para"/>
          <w:rFonts w:ascii="Cambria" w:hAnsi="Cambria"/>
          <w:i/>
          <w:iCs/>
          <w:sz w:val="20"/>
          <w:szCs w:val="20"/>
        </w:rPr>
        <w:t>c</w:t>
      </w:r>
      <w:r>
        <w:rPr>
          <w:rStyle w:val="not-translated-para"/>
          <w:rFonts w:ascii="Cambria" w:hAnsi="Cambria"/>
          <w:i/>
          <w:iCs/>
          <w:sz w:val="20"/>
          <w:szCs w:val="20"/>
        </w:rPr>
        <w:t>k</w:t>
      </w:r>
    </w:p>
    <w:p w:rsidR="00000000" w:rsidRDefault="00A52409">
      <w:pPr>
        <w:spacing w:after="118" w:line="256" w:lineRule="auto"/>
        <w:ind w:left="190" w:firstLine="0"/>
        <w:jc w:val="left"/>
      </w:pPr>
      <w:r>
        <w:rPr>
          <w:rStyle w:val="not-translated-para"/>
        </w:rPr>
        <w:t xml:space="preserve">1: (c,k) = c </w:t>
      </w:r>
      <w:r>
        <w:rPr>
          <w:rStyle w:val="not-translated-para"/>
        </w:rPr>
        <w:t>−</w:t>
      </w:r>
      <w:r>
        <w:rPr>
          <w:rStyle w:val="not-translated-para"/>
        </w:rPr>
        <w:t xml:space="preserve"> k</w:t>
      </w:r>
      <w:r>
        <w:rPr>
          <w:rStyle w:val="not-translated-para"/>
        </w:rPr>
        <w:t>.</w:t>
      </w:r>
      <w:r>
        <w:rPr>
          <w:rStyle w:val="not-translated-para"/>
          <w:rFonts w:ascii="Cambria" w:hAnsi="Cambria"/>
          <w:i/>
          <w:iCs/>
          <w:sz w:val="20"/>
          <w:szCs w:val="20"/>
        </w:rPr>
        <w:t>De</w:t>
      </w:r>
      <w:r>
        <w:rPr>
          <w:rStyle w:val="not-translated-para"/>
          <w:rFonts w:ascii="Cambria" w:hAnsi="Cambria"/>
          <w:i/>
          <w:iCs/>
          <w:sz w:val="20"/>
          <w:szCs w:val="20"/>
        </w:rPr>
        <w:t>c</w:t>
      </w:r>
    </w:p>
    <w:p w:rsidR="00000000" w:rsidRDefault="00A52409">
      <w:pPr>
        <w:spacing w:after="7" w:line="256" w:lineRule="auto"/>
        <w:ind w:left="185" w:hanging="10"/>
        <w:jc w:val="left"/>
      </w:pPr>
      <w:r>
        <w:rPr>
          <w:rStyle w:val="not-translated-para"/>
          <w:b/>
          <w:bCs/>
        </w:rPr>
        <w:t>AggrDec(</w:t>
      </w:r>
      <w:r>
        <w:rPr>
          <w:rStyle w:val="not-translated-para"/>
          <w:b/>
          <w:bCs/>
        </w:rPr>
        <w:t>)</w:t>
      </w:r>
      <w:r>
        <w:rPr>
          <w:rStyle w:val="not-translated-para"/>
          <w:rFonts w:ascii="Cambria" w:hAnsi="Cambria"/>
          <w:i/>
          <w:iCs/>
          <w:sz w:val="20"/>
          <w:szCs w:val="20"/>
        </w:rPr>
        <w:t>k</w:t>
      </w:r>
      <w:r>
        <w:rPr>
          <w:rStyle w:val="not-translated-para"/>
          <w:rFonts w:ascii="Cambria" w:hAnsi="Cambria"/>
          <w:i/>
          <w:iCs/>
          <w:sz w:val="20"/>
          <w:szCs w:val="20"/>
        </w:rPr>
        <w:t>i</w:t>
      </w:r>
    </w:p>
    <w:p w:rsidR="00000000" w:rsidRDefault="00A52409">
      <w:pPr>
        <w:spacing w:after="47"/>
        <w:ind w:left="190" w:firstLine="0"/>
      </w:pPr>
      <w:r>
        <w:rPr>
          <w:rStyle w:val="not-translated-para"/>
        </w:rPr>
        <w:t xml:space="preserve">1: Let = Enc(mj,kj), where </w:t>
      </w:r>
      <w:r>
        <w:rPr>
          <w:rStyle w:val="not-translated-para"/>
          <w:rFonts w:ascii="宋体" w:hAnsi="宋体" w:hint="eastAsia"/>
        </w:rPr>
        <w:t>∈</w:t>
      </w:r>
      <w:r>
        <w:rPr>
          <w:rStyle w:val="not-translated-para"/>
        </w:rPr>
        <w:t xml:space="preserve"> C \ i</w:t>
      </w:r>
      <w:r>
        <w:rPr>
          <w:rStyle w:val="not-translated-para"/>
        </w:rPr>
        <w:t>.</w:t>
      </w:r>
      <w:r>
        <w:rPr>
          <w:rStyle w:val="not-translated-para"/>
          <w:rFonts w:ascii="Cambria" w:hAnsi="Cambria"/>
          <w:i/>
          <w:iCs/>
          <w:sz w:val="20"/>
          <w:szCs w:val="20"/>
        </w:rPr>
        <w:t>cj</w:t>
      </w:r>
      <w:r>
        <w:rPr>
          <w:rStyle w:val="not-translated-para"/>
          <w:rFonts w:ascii="Cambria" w:hAnsi="Cambria"/>
          <w:i/>
          <w:iCs/>
          <w:sz w:val="20"/>
          <w:szCs w:val="20"/>
        </w:rPr>
        <w:t xml:space="preserve"> </w:t>
      </w:r>
      <w:r>
        <w:rPr>
          <w:rStyle w:val="not-translated-para"/>
          <w:rFonts w:ascii="Cambria" w:hAnsi="Cambria"/>
          <w:i/>
          <w:iCs/>
          <w:sz w:val="20"/>
          <w:szCs w:val="20"/>
        </w:rPr>
        <w:t>j</w:t>
      </w:r>
      <w:r>
        <w:rPr>
          <w:rStyle w:val="not-translated-para"/>
          <w:rFonts w:ascii="Cambria" w:hAnsi="Cambria"/>
          <w:i/>
          <w:iCs/>
          <w:sz w:val="20"/>
          <w:szCs w:val="20"/>
        </w:rPr>
        <w:t xml:space="preserve"> </w:t>
      </w:r>
    </w:p>
    <w:p w:rsidR="00000000" w:rsidRDefault="00A52409">
      <w:pPr>
        <w:ind w:left="190" w:firstLine="0"/>
      </w:pPr>
      <w:r>
        <w:rPr>
          <w:rStyle w:val="not-translated-para"/>
        </w:rPr>
        <w:t xml:space="preserve">2: Party uses </w:t>
      </w:r>
      <w:r>
        <w:rPr>
          <w:rStyle w:val="not-translated-para"/>
        </w:rPr>
        <w:t>−</w:t>
      </w:r>
      <w:r>
        <w:rPr>
          <w:rStyle w:val="not-translated-para"/>
        </w:rPr>
        <w:t>ki = to decrypt the aggregation of other parties as follows: (</w:t>
      </w:r>
      <w:r>
        <w:rPr>
          <w:rStyle w:val="not-translated-para"/>
        </w:rPr>
        <w:t>−</w:t>
      </w:r>
      <w:r>
        <w:rPr>
          <w:rStyle w:val="not-translated-para"/>
        </w:rPr>
        <w:t>ki) = P</w:t>
      </w:r>
      <w:r>
        <w:rPr>
          <w:rStyle w:val="not-translated-para"/>
          <w:rFonts w:ascii="宋体" w:hAnsi="宋体" w:hint="eastAsia"/>
        </w:rPr>
        <w:t>∈</w:t>
      </w:r>
      <w:r>
        <w:rPr>
          <w:rStyle w:val="not-translated-para"/>
        </w:rPr>
        <w:t>C\i</w:t>
      </w:r>
      <w:r>
        <w:rPr>
          <w:rStyle w:val="not-translated-para"/>
        </w:rPr>
        <w:t>−</w:t>
      </w:r>
      <w:r>
        <w:rPr>
          <w:rStyle w:val="not-translated-para"/>
        </w:rPr>
        <w:t xml:space="preserve"> P</w:t>
      </w:r>
      <w:r>
        <w:rPr>
          <w:rStyle w:val="not-translated-para"/>
          <w:rFonts w:ascii="宋体" w:hAnsi="宋体" w:hint="eastAsia"/>
        </w:rPr>
        <w:t>∈</w:t>
      </w:r>
      <w:r>
        <w:rPr>
          <w:rStyle w:val="not-translated-para"/>
        </w:rPr>
        <w:t>C\i= P</w:t>
      </w:r>
      <w:r>
        <w:rPr>
          <w:rStyle w:val="not-translated-para"/>
          <w:rFonts w:ascii="宋体" w:hAnsi="宋体" w:hint="eastAsia"/>
        </w:rPr>
        <w:t>∈</w:t>
      </w:r>
      <w:r>
        <w:rPr>
          <w:rStyle w:val="not-translated-para"/>
        </w:rPr>
        <w:t>C\i</w:t>
      </w:r>
      <w:r>
        <w:rPr>
          <w:rStyle w:val="not-translated-para"/>
        </w:rPr>
        <w:t>.</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Fonts w:ascii="Cambria" w:hAnsi="Cambria"/>
          <w:sz w:val="29"/>
          <w:szCs w:val="29"/>
          <w:vertAlign w:val="superscript"/>
        </w:rPr>
        <w:t>P</w:t>
      </w:r>
      <w:r>
        <w:rPr>
          <w:rStyle w:val="not-translated-para"/>
          <w:rFonts w:ascii="Cambria" w:hAnsi="Cambria"/>
          <w:i/>
          <w:iCs/>
          <w:sz w:val="20"/>
          <w:szCs w:val="20"/>
          <w:vertAlign w:val="subscript"/>
        </w:rPr>
        <w:t>j</w:t>
      </w:r>
      <w:r>
        <w:rPr>
          <w:rStyle w:val="not-translated-para"/>
          <w:rFonts w:ascii="Cambria" w:hAnsi="Cambria"/>
          <w:sz w:val="20"/>
          <w:szCs w:val="20"/>
          <w:vertAlign w:val="subscript"/>
        </w:rPr>
        <w:t>∈</w:t>
      </w:r>
      <w:r>
        <w:rPr>
          <w:rStyle w:val="not-translated-para"/>
          <w:rFonts w:ascii="Cambria" w:hAnsi="Cambria"/>
          <w:sz w:val="20"/>
          <w:szCs w:val="20"/>
          <w:vertAlign w:val="subscript"/>
        </w:rPr>
        <w:t>C\</w:t>
      </w:r>
      <w:r>
        <w:rPr>
          <w:rStyle w:val="not-translated-para"/>
          <w:rFonts w:ascii="Cambria" w:hAnsi="Cambria"/>
          <w:sz w:val="20"/>
          <w:szCs w:val="20"/>
          <w:vertAlign w:val="subscript"/>
        </w:rPr>
        <w:t>i</w:t>
      </w:r>
      <w:r>
        <w:rPr>
          <w:rStyle w:val="not-translated-para"/>
          <w:rFonts w:ascii="Cambria" w:hAnsi="Cambria"/>
          <w:i/>
          <w:iCs/>
          <w:sz w:val="20"/>
          <w:szCs w:val="20"/>
        </w:rPr>
        <w:t>kj</w:t>
      </w:r>
      <w:r>
        <w:rPr>
          <w:rStyle w:val="not-translated-para"/>
          <w:rFonts w:ascii="Cambria" w:hAnsi="Cambria"/>
          <w:i/>
          <w:iCs/>
          <w:sz w:val="20"/>
          <w:szCs w:val="20"/>
        </w:rPr>
        <w:t xml:space="preserve"> </w:t>
      </w:r>
      <w:r>
        <w:rPr>
          <w:rStyle w:val="not-translated-para"/>
          <w:rFonts w:ascii="Cambria" w:hAnsi="Cambria"/>
          <w:i/>
          <w:iCs/>
          <w:sz w:val="20"/>
          <w:szCs w:val="20"/>
        </w:rPr>
        <w:t>De</w:t>
      </w:r>
      <w:r>
        <w:rPr>
          <w:rStyle w:val="not-translated-para"/>
          <w:rFonts w:ascii="Cambria" w:hAnsi="Cambria"/>
          <w:i/>
          <w:iCs/>
          <w:sz w:val="20"/>
          <w:szCs w:val="20"/>
        </w:rPr>
        <w:t>c</w:t>
      </w:r>
      <w:r>
        <w:rPr>
          <w:rStyle w:val="not-translated-para"/>
          <w:rFonts w:ascii="Cambria" w:hAnsi="Cambria"/>
          <w:sz w:val="29"/>
          <w:szCs w:val="29"/>
          <w:vertAlign w:val="superscript"/>
        </w:rPr>
        <w:t>P</w:t>
      </w:r>
      <w:r>
        <w:rPr>
          <w:rStyle w:val="not-translated-para"/>
          <w:rFonts w:ascii="Cambria" w:hAnsi="Cambria"/>
          <w:i/>
          <w:iCs/>
          <w:sz w:val="20"/>
          <w:szCs w:val="20"/>
          <w:vertAlign w:val="subscript"/>
        </w:rPr>
        <w:t>j</w:t>
      </w:r>
      <w:r>
        <w:rPr>
          <w:rStyle w:val="not-translated-para"/>
          <w:rFonts w:ascii="Cambria" w:hAnsi="Cambria"/>
          <w:sz w:val="20"/>
          <w:szCs w:val="20"/>
          <w:vertAlign w:val="subscript"/>
        </w:rPr>
        <w:t>∈</w:t>
      </w:r>
      <w:r>
        <w:rPr>
          <w:rStyle w:val="not-translated-para"/>
          <w:rFonts w:ascii="Cambria" w:hAnsi="Cambria"/>
          <w:sz w:val="20"/>
          <w:szCs w:val="20"/>
          <w:vertAlign w:val="subscript"/>
        </w:rPr>
        <w:t>C\</w:t>
      </w:r>
      <w:r>
        <w:rPr>
          <w:rStyle w:val="not-translated-para"/>
          <w:rFonts w:ascii="Cambria" w:hAnsi="Cambria"/>
          <w:sz w:val="20"/>
          <w:szCs w:val="20"/>
          <w:vertAlign w:val="subscript"/>
        </w:rPr>
        <w:t>i</w:t>
      </w:r>
      <w:r>
        <w:rPr>
          <w:rStyle w:val="not-translated-para"/>
          <w:rFonts w:ascii="Cambria" w:hAnsi="Cambria"/>
          <w:i/>
          <w:iCs/>
          <w:sz w:val="20"/>
          <w:szCs w:val="20"/>
        </w:rPr>
        <w:t>cj</w:t>
      </w:r>
      <w:r>
        <w:rPr>
          <w:rStyle w:val="not-translated-para"/>
          <w:rFonts w:ascii="Cambria" w:hAnsi="Cambria"/>
          <w:i/>
          <w:iCs/>
          <w:sz w:val="20"/>
          <w:szCs w:val="20"/>
        </w:rPr>
        <w:t>,</w:t>
      </w:r>
      <w:r>
        <w:rPr>
          <w:rStyle w:val="not-translated-para"/>
          <w:rFonts w:ascii="Cambria" w:hAnsi="Cambria"/>
          <w:i/>
          <w:iCs/>
          <w:sz w:val="14"/>
          <w:szCs w:val="14"/>
        </w:rPr>
        <w:t>j</w:t>
      </w:r>
      <w:r>
        <w:rPr>
          <w:rStyle w:val="not-translated-para"/>
          <w:rFonts w:ascii="Cambria" w:hAnsi="Cambria"/>
          <w:i/>
          <w:iCs/>
          <w:sz w:val="20"/>
          <w:szCs w:val="20"/>
        </w:rPr>
        <w:t>c</w:t>
      </w:r>
      <w:r>
        <w:rPr>
          <w:rStyle w:val="not-translated-para"/>
          <w:rFonts w:ascii="Cambria" w:hAnsi="Cambria"/>
          <w:i/>
          <w:iCs/>
          <w:sz w:val="14"/>
          <w:szCs w:val="14"/>
        </w:rPr>
        <w:t>j</w:t>
      </w:r>
      <w:r>
        <w:rPr>
          <w:rStyle w:val="not-translated-para"/>
          <w:rFonts w:ascii="Cambria" w:hAnsi="Cambria"/>
          <w:i/>
          <w:iCs/>
          <w:sz w:val="14"/>
          <w:szCs w:val="14"/>
        </w:rPr>
        <w:t xml:space="preserve"> </w:t>
      </w:r>
      <w:r>
        <w:rPr>
          <w:rStyle w:val="not-translated-para"/>
          <w:rFonts w:ascii="Cambria" w:hAnsi="Cambria"/>
          <w:i/>
          <w:iCs/>
          <w:sz w:val="14"/>
          <w:szCs w:val="14"/>
        </w:rPr>
        <w:t>j</w:t>
      </w:r>
      <w:r>
        <w:rPr>
          <w:rStyle w:val="not-translated-para"/>
          <w:rFonts w:ascii="Cambria" w:hAnsi="Cambria"/>
          <w:i/>
          <w:iCs/>
          <w:sz w:val="20"/>
          <w:szCs w:val="20"/>
        </w:rPr>
        <w:t>k</w:t>
      </w:r>
      <w:r>
        <w:rPr>
          <w:rStyle w:val="not-translated-para"/>
          <w:rFonts w:ascii="Cambria" w:hAnsi="Cambria"/>
          <w:i/>
          <w:iCs/>
          <w:sz w:val="14"/>
          <w:szCs w:val="14"/>
        </w:rPr>
        <w:t>j</w:t>
      </w:r>
      <w:r>
        <w:rPr>
          <w:rStyle w:val="not-translated-para"/>
          <w:rFonts w:ascii="Cambria" w:hAnsi="Cambria"/>
          <w:i/>
          <w:iCs/>
          <w:sz w:val="14"/>
          <w:szCs w:val="14"/>
        </w:rPr>
        <w:t xml:space="preserve"> </w:t>
      </w:r>
      <w:r>
        <w:rPr>
          <w:rStyle w:val="not-translated-para"/>
          <w:rFonts w:ascii="Cambria" w:hAnsi="Cambria"/>
          <w:i/>
          <w:iCs/>
          <w:sz w:val="14"/>
          <w:szCs w:val="14"/>
        </w:rPr>
        <w:t>j</w:t>
      </w:r>
      <w:r>
        <w:rPr>
          <w:rStyle w:val="not-translated-para"/>
          <w:rFonts w:ascii="Cambria" w:hAnsi="Cambria"/>
          <w:i/>
          <w:iCs/>
          <w:sz w:val="20"/>
          <w:szCs w:val="20"/>
        </w:rPr>
        <w:t>m</w:t>
      </w:r>
      <w:r>
        <w:rPr>
          <w:rStyle w:val="not-translated-para"/>
          <w:rFonts w:ascii="Cambria" w:hAnsi="Cambria"/>
          <w:i/>
          <w:iCs/>
          <w:sz w:val="14"/>
          <w:szCs w:val="14"/>
        </w:rPr>
        <w:t>j</w:t>
      </w:r>
    </w:p>
    <w:p w:rsidR="00000000" w:rsidRDefault="00A52409">
      <w:pPr>
        <w:spacing w:after="273" w:line="256" w:lineRule="auto"/>
        <w:ind w:firstLine="0"/>
        <w:jc w:val="left"/>
      </w:pPr>
      <w:r>
        <w:rPr>
          <w:noProof/>
          <w:sz w:val="22"/>
          <w:szCs w:val="22"/>
        </w:rPr>
        <w:drawing>
          <wp:inline distT="0" distB="0" distL="0" distR="0">
            <wp:extent cx="3209925" cy="9525"/>
            <wp:effectExtent l="0" t="0" r="0" b="0"/>
            <wp:docPr id="24" name="Group 16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6131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209925" cy="9525"/>
                    </a:xfrm>
                    <a:prstGeom prst="rect">
                      <a:avLst/>
                    </a:prstGeom>
                    <a:noFill/>
                    <a:ln>
                      <a:noFill/>
                    </a:ln>
                  </pic:spPr>
                </pic:pic>
              </a:graphicData>
            </a:graphic>
          </wp:inline>
        </w:drawing>
      </w:r>
    </w:p>
    <w:p w:rsidR="00000000" w:rsidRDefault="00A52409">
      <w:pPr>
        <w:spacing w:after="97"/>
        <w:ind w:left="-15"/>
      </w:pPr>
      <w:r>
        <w:rPr>
          <w:rStyle w:val="not-translated-para"/>
        </w:rPr>
        <w:t>Model parameter of party is updated as per gradientsencrypted SGD as follows</w:t>
      </w:r>
      <w:r>
        <w:rPr>
          <w:rStyle w:val="not-translated-para"/>
        </w:rPr>
        <w:t>:</w:t>
      </w:r>
      <w:r>
        <w:rPr>
          <w:rStyle w:val="not-translated-para"/>
          <w:rFonts w:ascii="Cambria" w:hAnsi="Cambria"/>
          <w:i/>
          <w:iCs/>
          <w:sz w:val="20"/>
          <w:szCs w:val="20"/>
        </w:rPr>
        <w:t>i</w:t>
      </w:r>
      <w:r>
        <w:rPr>
          <w:rStyle w:val="not-translated-para"/>
          <w:rFonts w:ascii="Cambria" w:hAnsi="Cambria"/>
          <w:i/>
          <w:iCs/>
          <w:sz w:val="20"/>
          <w:szCs w:val="20"/>
        </w:rPr>
        <w:t xml:space="preserve"> </w:t>
      </w:r>
    </w:p>
    <w:p w:rsidR="00000000" w:rsidRDefault="00A52409">
      <w:pPr>
        <w:spacing w:after="0" w:line="256" w:lineRule="auto"/>
        <w:ind w:left="276" w:firstLine="0"/>
        <w:jc w:val="left"/>
      </w:pPr>
      <w:r>
        <w:rPr>
          <w:rStyle w:val="not-translated-para"/>
          <w:i/>
          <w:iCs/>
          <w:sz w:val="20"/>
          <w:szCs w:val="20"/>
        </w:rPr>
        <w:t>w</w:t>
      </w:r>
      <w:r>
        <w:rPr>
          <w:rStyle w:val="not-translated-para"/>
          <w:i/>
          <w:iCs/>
          <w:sz w:val="14"/>
          <w:szCs w:val="14"/>
        </w:rPr>
        <w:t>i</w:t>
      </w:r>
      <w:r>
        <w:rPr>
          <w:rFonts w:ascii="Cambria" w:hAnsi="Cambria"/>
          <w:sz w:val="14"/>
          <w:szCs w:val="14"/>
        </w:rPr>
        <w:t>0</w:t>
      </w:r>
      <w:r>
        <w:rPr>
          <w:rFonts w:ascii="Cambria" w:hAnsi="Cambria"/>
          <w:sz w:val="14"/>
          <w:szCs w:val="14"/>
        </w:rPr>
        <w:t xml:space="preserve"> </w:t>
      </w:r>
      <w:r>
        <w:rPr>
          <w:rStyle w:val="not-translated-para"/>
          <w:rFonts w:ascii="Cambria" w:hAnsi="Cambria"/>
          <w:sz w:val="20"/>
          <w:szCs w:val="20"/>
        </w:rPr>
        <w:t>=</w:t>
      </w:r>
      <w:r>
        <w:rPr>
          <w:rStyle w:val="not-translated-para"/>
          <w:rFonts w:ascii="Cambria" w:hAnsi="Cambria"/>
          <w:sz w:val="20"/>
          <w:szCs w:val="20"/>
        </w:rPr>
        <w:t xml:space="preserve"> </w:t>
      </w:r>
      <w:r>
        <w:rPr>
          <w:rStyle w:val="not-translated-para"/>
          <w:i/>
          <w:iCs/>
          <w:sz w:val="20"/>
          <w:szCs w:val="20"/>
        </w:rPr>
        <w:t>w</w:t>
      </w:r>
      <w:r>
        <w:rPr>
          <w:rStyle w:val="not-translated-para"/>
          <w:i/>
          <w:iCs/>
          <w:sz w:val="14"/>
          <w:szCs w:val="14"/>
        </w:rPr>
        <w:t>i</w:t>
      </w:r>
      <w:r>
        <w:rPr>
          <w:rStyle w:val="not-translated-para"/>
          <w:i/>
          <w:iCs/>
          <w:sz w:val="14"/>
          <w:szCs w:val="14"/>
        </w:rPr>
        <w:t xml:space="preserve"> </w:t>
      </w:r>
      <w:r>
        <w:rPr>
          <w:noProof/>
        </w:rPr>
        <w:drawing>
          <wp:inline distT="0" distB="0" distL="0" distR="0">
            <wp:extent cx="2295525" cy="180975"/>
            <wp:effectExtent l="0" t="0" r="9525" b="9525"/>
            <wp:docPr id="25" name="Picture 17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80"/>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295525" cy="180975"/>
                    </a:xfrm>
                    <a:prstGeom prst="rect">
                      <a:avLst/>
                    </a:prstGeom>
                    <a:noFill/>
                    <a:ln>
                      <a:noFill/>
                    </a:ln>
                  </pic:spPr>
                </pic:pic>
              </a:graphicData>
            </a:graphic>
          </wp:inline>
        </w:drawing>
      </w:r>
    </w:p>
    <w:p w:rsidR="00000000" w:rsidRDefault="00A52409">
      <w:pPr>
        <w:spacing w:after="231"/>
        <w:ind w:left="-15" w:firstLine="628"/>
      </w:pPr>
      <w:r>
        <w:rPr>
          <w:rStyle w:val="not-translated-para"/>
          <w:rFonts w:ascii="Cambria" w:hAnsi="Cambria"/>
          <w:sz w:val="20"/>
          <w:szCs w:val="20"/>
        </w:rPr>
        <w:t xml:space="preserve">= + </w:t>
      </w:r>
      <w:r>
        <w:rPr>
          <w:rStyle w:val="not-translated-para"/>
          <w:rFonts w:ascii="Cambria" w:hAnsi="Cambria"/>
          <w:sz w:val="20"/>
          <w:szCs w:val="20"/>
        </w:rPr>
        <w:t>∆</w:t>
      </w:r>
      <w:r>
        <w:rPr>
          <w:rStyle w:val="not-translated-para"/>
          <w:rFonts w:ascii="Cambria" w:hAnsi="Cambria"/>
          <w:sz w:val="20"/>
          <w:szCs w:val="20"/>
        </w:rPr>
        <w:t>+ P</w:t>
      </w:r>
      <w:r>
        <w:rPr>
          <w:rStyle w:val="not-translated-para"/>
          <w:rFonts w:ascii="Cambria" w:hAnsi="Cambria"/>
          <w:sz w:val="20"/>
          <w:szCs w:val="20"/>
        </w:rPr>
        <w:t>∈</w:t>
      </w:r>
      <w:r>
        <w:rPr>
          <w:rStyle w:val="not-translated-para"/>
          <w:rFonts w:ascii="Cambria" w:hAnsi="Cambria"/>
          <w:sz w:val="20"/>
          <w:szCs w:val="20"/>
        </w:rPr>
        <w:t>C\i</w:t>
      </w:r>
      <w:r>
        <w:rPr>
          <w:rStyle w:val="not-translated-para"/>
          <w:rFonts w:ascii="Cambria" w:hAnsi="Cambria"/>
          <w:sz w:val="20"/>
          <w:szCs w:val="20"/>
        </w:rPr>
        <w:t>∆</w:t>
      </w:r>
      <w:r>
        <w:rPr>
          <w:rStyle w:val="not-translated-para"/>
          <w:rFonts w:ascii="Cambria" w:hAnsi="Cambria"/>
          <w:sz w:val="20"/>
          <w:szCs w:val="20"/>
        </w:rPr>
        <w:t xml:space="preserve">where and correspond to encryption and decryption operations in Algorithm 3, is the local parameters of party at previous round, </w:t>
      </w:r>
      <w:r>
        <w:rPr>
          <w:rStyle w:val="not-translated-para"/>
          <w:rFonts w:ascii="Cambria" w:hAnsi="Cambria"/>
          <w:sz w:val="20"/>
          <w:szCs w:val="20"/>
        </w:rPr>
        <w:t>∆</w:t>
      </w:r>
      <w:r>
        <w:rPr>
          <w:rStyle w:val="not-translated-para"/>
          <w:rFonts w:ascii="Cambria" w:hAnsi="Cambria"/>
          <w:sz w:val="20"/>
          <w:szCs w:val="20"/>
        </w:rPr>
        <w:t>is the masked gradient vector of party shared with party , where only</w:t>
      </w:r>
      <w:r>
        <w:rPr>
          <w:rStyle w:val="not-translated-para"/>
          <w:rFonts w:ascii="Cambria" w:hAnsi="Cambria"/>
          <w:sz w:val="20"/>
          <w:szCs w:val="20"/>
        </w:rPr>
        <w:t xml:space="preserve"> </w:t>
      </w:r>
      <w:r>
        <w:rPr>
          <w:rStyle w:val="not-translated-para"/>
          <w:i/>
          <w:iCs/>
          <w:sz w:val="20"/>
          <w:szCs w:val="20"/>
        </w:rPr>
        <w:t>w</w:t>
      </w:r>
      <w:r>
        <w:rPr>
          <w:rStyle w:val="not-translated-para"/>
          <w:i/>
          <w:iCs/>
          <w:sz w:val="14"/>
          <w:szCs w:val="14"/>
        </w:rPr>
        <w:t>i</w:t>
      </w:r>
      <w:r>
        <w:rPr>
          <w:rStyle w:val="not-translated-para"/>
          <w:i/>
          <w:iCs/>
          <w:sz w:val="14"/>
          <w:szCs w:val="14"/>
        </w:rPr>
        <w:t xml:space="preserve"> </w:t>
      </w:r>
      <w:r>
        <w:rPr>
          <w:rStyle w:val="not-translated-para"/>
          <w:i/>
          <w:iCs/>
          <w:sz w:val="20"/>
          <w:szCs w:val="20"/>
        </w:rPr>
        <w:t>w</w:t>
      </w:r>
      <w:r>
        <w:rPr>
          <w:rStyle w:val="not-translated-para"/>
          <w:i/>
          <w:iCs/>
          <w:sz w:val="14"/>
          <w:szCs w:val="14"/>
        </w:rPr>
        <w:t>i</w:t>
      </w:r>
      <w:r>
        <w:rPr>
          <w:rStyle w:val="not-translated-para"/>
          <w:i/>
          <w:iCs/>
          <w:sz w:val="14"/>
          <w:szCs w:val="14"/>
        </w:rPr>
        <w:t xml:space="preserve"> </w:t>
      </w:r>
      <w:r>
        <w:rPr>
          <w:rStyle w:val="not-translated-para"/>
          <w:rFonts w:ascii="Cambria" w:hAnsi="Cambria"/>
          <w:i/>
          <w:iCs/>
          <w:sz w:val="14"/>
          <w:szCs w:val="14"/>
        </w:rPr>
        <w:t>j</w:t>
      </w:r>
      <w:r>
        <w:rPr>
          <w:rStyle w:val="not-translated-para"/>
          <w:i/>
          <w:iCs/>
          <w:sz w:val="20"/>
          <w:szCs w:val="20"/>
        </w:rPr>
        <w:t>w</w:t>
      </w:r>
      <w:r>
        <w:rPr>
          <w:rStyle w:val="not-translated-para"/>
          <w:rFonts w:ascii="Cambria" w:hAnsi="Cambria"/>
          <w:b/>
          <w:bCs/>
          <w:sz w:val="20"/>
          <w:szCs w:val="20"/>
        </w:rPr>
        <w:t>˜˜˜</w:t>
      </w:r>
      <w:r>
        <w:rPr>
          <w:rStyle w:val="not-translated-para"/>
          <w:rFonts w:ascii="Cambria" w:hAnsi="Cambria"/>
          <w:b/>
          <w:bCs/>
          <w:sz w:val="20"/>
          <w:szCs w:val="20"/>
        </w:rPr>
        <w:t>˜</w:t>
      </w:r>
      <w:r>
        <w:rPr>
          <w:rStyle w:val="not-translated-para"/>
          <w:i/>
          <w:iCs/>
          <w:sz w:val="14"/>
          <w:szCs w:val="14"/>
        </w:rPr>
        <w:t>ji</w:t>
      </w:r>
      <w:r>
        <w:rPr>
          <w:rStyle w:val="not-translated-para"/>
          <w:i/>
          <w:iCs/>
          <w:sz w:val="14"/>
          <w:szCs w:val="14"/>
        </w:rPr>
        <w:t xml:space="preserve"> </w:t>
      </w:r>
      <w:r>
        <w:rPr>
          <w:rStyle w:val="not-translated-para"/>
          <w:rFonts w:ascii="Cambria" w:hAnsi="Cambria"/>
          <w:i/>
          <w:iCs/>
          <w:sz w:val="20"/>
          <w:szCs w:val="20"/>
        </w:rPr>
        <w:t>Enc</w:t>
      </w:r>
      <w:r>
        <w:rPr>
          <w:rStyle w:val="not-translated-para"/>
          <w:rFonts w:ascii="Cambria" w:hAnsi="Cambria"/>
          <w:i/>
          <w:iCs/>
          <w:sz w:val="20"/>
          <w:szCs w:val="20"/>
        </w:rPr>
        <w:t xml:space="preserve"> </w:t>
      </w:r>
      <w:r>
        <w:rPr>
          <w:rStyle w:val="not-translated-para"/>
          <w:rFonts w:ascii="Cambria" w:hAnsi="Cambria"/>
          <w:i/>
          <w:iCs/>
          <w:sz w:val="20"/>
          <w:szCs w:val="20"/>
        </w:rPr>
        <w:t>Dec</w:t>
      </w:r>
      <w:r>
        <w:rPr>
          <w:rStyle w:val="not-translated-para"/>
          <w:rFonts w:ascii="Cambria" w:hAnsi="Cambria"/>
          <w:i/>
          <w:iCs/>
          <w:sz w:val="20"/>
          <w:szCs w:val="20"/>
        </w:rPr>
        <w:t xml:space="preserve"> </w:t>
      </w:r>
      <w:r>
        <w:rPr>
          <w:rStyle w:val="not-translated-para"/>
          <w:i/>
          <w:iCs/>
          <w:sz w:val="20"/>
          <w:szCs w:val="20"/>
        </w:rPr>
        <w:t>wi</w:t>
      </w:r>
      <w:r>
        <w:rPr>
          <w:rStyle w:val="not-translated-para"/>
          <w:i/>
          <w:iCs/>
          <w:sz w:val="20"/>
          <w:szCs w:val="20"/>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i/>
          <w:iCs/>
          <w:sz w:val="20"/>
          <w:szCs w:val="20"/>
        </w:rPr>
        <w:t>w</w:t>
      </w:r>
      <w:r>
        <w:rPr>
          <w:rStyle w:val="not-translated-para"/>
          <w:i/>
          <w:iCs/>
          <w:sz w:val="20"/>
          <w:szCs w:val="20"/>
          <w:vertAlign w:val="subscript"/>
        </w:rPr>
        <w:t>j</w:t>
      </w:r>
      <w:r>
        <w:rPr>
          <w:rStyle w:val="not-translated-para"/>
          <w:i/>
          <w:iCs/>
          <w:sz w:val="20"/>
          <w:szCs w:val="20"/>
          <w:vertAlign w:val="superscript"/>
        </w:rPr>
        <w:t>i</w:t>
      </w:r>
      <w:r>
        <w:rPr>
          <w:rStyle w:val="not-translated-para"/>
          <w:i/>
          <w:iCs/>
          <w:sz w:val="20"/>
          <w:szCs w:val="20"/>
          <w:vertAlign w:val="superscript"/>
        </w:rPr>
        <w:t xml:space="preserve"> </w:t>
      </w:r>
      <w:r>
        <w:rPr>
          <w:rStyle w:val="not-translated-para"/>
          <w:rFonts w:ascii="Cambria" w:hAnsi="Cambria"/>
          <w:i/>
          <w:iCs/>
          <w:sz w:val="20"/>
          <w:szCs w:val="20"/>
        </w:rPr>
        <w:t>j</w:t>
      </w:r>
      <w:r>
        <w:rPr>
          <w:rStyle w:val="not-translated-para"/>
          <w:rFonts w:ascii="Cambria" w:hAnsi="Cambria"/>
          <w:i/>
          <w:iCs/>
          <w:sz w:val="20"/>
          <w:szCs w:val="20"/>
        </w:rPr>
        <w:t xml:space="preserve"> </w:t>
      </w:r>
      <w:r>
        <w:rPr>
          <w:rStyle w:val="not-translated-para"/>
          <w:rFonts w:ascii="Cambria" w:hAnsi="Cambria"/>
          <w:i/>
          <w:iCs/>
          <w:sz w:val="20"/>
          <w:szCs w:val="20"/>
        </w:rPr>
        <w:t>i</w:t>
      </w:r>
      <w:r>
        <w:rPr>
          <w:rStyle w:val="not-translated-para"/>
          <w:rFonts w:ascii="Cambria" w:hAnsi="Cambria"/>
          <w:i/>
          <w:iCs/>
          <w:sz w:val="31"/>
          <w:szCs w:val="31"/>
          <w:vertAlign w:val="superscript"/>
        </w:rPr>
        <w:t>d</w:t>
      </w:r>
      <w:r>
        <w:rPr>
          <w:rStyle w:val="not-translated-para"/>
          <w:rFonts w:ascii="Cambria" w:hAnsi="Cambria"/>
          <w:i/>
          <w:iCs/>
          <w:vertAlign w:val="superscript"/>
        </w:rPr>
        <w:t>j</w:t>
      </w:r>
      <w:r>
        <w:rPr>
          <w:rStyle w:val="not-translated-para"/>
          <w:rFonts w:ascii="Cambria" w:hAnsi="Cambria"/>
          <w:i/>
          <w:iCs/>
          <w:vertAlign w:val="subscript"/>
        </w:rPr>
        <w:t>i</w:t>
      </w:r>
      <w:r>
        <w:rPr>
          <w:rStyle w:val="not-translated-para"/>
          <w:rFonts w:ascii="Cambria" w:hAnsi="Cambria"/>
          <w:i/>
          <w:iCs/>
          <w:vertAlign w:val="subscript"/>
        </w:rPr>
        <w:t xml:space="preserve"> </w:t>
      </w:r>
      <w:r>
        <w:rPr>
          <w:rStyle w:val="not-translated-para"/>
        </w:rPr>
        <w:t>gradients are meaningful, i.e., elements of total</w:t>
      </w:r>
      <w:r>
        <w:rPr>
          <w:rStyle w:val="not-translated-para"/>
        </w:rPr>
        <w:t xml:space="preserve"> </w:t>
      </w:r>
      <w:r>
        <w:rPr>
          <w:rStyle w:val="not-translated-para"/>
          <w:rFonts w:ascii="Cambria" w:hAnsi="Cambria"/>
          <w:sz w:val="20"/>
          <w:szCs w:val="20"/>
        </w:rPr>
        <w:t>|</w:t>
      </w:r>
      <w:r>
        <w:rPr>
          <w:rStyle w:val="not-translated-para"/>
          <w:rFonts w:ascii="Cambria" w:hAnsi="Cambria"/>
          <w:sz w:val="20"/>
          <w:szCs w:val="20"/>
        </w:rPr>
        <w:t>∆</w:t>
      </w:r>
      <w:r>
        <w:rPr>
          <w:rStyle w:val="not-translated-para"/>
          <w:rFonts w:ascii="Cambria" w:hAnsi="Cambria"/>
          <w:sz w:val="20"/>
          <w:szCs w:val="20"/>
        </w:rPr>
        <w:t>|</w:t>
      </w:r>
      <w:r>
        <w:rPr>
          <w:rStyle w:val="not-translated-para"/>
          <w:rFonts w:ascii="Cambria" w:hAnsi="Cambria"/>
          <w:sz w:val="20"/>
          <w:szCs w:val="20"/>
        </w:rPr>
        <w:t xml:space="preserve"> </w:t>
      </w:r>
      <w:r>
        <w:rPr>
          <w:rStyle w:val="not-translated-para"/>
          <w:i/>
          <w:iCs/>
          <w:sz w:val="20"/>
          <w:szCs w:val="20"/>
        </w:rPr>
        <w:t>w</w:t>
      </w:r>
      <w:r>
        <w:rPr>
          <w:rStyle w:val="not-translated-para"/>
          <w:i/>
          <w:iCs/>
          <w:sz w:val="20"/>
          <w:szCs w:val="20"/>
          <w:vertAlign w:val="subscript"/>
        </w:rPr>
        <w:t>j</w:t>
      </w:r>
      <w:r>
        <w:rPr>
          <w:rStyle w:val="not-translated-para"/>
          <w:i/>
          <w:iCs/>
          <w:sz w:val="20"/>
          <w:szCs w:val="20"/>
          <w:vertAlign w:val="superscript"/>
        </w:rPr>
        <w:t>i</w:t>
      </w:r>
      <w:r>
        <w:rPr>
          <w:rStyle w:val="not-translated-para"/>
        </w:rPr>
        <w:t>elements are kept intact, while the remaining elements are nullified as 0. The second equality follows the homomorphic addition property, thus participant</w:t>
      </w:r>
      <w:r>
        <w:rPr>
          <w:rStyle w:val="not-translated-para"/>
        </w:rPr>
        <w:t xml:space="preserve"> </w:t>
      </w:r>
      <w:r>
        <w:rPr>
          <w:rStyle w:val="not-translated-para"/>
          <w:rFonts w:ascii="Cambria" w:hAnsi="Cambria"/>
          <w:i/>
          <w:iCs/>
          <w:sz w:val="20"/>
          <w:szCs w:val="20"/>
        </w:rPr>
        <w:t>i</w:t>
      </w:r>
      <w:r>
        <w:rPr>
          <w:rStyle w:val="not-translated-para"/>
          <w:rFonts w:ascii="Cambria" w:hAnsi="Cambria"/>
          <w:i/>
          <w:iCs/>
          <w:sz w:val="20"/>
          <w:szCs w:val="20"/>
        </w:rPr>
        <w:t xml:space="preserve"> </w:t>
      </w:r>
      <w:r>
        <w:rPr>
          <w:rStyle w:val="not-translated-para"/>
        </w:rPr>
        <w:t>can get the updated correctly after decryp</w:t>
      </w:r>
      <w:r>
        <w:rPr>
          <w:rStyle w:val="not-translated-para"/>
        </w:rPr>
        <w:t xml:space="preserve">tion, without having access to either </w:t>
      </w:r>
      <w:r>
        <w:rPr>
          <w:rStyle w:val="not-translated-para"/>
        </w:rPr>
        <w:t>∆</w:t>
      </w:r>
      <w:r>
        <w:rPr>
          <w:rStyle w:val="not-translated-para"/>
        </w:rPr>
        <w:t xml:space="preserve">or </w:t>
      </w:r>
      <w:r>
        <w:rPr>
          <w:rStyle w:val="not-translated-para"/>
        </w:rPr>
        <w:t>∆</w:t>
      </w:r>
      <w:r>
        <w:rPr>
          <w:rStyle w:val="not-translated-para"/>
        </w:rPr>
        <w:t>. FPPDL ensures party obliviousness by ensuring that each participant knows nothing but the sum of its received gradients in each communication round, and cannot infer any information about other participants&amp;apos</w:t>
      </w:r>
      <w:r>
        <w:rPr>
          <w:rStyle w:val="not-translated-para"/>
        </w:rPr>
        <w:t>; data</w:t>
      </w:r>
      <w:r>
        <w:rPr>
          <w:rStyle w:val="not-translated-para"/>
        </w:rPr>
        <w:t>.</w:t>
      </w:r>
      <w:r>
        <w:rPr>
          <w:rStyle w:val="not-translated-para"/>
          <w:i/>
          <w:iCs/>
          <w:sz w:val="20"/>
          <w:szCs w:val="20"/>
        </w:rPr>
        <w:t>w</w:t>
      </w:r>
      <w:r>
        <w:rPr>
          <w:rStyle w:val="not-translated-para"/>
          <w:i/>
          <w:iCs/>
          <w:sz w:val="20"/>
          <w:szCs w:val="20"/>
        </w:rPr>
        <w:t>i</w:t>
      </w:r>
      <w:r>
        <w:rPr>
          <w:rFonts w:ascii="Cambria" w:hAnsi="Cambria"/>
          <w:sz w:val="20"/>
          <w:szCs w:val="20"/>
          <w:vertAlign w:val="superscript"/>
        </w:rPr>
        <w:t>0</w:t>
      </w:r>
      <w:r>
        <w:rPr>
          <w:rFonts w:ascii="Cambria" w:hAnsi="Cambria"/>
          <w:sz w:val="20"/>
          <w:szCs w:val="20"/>
          <w:vertAlign w:val="superscript"/>
        </w:rPr>
        <w:t xml:space="preserve"> </w:t>
      </w:r>
      <w:r>
        <w:rPr>
          <w:rStyle w:val="not-translated-para"/>
          <w:i/>
          <w:iCs/>
          <w:sz w:val="20"/>
          <w:szCs w:val="20"/>
        </w:rPr>
        <w:t>w</w:t>
      </w:r>
      <w:r>
        <w:rPr>
          <w:rStyle w:val="not-translated-para"/>
          <w:i/>
          <w:iCs/>
          <w:sz w:val="20"/>
          <w:szCs w:val="20"/>
          <w:vertAlign w:val="subscript"/>
        </w:rPr>
        <w:t>j</w:t>
      </w:r>
      <w:r>
        <w:rPr>
          <w:rStyle w:val="not-translated-para"/>
          <w:i/>
          <w:iCs/>
          <w:sz w:val="20"/>
          <w:szCs w:val="20"/>
          <w:vertAlign w:val="superscript"/>
        </w:rPr>
        <w:t>i</w:t>
      </w:r>
      <w:r>
        <w:rPr>
          <w:rStyle w:val="not-translated-para"/>
          <w:i/>
          <w:iCs/>
          <w:sz w:val="20"/>
          <w:szCs w:val="20"/>
          <w:vertAlign w:val="superscript"/>
        </w:rPr>
        <w:t xml:space="preserve"> </w:t>
      </w:r>
      <w:r>
        <w:rPr>
          <w:rStyle w:val="not-translated-para"/>
          <w:i/>
          <w:iCs/>
          <w:sz w:val="20"/>
          <w:szCs w:val="20"/>
        </w:rPr>
        <w:t>w</w:t>
      </w:r>
      <w:r>
        <w:rPr>
          <w:rStyle w:val="not-translated-para"/>
          <w:i/>
          <w:iCs/>
          <w:sz w:val="20"/>
          <w:szCs w:val="20"/>
        </w:rPr>
        <w:t>j</w:t>
      </w:r>
    </w:p>
    <w:p w:rsidR="00000000" w:rsidRDefault="00A52409">
      <w:pPr>
        <w:pStyle w:val="3"/>
        <w:ind w:left="598" w:hanging="613"/>
      </w:pPr>
      <w:r>
        <w:t>5.2.2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Three-layer Onion-style Encryptio</w:t>
      </w:r>
      <w:r>
        <w:rPr>
          <w:rStyle w:val="not-translated-para"/>
        </w:rPr>
        <w:t>n</w:t>
      </w:r>
    </w:p>
    <w:p w:rsidR="00000000" w:rsidRDefault="00A52409">
      <w:pPr>
        <w:ind w:left="-15" w:firstLine="0"/>
      </w:pPr>
      <w:r>
        <w:rPr>
          <w:rStyle w:val="not-translated-para"/>
        </w:rPr>
        <w:t>However, as all parties need to store different encrypted gradients that are meant to be sent to different parties on Blockchain for commitment, all the encrypted gradients are also accessib</w:t>
      </w:r>
      <w:r>
        <w:rPr>
          <w:rStyle w:val="not-translated-para"/>
        </w:rPr>
        <w:t>le to all parties. Applying public-key encryption on top of homomorphic encryption for authentication [42] can address this problem. However, as the released gradient vector is high-dimensional, encrypting gradient vector is both computation and communicat</w:t>
      </w:r>
      <w:r>
        <w:rPr>
          <w:rStyle w:val="not-translated-para"/>
        </w:rPr>
        <w:t>ion expensive</w:t>
      </w:r>
      <w:r>
        <w:rPr>
          <w:rStyle w:val="not-translated-para"/>
        </w:rPr>
        <w:t>.</w:t>
      </w:r>
    </w:p>
    <w:p w:rsidR="00000000" w:rsidRDefault="00A52409">
      <w:pPr>
        <w:spacing w:after="235"/>
        <w:ind w:left="-15"/>
      </w:pPr>
      <w:r>
        <w:rPr>
          <w:rStyle w:val="not-translated-para"/>
        </w:rPr>
        <w:t xml:space="preserve">Therefore, we propose a three-layer onion-style encryption scheme. The first layer protects local model gradients by using symmetric key keystream for homomorphic encryption, as presented in Algorithm 3. The second layer and the third layer </w:t>
      </w:r>
      <w:r>
        <w:rPr>
          <w:rStyle w:val="not-translated-para"/>
        </w:rPr>
        <w:t>are classic hybrid encryption, as used in OpenPGP [44] for instance. In particular, in the second layer, a fresh symmetric encryption key will be generated and used to re-encrypt the ciphertext of the first layer, and then the fresh symmetric key is encryp</w:t>
      </w:r>
      <w:r>
        <w:rPr>
          <w:rStyle w:val="not-translated-para"/>
        </w:rPr>
        <w:t>ted by using the receiver&amp;apos;s public key in the third layer. In this way, the encryption of high-dimensional data becomes very effective, and the receiver could be authenticated as well: only the receiver who has the corresponding secret key paired with</w:t>
      </w:r>
      <w:r>
        <w:rPr>
          <w:rStyle w:val="not-translated-para"/>
        </w:rPr>
        <w:t xml:space="preserve"> the public key can decrypt the two-layer encrypted gradients committed on the Blockchain</w:t>
      </w:r>
      <w:r>
        <w:rPr>
          <w:rStyle w:val="not-translated-para"/>
        </w:rPr>
        <w:t>.</w:t>
      </w:r>
      <w:r>
        <w:rPr>
          <w:rStyle w:val="not-translated-para"/>
          <w:rFonts w:ascii="Cambria" w:hAnsi="Cambria"/>
          <w:i/>
          <w:iCs/>
          <w:sz w:val="20"/>
          <w:szCs w:val="20"/>
        </w:rPr>
        <w:t>kj</w:t>
      </w:r>
      <w:r>
        <w:rPr>
          <w:rStyle w:val="not-translated-para"/>
          <w:rFonts w:ascii="Cambria" w:hAnsi="Cambria"/>
          <w:i/>
          <w:iCs/>
          <w:sz w:val="20"/>
          <w:szCs w:val="20"/>
        </w:rPr>
        <w:t xml:space="preserve"> </w:t>
      </w:r>
      <w:r>
        <w:rPr>
          <w:rStyle w:val="not-translated-para"/>
          <w:rFonts w:ascii="Cambria" w:hAnsi="Cambria"/>
          <w:i/>
          <w:iCs/>
          <w:sz w:val="20"/>
          <w:szCs w:val="20"/>
        </w:rPr>
        <w:t>fsk</w:t>
      </w:r>
      <w:r>
        <w:rPr>
          <w:rStyle w:val="not-translated-para"/>
          <w:rFonts w:ascii="Cambria" w:hAnsi="Cambria"/>
          <w:i/>
          <w:iCs/>
          <w:sz w:val="20"/>
          <w:szCs w:val="20"/>
        </w:rPr>
        <w:t xml:space="preserve"> </w:t>
      </w:r>
      <w:r>
        <w:rPr>
          <w:rStyle w:val="not-translated-para"/>
          <w:rFonts w:ascii="Cambria" w:hAnsi="Cambria"/>
          <w:i/>
          <w:iCs/>
          <w:sz w:val="20"/>
          <w:szCs w:val="20"/>
        </w:rPr>
        <w:t>pki</w:t>
      </w:r>
      <w:r>
        <w:rPr>
          <w:rStyle w:val="not-translated-para"/>
          <w:rFonts w:ascii="Cambria" w:hAnsi="Cambria"/>
          <w:i/>
          <w:iCs/>
          <w:sz w:val="20"/>
          <w:szCs w:val="20"/>
        </w:rPr>
        <w:t xml:space="preserve"> </w:t>
      </w:r>
      <w:r>
        <w:rPr>
          <w:rStyle w:val="not-translated-para"/>
          <w:rFonts w:ascii="Cambria" w:hAnsi="Cambria"/>
          <w:i/>
          <w:iCs/>
          <w:sz w:val="20"/>
          <w:szCs w:val="20"/>
        </w:rPr>
        <w:t>ski</w:t>
      </w:r>
      <w:r>
        <w:rPr>
          <w:rStyle w:val="not-translated-para"/>
          <w:rFonts w:ascii="Cambria" w:hAnsi="Cambria"/>
          <w:i/>
          <w:iCs/>
          <w:sz w:val="20"/>
          <w:szCs w:val="20"/>
        </w:rPr>
        <w:t xml:space="preserve"> </w:t>
      </w:r>
      <w:r>
        <w:rPr>
          <w:rStyle w:val="not-translated-para"/>
          <w:rFonts w:ascii="Cambria" w:hAnsi="Cambria"/>
          <w:i/>
          <w:iCs/>
          <w:sz w:val="20"/>
          <w:szCs w:val="20"/>
        </w:rPr>
        <w:t>pki</w:t>
      </w:r>
      <w:r>
        <w:rPr>
          <w:rStyle w:val="not-translated-para"/>
          <w:rFonts w:ascii="Cambria" w:hAnsi="Cambria"/>
          <w:i/>
          <w:iCs/>
          <w:sz w:val="20"/>
          <w:szCs w:val="20"/>
        </w:rPr>
        <w:t xml:space="preserve"> </w:t>
      </w:r>
    </w:p>
    <w:p w:rsidR="00000000" w:rsidRDefault="00A52409">
      <w:pPr>
        <w:pStyle w:val="3"/>
        <w:ind w:left="598" w:hanging="613"/>
      </w:pPr>
      <w:r>
        <w:t>5.2.3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Local Credibility Updat</w:t>
      </w:r>
      <w:r>
        <w:rPr>
          <w:rStyle w:val="not-translated-para"/>
        </w:rPr>
        <w:t>e</w:t>
      </w:r>
    </w:p>
    <w:p w:rsidR="00000000" w:rsidRDefault="00A52409">
      <w:pPr>
        <w:spacing w:after="324"/>
        <w:ind w:left="-15" w:firstLine="0"/>
      </w:pPr>
      <w:r>
        <w:rPr>
          <w:rStyle w:val="not-translated-para"/>
        </w:rPr>
        <w:t>Instead of using the standalone models as in the local credibility initialization, during each round of coll</w:t>
      </w:r>
      <w:r>
        <w:rPr>
          <w:rStyle w:val="not-translated-para"/>
        </w:rPr>
        <w:t xml:space="preserve">aborative learning, each party randomly selects and shares a subset of DPGAN samples as per individual sharing level, then calculates the local credibility of other parties based on the returned labels, which are evaluated by using its updated local model </w:t>
      </w:r>
      <w:r>
        <w:rPr>
          <w:rStyle w:val="not-translated-para"/>
        </w:rPr>
        <w:t>at current round. The mutual evaluation follows the same procedure as in Step 3 of Algorithm 1. Finally, local credibility of each party is updated by integrating its historical local credibility as per Step 4 of Algorithm 2. In this way, local credibility</w:t>
      </w:r>
      <w:r>
        <w:rPr>
          <w:rStyle w:val="not-translated-para"/>
        </w:rPr>
        <w:t xml:space="preserve"> of each party can be adaptively updated, reflecting more accurately how one party contributes to different parties during collaborative learning</w:t>
      </w:r>
      <w:r>
        <w:rPr>
          <w:rStyle w:val="not-translated-para"/>
        </w:rPr>
        <w:t>.</w:t>
      </w:r>
    </w:p>
    <w:p w:rsidR="00000000" w:rsidRDefault="00A52409">
      <w:pPr>
        <w:pStyle w:val="2"/>
        <w:ind w:left="439" w:hanging="454"/>
      </w:pPr>
      <w:r>
        <w:t>5.3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Quantification of Fairnes</w:t>
      </w:r>
      <w:r>
        <w:rPr>
          <w:rStyle w:val="not-translated-para"/>
        </w:rPr>
        <w:t>s</w:t>
      </w:r>
    </w:p>
    <w:p w:rsidR="00000000" w:rsidRDefault="00A52409">
      <w:pPr>
        <w:ind w:left="-15" w:firstLine="0"/>
      </w:pPr>
      <w:r>
        <w:rPr>
          <w:rStyle w:val="not-translated-para"/>
        </w:rPr>
        <w:t>In collaborative learning system, collaborative fairness should be quant</w:t>
      </w:r>
      <w:r>
        <w:rPr>
          <w:rStyle w:val="not-translated-para"/>
        </w:rPr>
        <w:t>ified from the point of view of the whole system. In this work, we quantify collaborative fairness through the correlation coefficient between party contributions (i.e., standalone model accuracy which characterizes the learning capability of each party on</w:t>
      </w:r>
      <w:r>
        <w:rPr>
          <w:rStyle w:val="not-translated-para"/>
        </w:rPr>
        <w:t xml:space="preserve"> its own local data, and sharing level, which characterizes the sharing willingness of each party) and party rewards (i.e., final model accuracies of different parties)</w:t>
      </w:r>
      <w:r>
        <w:rPr>
          <w:rStyle w:val="not-translated-para"/>
        </w:rPr>
        <w:t>.</w:t>
      </w:r>
    </w:p>
    <w:p w:rsidR="00000000" w:rsidRDefault="00A52409">
      <w:pPr>
        <w:spacing w:after="116"/>
        <w:ind w:left="-15"/>
      </w:pPr>
      <w:r>
        <w:rPr>
          <w:rStyle w:val="not-translated-para"/>
        </w:rPr>
        <w:t>Specifically, we take party contributions as the X-axis, which represents the contribu</w:t>
      </w:r>
      <w:r>
        <w:rPr>
          <w:rStyle w:val="not-translated-para"/>
        </w:rPr>
        <w:t>tions of different parties from the system view. In particular, in Setting 2, we characterize different parties&amp;apos; contributions by their sharing levels and standalone model accuracies, as the party who is less private and has local data with better gen</w:t>
      </w:r>
      <w:r>
        <w:rPr>
          <w:rStyle w:val="not-translated-para"/>
        </w:rPr>
        <w:t>eralization empirically contributes more. In Setting 1 and Setting 3, we characterize different parties&amp;apos; contributions by their standalone model accuracies, as the party who has local data with better generalization empirically contributes more. Moreo</w:t>
      </w:r>
      <w:r>
        <w:rPr>
          <w:rStyle w:val="not-translated-para"/>
        </w:rPr>
        <w:t>ver, in Setting 3, the party with more local data typically yields higher standalone model accuracy in IID scenarios. In summary, the X-axis can be expressed by Equation 2, where and denote the sharing level and standalone model accuracy of party respectiv</w:t>
      </w:r>
      <w:r>
        <w:rPr>
          <w:rStyle w:val="not-translated-para"/>
        </w:rPr>
        <w:t>ely</w:t>
      </w:r>
      <w:r>
        <w:rPr>
          <w:rStyle w:val="not-translated-para"/>
        </w:rPr>
        <w:t>:</w:t>
      </w:r>
      <w:r>
        <w:rPr>
          <w:rStyle w:val="not-translated-para"/>
          <w:rFonts w:ascii="Cambria" w:hAnsi="Cambria"/>
          <w:i/>
          <w:iCs/>
          <w:sz w:val="20"/>
          <w:szCs w:val="20"/>
        </w:rPr>
        <w:t>λj</w:t>
      </w:r>
      <w:r>
        <w:rPr>
          <w:rStyle w:val="not-translated-para"/>
          <w:rFonts w:ascii="Cambria" w:hAnsi="Cambria"/>
          <w:i/>
          <w:iCs/>
          <w:sz w:val="20"/>
          <w:szCs w:val="20"/>
        </w:rPr>
        <w:t xml:space="preserve"> </w:t>
      </w:r>
      <w:r>
        <w:rPr>
          <w:rStyle w:val="not-translated-para"/>
          <w:rFonts w:ascii="Cambria" w:hAnsi="Cambria"/>
          <w:i/>
          <w:iCs/>
          <w:sz w:val="20"/>
          <w:szCs w:val="20"/>
        </w:rPr>
        <w:t>saccj</w:t>
      </w:r>
      <w:r>
        <w:rPr>
          <w:rStyle w:val="not-translated-para"/>
          <w:rFonts w:ascii="Cambria" w:hAnsi="Cambria"/>
          <w:i/>
          <w:iCs/>
          <w:sz w:val="20"/>
          <w:szCs w:val="20"/>
        </w:rPr>
        <w:t xml:space="preserve"> </w:t>
      </w:r>
      <w:r>
        <w:rPr>
          <w:rStyle w:val="not-translated-para"/>
          <w:rFonts w:ascii="Cambria" w:hAnsi="Cambria"/>
          <w:i/>
          <w:iCs/>
          <w:sz w:val="20"/>
          <w:szCs w:val="20"/>
        </w:rPr>
        <w:t>j</w:t>
      </w:r>
      <w:r>
        <w:rPr>
          <w:rStyle w:val="not-translated-para"/>
          <w:rFonts w:ascii="Cambria" w:hAnsi="Cambria"/>
          <w:i/>
          <w:iCs/>
          <w:sz w:val="20"/>
          <w:szCs w:val="20"/>
        </w:rPr>
        <w:t xml:space="preserve"> </w:t>
      </w:r>
    </w:p>
    <w:p w:rsidR="00000000" w:rsidRDefault="00A52409">
      <w:pPr>
        <w:spacing w:after="14" w:line="230" w:lineRule="auto"/>
        <w:ind w:firstLine="0"/>
        <w:jc w:val="left"/>
      </w:pPr>
      <w:r>
        <w:rPr>
          <w:sz w:val="22"/>
          <w:szCs w:val="22"/>
        </w:rPr>
        <w:t>                                               </w:t>
      </w:r>
      <w:r>
        <w:rPr>
          <w:sz w:val="22"/>
          <w:szCs w:val="22"/>
        </w:rPr>
        <w:t xml:space="preserve"> </w:t>
      </w:r>
      <w:r>
        <w:rPr>
          <w:rStyle w:val="not-translated-para"/>
          <w:rFonts w:ascii="Cambria" w:hAnsi="Cambria"/>
          <w:sz w:val="16"/>
          <w:szCs w:val="16"/>
        </w:rPr>
        <w:t xml:space="preserve">nSetting </w:t>
      </w:r>
      <w:r>
        <w:rPr>
          <w:rStyle w:val="not-translated-para"/>
          <w:rFonts w:ascii="Cambria" w:hAnsi="Cambria"/>
          <w:sz w:val="16"/>
          <w:szCs w:val="16"/>
        </w:rPr>
        <w:t>2</w:t>
      </w:r>
      <w:r>
        <w:rPr>
          <w:rFonts w:ascii="Cambria" w:hAnsi="Cambria"/>
          <w:i/>
          <w:iCs/>
          <w:sz w:val="17"/>
          <w:szCs w:val="17"/>
        </w:rPr>
        <w:t xml:space="preserve">,                                                                </w:t>
      </w:r>
    </w:p>
    <w:p w:rsidR="00000000" w:rsidRDefault="00A52409">
      <w:pPr>
        <w:spacing w:after="0" w:line="256" w:lineRule="auto"/>
        <w:ind w:left="187" w:hanging="187"/>
        <w:jc w:val="left"/>
      </w:pPr>
      <w:r>
        <w:rPr>
          <w:rStyle w:val="not-translated-para"/>
          <w:i/>
          <w:iCs/>
          <w:sz w:val="20"/>
          <w:szCs w:val="20"/>
        </w:rPr>
        <w:t>x</w:t>
      </w:r>
      <w:r>
        <w:rPr>
          <w:rStyle w:val="not-translated-para"/>
          <w:i/>
          <w:iCs/>
          <w:sz w:val="20"/>
          <w:szCs w:val="20"/>
        </w:rPr>
        <w:t xml:space="preserve"> </w:t>
      </w: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2105025" cy="180975"/>
            <wp:effectExtent l="0" t="0" r="9525" b="9525"/>
            <wp:wrapSquare wrapText="bothSides"/>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Fonts w:ascii="Cambria" w:hAnsi="Cambria"/>
          <w:sz w:val="20"/>
          <w:szCs w:val="20"/>
        </w:rPr>
        <w:t>=</w:t>
      </w:r>
      <w:r>
        <w:rPr>
          <w:rStyle w:val="not-translated-para"/>
          <w:rFonts w:ascii="Cambria" w:hAnsi="Cambria"/>
          <w:sz w:val="20"/>
          <w:szCs w:val="20"/>
        </w:rPr>
        <w:t xml:space="preserve"> </w:t>
      </w:r>
      <w:r>
        <w:rPr>
          <w:rStyle w:val="not-translated-para"/>
          <w:rFonts w:ascii="Cambria" w:hAnsi="Cambria"/>
          <w:i/>
          <w:iCs/>
          <w:sz w:val="12"/>
          <w:szCs w:val="12"/>
        </w:rPr>
        <w:t>j j</w:t>
      </w:r>
      <w:r>
        <w:rPr>
          <w:rStyle w:val="not-translated-para"/>
          <w:rFonts w:ascii="Cambria" w:hAnsi="Cambria"/>
          <w:i/>
          <w:iCs/>
          <w:sz w:val="12"/>
          <w:szCs w:val="12"/>
        </w:rPr>
        <w:t xml:space="preserve"> </w:t>
      </w:r>
      <w:r>
        <w:rPr>
          <w:rStyle w:val="not-translated-para"/>
          <w:rFonts w:ascii="Cambria" w:hAnsi="Cambria"/>
          <w:i/>
          <w:iCs/>
          <w:sz w:val="17"/>
          <w:szCs w:val="17"/>
        </w:rPr>
        <w:t>sac</w:t>
      </w:r>
      <w:r>
        <w:rPr>
          <w:rStyle w:val="not-translated-para"/>
          <w:rFonts w:ascii="Cambria" w:hAnsi="Cambria"/>
          <w:i/>
          <w:iCs/>
          <w:sz w:val="17"/>
          <w:szCs w:val="17"/>
        </w:rPr>
        <w:t>c</w:t>
      </w:r>
      <w:r>
        <w:rPr>
          <w:rStyle w:val="not-translated-para"/>
          <w:rFonts w:ascii="Cambria" w:hAnsi="Cambria"/>
          <w:i/>
          <w:iCs/>
          <w:sz w:val="12"/>
          <w:szCs w:val="12"/>
        </w:rPr>
        <w:t>j</w:t>
      </w:r>
      <w:r>
        <w:rPr>
          <w:rStyle w:val="not-translated-para"/>
          <w:rFonts w:ascii="Cambria" w:hAnsi="Cambria"/>
          <w:i/>
          <w:iCs/>
          <w:sz w:val="12"/>
          <w:szCs w:val="12"/>
        </w:rPr>
        <w:t xml:space="preserve"> </w:t>
      </w:r>
      <w:r>
        <w:rPr>
          <w:rStyle w:val="not-translated-para"/>
          <w:rFonts w:ascii="Cambria" w:hAnsi="Cambria"/>
          <w:i/>
          <w:iCs/>
          <w:sz w:val="17"/>
          <w:szCs w:val="17"/>
        </w:rPr>
        <w:t>sac</w:t>
      </w:r>
      <w:r>
        <w:rPr>
          <w:rStyle w:val="not-translated-para"/>
          <w:rFonts w:ascii="Cambria" w:hAnsi="Cambria"/>
          <w:i/>
          <w:iCs/>
          <w:sz w:val="17"/>
          <w:szCs w:val="17"/>
        </w:rPr>
        <w:t>c</w:t>
      </w:r>
      <w:r>
        <w:rPr>
          <w:rStyle w:val="not-translated-para"/>
          <w:rFonts w:ascii="Cambria" w:hAnsi="Cambria"/>
          <w:i/>
          <w:iCs/>
          <w:sz w:val="12"/>
          <w:szCs w:val="12"/>
        </w:rPr>
        <w:t>j</w:t>
      </w:r>
    </w:p>
    <w:p w:rsidR="00000000" w:rsidRDefault="00A52409">
      <w:pPr>
        <w:spacing w:after="0" w:line="256" w:lineRule="auto"/>
        <w:ind w:firstLine="0"/>
        <w:jc w:val="left"/>
      </w:pPr>
      <w:r>
        <w:rPr>
          <w:sz w:val="22"/>
          <w:szCs w:val="22"/>
        </w:rPr>
        <w:t>                                       </w:t>
      </w:r>
      <w:r>
        <w:rPr>
          <w:sz w:val="22"/>
          <w:szCs w:val="22"/>
        </w:rPr>
        <w:t xml:space="preserve"> </w:t>
      </w:r>
      <w:r>
        <w:rPr>
          <w:rStyle w:val="not-translated-para"/>
          <w:rFonts w:ascii="Cambria" w:hAnsi="Cambria"/>
          <w:sz w:val="17"/>
          <w:szCs w:val="17"/>
        </w:rPr>
        <w:t>{sacc1,···,saccn}, Setting 1&amp;</w:t>
      </w:r>
      <w:r>
        <w:rPr>
          <w:rStyle w:val="not-translated-para"/>
          <w:rFonts w:ascii="Cambria" w:hAnsi="Cambria"/>
          <w:sz w:val="17"/>
          <w:szCs w:val="17"/>
        </w:rPr>
        <w:t>3</w:t>
      </w:r>
    </w:p>
    <w:p w:rsidR="00000000" w:rsidRDefault="00A52409">
      <w:pPr>
        <w:spacing w:after="3" w:line="264" w:lineRule="auto"/>
        <w:ind w:left="10" w:right="-15" w:hanging="10"/>
        <w:jc w:val="right"/>
      </w:pPr>
      <w:r>
        <w:rPr>
          <w:rStyle w:val="not-translated-para"/>
        </w:rPr>
        <w:t>(2</w:t>
      </w:r>
      <w:r>
        <w:rPr>
          <w:rStyle w:val="not-translated-para"/>
        </w:rPr>
        <w:t>)</w:t>
      </w:r>
    </w:p>
    <w:p w:rsidR="00000000" w:rsidRDefault="00A52409">
      <w:pPr>
        <w:ind w:left="-15"/>
      </w:pPr>
      <w:r>
        <w:rPr>
          <w:rStyle w:val="not-translated-para"/>
        </w:rPr>
        <w:t xml:space="preserve">Similarly, we take party rewards (i.e., final model accuracies of different parties) as the Y-axis, as expressed by Equation 3, where denotes the final model accuracy of party </w:t>
      </w:r>
      <w:r>
        <w:rPr>
          <w:rStyle w:val="not-translated-para"/>
        </w:rPr>
        <w:t>:</w:t>
      </w:r>
      <w:r>
        <w:rPr>
          <w:rStyle w:val="not-translated-para"/>
          <w:rFonts w:ascii="Cambria" w:hAnsi="Cambria"/>
          <w:i/>
          <w:iCs/>
          <w:sz w:val="20"/>
          <w:szCs w:val="20"/>
        </w:rPr>
        <w:t>accj</w:t>
      </w:r>
      <w:r>
        <w:rPr>
          <w:rStyle w:val="not-translated-para"/>
          <w:rFonts w:ascii="Cambria" w:hAnsi="Cambria"/>
          <w:i/>
          <w:iCs/>
          <w:sz w:val="20"/>
          <w:szCs w:val="20"/>
        </w:rPr>
        <w:t xml:space="preserve"> </w:t>
      </w:r>
      <w:r>
        <w:rPr>
          <w:rStyle w:val="not-translated-para"/>
          <w:rFonts w:ascii="Cambria" w:hAnsi="Cambria"/>
          <w:i/>
          <w:iCs/>
          <w:sz w:val="20"/>
          <w:szCs w:val="20"/>
        </w:rPr>
        <w:t>j</w:t>
      </w:r>
    </w:p>
    <w:p w:rsidR="00000000" w:rsidRDefault="00A52409">
      <w:pPr>
        <w:spacing w:after="108" w:line="256" w:lineRule="auto"/>
        <w:ind w:left="187" w:hanging="187"/>
        <w:jc w:val="left"/>
      </w:pPr>
      <w:r>
        <w:rPr>
          <w:rStyle w:val="not-translated-para"/>
          <w:i/>
          <w:iCs/>
          <w:sz w:val="20"/>
          <w:szCs w:val="20"/>
        </w:rPr>
        <w:t>y</w:t>
      </w:r>
      <w:r>
        <w:rPr>
          <w:rStyle w:val="not-translated-para"/>
          <w:i/>
          <w:iCs/>
          <w:sz w:val="20"/>
          <w:szCs w:val="20"/>
        </w:rPr>
        <w:t xml:space="preserve"> </w:t>
      </w:r>
      <w:r>
        <w:rPr>
          <w:rStyle w:val="not-translated-para"/>
          <w:rFonts w:ascii="Cambria" w:hAnsi="Cambria"/>
          <w:sz w:val="20"/>
          <w:szCs w:val="20"/>
        </w:rPr>
        <w:t>= {acc1,···,accn} (3</w:t>
      </w:r>
      <w:r>
        <w:rPr>
          <w:rStyle w:val="not-translated-para"/>
          <w:rFonts w:ascii="Cambria" w:hAnsi="Cambria"/>
          <w:sz w:val="20"/>
          <w:szCs w:val="20"/>
        </w:rPr>
        <w:t>)</w:t>
      </w:r>
    </w:p>
    <w:p w:rsidR="00000000" w:rsidRDefault="00A52409">
      <w:pPr>
        <w:spacing w:after="66"/>
        <w:ind w:left="-15"/>
      </w:pPr>
      <w:r>
        <w:rPr>
          <w:rStyle w:val="not-translated-para"/>
        </w:rPr>
        <w:t>As the Y-axis measures local model performance o</w:t>
      </w:r>
      <w:r>
        <w:rPr>
          <w:rStyle w:val="not-translated-para"/>
        </w:rPr>
        <w:t>f different parties after collaboration, it is expected to be positively correlated with the X-axis to deliver good fairness. Hence, we formally quantify collaborative fairness in Equation 4</w:t>
      </w:r>
      <w:r>
        <w:rPr>
          <w:rStyle w:val="not-translated-para"/>
        </w:rPr>
        <w:t>:</w:t>
      </w:r>
    </w:p>
    <w:p w:rsidR="00000000" w:rsidRDefault="00A52409">
      <w:pPr>
        <w:spacing w:after="99" w:line="264" w:lineRule="auto"/>
        <w:ind w:right="-15" w:firstLine="0"/>
        <w:jc w:val="left"/>
      </w:pPr>
      <w:r>
        <w:rPr>
          <w:sz w:val="22"/>
          <w:szCs w:val="22"/>
        </w:rPr>
        <w:t xml:space="preserve">                              </w:t>
      </w:r>
      <w:r>
        <w:rPr>
          <w:noProof/>
        </w:rPr>
        <w:drawing>
          <wp:inline distT="0" distB="0" distL="0" distR="0">
            <wp:extent cx="1524000" cy="314325"/>
            <wp:effectExtent l="0" t="0" r="0" b="9525"/>
            <wp:docPr id="26" name="Picture 17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82"/>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0" cy="314325"/>
                    </a:xfrm>
                    <a:prstGeom prst="rect">
                      <a:avLst/>
                    </a:prstGeom>
                    <a:noFill/>
                    <a:ln>
                      <a:noFill/>
                    </a:ln>
                  </pic:spPr>
                </pic:pic>
              </a:graphicData>
            </a:graphic>
          </wp:inline>
        </w:drawing>
      </w:r>
      <w:r>
        <w:rPr>
          <w:rStyle w:val="not-translated-para"/>
        </w:rPr>
        <w:t>(4</w:t>
      </w:r>
      <w:r>
        <w:rPr>
          <w:rStyle w:val="not-translated-para"/>
        </w:rPr>
        <w:t>)</w:t>
      </w:r>
    </w:p>
    <w:p w:rsidR="00000000" w:rsidRDefault="00A52409">
      <w:pPr>
        <w:spacing w:after="380"/>
        <w:ind w:left="-15" w:firstLine="0"/>
      </w:pPr>
      <w:r>
        <w:rPr>
          <w:rStyle w:val="not-translated-para"/>
        </w:rPr>
        <w:t>where ¯ and ¯ are the sample m</w:t>
      </w:r>
      <w:r>
        <w:rPr>
          <w:rStyle w:val="not-translated-para"/>
        </w:rPr>
        <w:t>eans of and , and are the corrected standard deviations. The range of fairness is within [-1,1], with higher values implying good fairness. Conversely, negative coefficient implies poor fairness</w:t>
      </w:r>
      <w:r>
        <w:rPr>
          <w:rStyle w:val="not-translated-para"/>
        </w:rPr>
        <w:t>.</w:t>
      </w:r>
      <w:r>
        <w:rPr>
          <w:rStyle w:val="not-translated-para"/>
          <w:rFonts w:ascii="Cambria" w:hAnsi="Cambria"/>
          <w:i/>
          <w:iCs/>
          <w:sz w:val="20"/>
          <w:szCs w:val="20"/>
        </w:rPr>
        <w:t>x</w:t>
      </w:r>
      <w:r>
        <w:rPr>
          <w:rStyle w:val="not-translated-para"/>
          <w:rFonts w:ascii="Cambria" w:hAnsi="Cambria"/>
          <w:i/>
          <w:iCs/>
          <w:sz w:val="20"/>
          <w:szCs w:val="20"/>
        </w:rPr>
        <w:t>y</w:t>
      </w:r>
      <w:r>
        <w:rPr>
          <w:rStyle w:val="not-translated-para"/>
          <w:i/>
          <w:iCs/>
          <w:sz w:val="20"/>
          <w:szCs w:val="20"/>
        </w:rPr>
        <w:t>x</w:t>
      </w:r>
      <w:r>
        <w:rPr>
          <w:rStyle w:val="not-translated-para"/>
          <w:i/>
          <w:iCs/>
          <w:sz w:val="20"/>
          <w:szCs w:val="20"/>
        </w:rPr>
        <w:t xml:space="preserve"> </w:t>
      </w:r>
      <w:r>
        <w:rPr>
          <w:rStyle w:val="not-translated-para"/>
          <w:i/>
          <w:iCs/>
          <w:sz w:val="20"/>
          <w:szCs w:val="20"/>
        </w:rPr>
        <w:t>y</w:t>
      </w:r>
      <w:r>
        <w:rPr>
          <w:rStyle w:val="not-translated-para"/>
          <w:rFonts w:ascii="Cambria" w:hAnsi="Cambria"/>
          <w:i/>
          <w:iCs/>
          <w:sz w:val="20"/>
          <w:szCs w:val="20"/>
        </w:rPr>
        <w:t>sx</w:t>
      </w:r>
      <w:r>
        <w:rPr>
          <w:rStyle w:val="not-translated-para"/>
          <w:rFonts w:ascii="Cambria" w:hAnsi="Cambria"/>
          <w:i/>
          <w:iCs/>
          <w:sz w:val="20"/>
          <w:szCs w:val="20"/>
        </w:rPr>
        <w:t xml:space="preserve"> </w:t>
      </w:r>
      <w:r>
        <w:rPr>
          <w:rStyle w:val="not-translated-para"/>
          <w:rFonts w:ascii="Cambria" w:hAnsi="Cambria"/>
          <w:i/>
          <w:iCs/>
          <w:sz w:val="20"/>
          <w:szCs w:val="20"/>
        </w:rPr>
        <w:t>sy</w:t>
      </w:r>
      <w:r>
        <w:rPr>
          <w:rStyle w:val="not-translated-para"/>
          <w:rFonts w:ascii="Cambria" w:hAnsi="Cambria"/>
          <w:i/>
          <w:iCs/>
          <w:sz w:val="20"/>
          <w:szCs w:val="20"/>
        </w:rPr>
        <w:t xml:space="preserve"> </w:t>
      </w:r>
    </w:p>
    <w:p w:rsidR="00000000" w:rsidRDefault="00A52409">
      <w:pPr>
        <w:pStyle w:val="1"/>
        <w:ind w:left="344" w:hanging="353"/>
      </w:pPr>
      <w:r>
        <w:rPr>
          <w:sz w:val="22"/>
          <w:szCs w:val="22"/>
        </w:rP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22"/>
          <w:szCs w:val="22"/>
        </w:rPr>
        <w:t>EXPERIMENTAL EVALUATIO</w:t>
      </w:r>
      <w:r>
        <w:rPr>
          <w:rStyle w:val="not-translated-para"/>
          <w:sz w:val="22"/>
          <w:szCs w:val="22"/>
        </w:rPr>
        <w:t>N</w:t>
      </w:r>
    </w:p>
    <w:p w:rsidR="00000000" w:rsidRDefault="00A52409">
      <w:pPr>
        <w:spacing w:after="311"/>
        <w:ind w:left="-15" w:firstLine="0"/>
      </w:pPr>
      <w:r>
        <w:rPr>
          <w:rStyle w:val="not-translated-para"/>
        </w:rPr>
        <w:t>In this section</w:t>
      </w:r>
      <w:r>
        <w:rPr>
          <w:rStyle w:val="not-translated-para"/>
        </w:rPr>
        <w:t>, we evaluate the performance of the proposed FPPDL framework by comparing it against the state of the art on real-world datasets</w:t>
      </w:r>
      <w:r>
        <w:rPr>
          <w:rStyle w:val="not-translated-para"/>
        </w:rPr>
        <w:t>.</w:t>
      </w:r>
    </w:p>
    <w:p w:rsidR="00000000" w:rsidRDefault="00A52409">
      <w:pPr>
        <w:pStyle w:val="2"/>
        <w:ind w:left="439" w:hanging="454"/>
      </w:pPr>
      <w:r>
        <w:t>6.1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Dataset</w:t>
      </w:r>
      <w:r>
        <w:rPr>
          <w:rStyle w:val="not-translated-para"/>
        </w:rPr>
        <w:t>s</w:t>
      </w:r>
    </w:p>
    <w:p w:rsidR="00000000" w:rsidRDefault="00A52409">
      <w:pPr>
        <w:spacing w:after="161"/>
        <w:ind w:left="-15" w:firstLine="0"/>
      </w:pPr>
      <w:r>
        <w:rPr>
          <w:rStyle w:val="not-translated-para"/>
        </w:rPr>
        <w:t xml:space="preserve">We implement experiments on two benchmark image datasets. The first is the MNIST dataset1 for handwritten </w:t>
      </w:r>
      <w:r>
        <w:rPr>
          <w:rStyle w:val="not-translated-para"/>
        </w:rPr>
        <w:t xml:space="preserve">digit recognition consisting of 60,000 training examples and 10,000 test examples. Each example is a 32x32 gray-level image [11], with digits locating at the center of the image. The second is the SVHN dataset2 of house numbers obtained from Google&amp;apos;s </w:t>
      </w:r>
      <w:r>
        <w:rPr>
          <w:rStyle w:val="not-translated-para"/>
        </w:rPr>
        <w:t>street view images, which contains 600,000 training examples, from which we use 100,000 for trainin</w:t>
      </w:r>
      <w:r>
        <w:rPr>
          <w:rStyle w:val="not-translated-para"/>
        </w:rPr>
        <w:t>g</w:t>
      </w:r>
    </w:p>
    <w:p w:rsidR="00000000" w:rsidRDefault="00A52409">
      <w:pPr>
        <w:spacing w:after="14" w:line="230" w:lineRule="auto"/>
        <w:ind w:left="325" w:hanging="165"/>
      </w:pPr>
      <w:r>
        <w:rPr>
          <w:sz w:val="16"/>
          <w:szCs w:val="16"/>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http://yann.lecun.com/exdb/mnist</w:t>
      </w:r>
      <w:r>
        <w:rPr>
          <w:rStyle w:val="not-translated-para"/>
          <w:sz w:val="16"/>
          <w:szCs w:val="16"/>
        </w:rPr>
        <w:t>/</w:t>
      </w:r>
    </w:p>
    <w:p w:rsidR="00000000" w:rsidRDefault="00A52409">
      <w:pPr>
        <w:spacing w:after="14" w:line="230" w:lineRule="auto"/>
        <w:ind w:left="325" w:hanging="165"/>
      </w:pPr>
      <w:r>
        <w:rPr>
          <w:sz w:val="16"/>
          <w:szCs w:val="16"/>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http://ufldl.stanford.edu/housenumbers</w:t>
      </w:r>
      <w:r>
        <w:rPr>
          <w:rStyle w:val="not-translated-para"/>
          <w:sz w:val="16"/>
          <w:szCs w:val="16"/>
        </w:rPr>
        <w:t>/</w:t>
      </w:r>
    </w:p>
    <w:p w:rsidR="00000000" w:rsidRDefault="00A52409">
      <w:pPr>
        <w:spacing w:after="367"/>
        <w:ind w:left="-15" w:firstLine="0"/>
      </w:pPr>
      <w:r>
        <w:rPr>
          <w:rStyle w:val="not-translated-para"/>
        </w:rPr>
        <w:t xml:space="preserve">and 10,000 for testing. Each example is a 32x32 centered image with three channels (RGB). SVHN is more challenging as most of the images are noisy, and contain distractors at the sides. The size of the input layer of neural networks for MNIST and SVHN are </w:t>
      </w:r>
      <w:r>
        <w:rPr>
          <w:rStyle w:val="not-translated-para"/>
        </w:rPr>
        <w:t>1024 and 3072, respectively. The objective is to classify the input as one of 10 possible digits within [“0”-“9”], thus the size of the output layer is 10. We normalize the training examples by subtracting the average and dividing by the standard deviation</w:t>
      </w:r>
      <w:r>
        <w:rPr>
          <w:rStyle w:val="not-translated-para"/>
        </w:rPr>
        <w:t xml:space="preserve"> of training examples. For reproducibility purposes, our code will be made available here: https://github.com/lingjuanlv/FPPDL</w:t>
      </w:r>
      <w:r>
        <w:rPr>
          <w:rStyle w:val="not-translated-para"/>
        </w:rPr>
        <w:t>.</w:t>
      </w:r>
    </w:p>
    <w:p w:rsidR="00000000" w:rsidRDefault="00A52409">
      <w:pPr>
        <w:pStyle w:val="2"/>
        <w:ind w:left="439" w:hanging="454"/>
      </w:pPr>
      <w:r>
        <w:t>6.2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Baseline</w:t>
      </w:r>
      <w:r>
        <w:rPr>
          <w:rStyle w:val="not-translated-para"/>
        </w:rPr>
        <w:t>s</w:t>
      </w:r>
    </w:p>
    <w:p w:rsidR="00000000" w:rsidRDefault="00A52409">
      <w:pPr>
        <w:spacing w:after="63"/>
        <w:ind w:left="-15" w:firstLine="0"/>
      </w:pPr>
      <w:r>
        <w:rPr>
          <w:rStyle w:val="not-translated-para"/>
        </w:rPr>
        <w:t>We demonstrate the effectiveness of our proposed FPPDL framework by comparison with the following three fram</w:t>
      </w:r>
      <w:r>
        <w:rPr>
          <w:rStyle w:val="not-translated-para"/>
        </w:rPr>
        <w:t>eworks. In all frameworks, stochastic gradient descent (SGD) is applied to each party</w:t>
      </w:r>
      <w:r>
        <w:rPr>
          <w:rStyle w:val="not-translated-para"/>
        </w:rPr>
        <w:t>.</w:t>
      </w:r>
    </w:p>
    <w:p w:rsidR="00000000" w:rsidRDefault="00A52409">
      <w:pPr>
        <w:ind w:left="380" w:hanging="253"/>
      </w:pPr>
      <w:r>
        <w:rPr>
          <w:rStyle w:val="not-translated-para"/>
        </w:rPr>
        <w:t>1) framework: which assumes parties train standalone models on local training data without any collaboration. This framework delivers maximum privacy, but minimum utilit</w:t>
      </w:r>
      <w:r>
        <w:rPr>
          <w:rStyle w:val="not-translated-para"/>
        </w:rPr>
        <w:t>y, because each party is susceptible to falling into local optima when training alone</w:t>
      </w:r>
      <w:r>
        <w:rPr>
          <w:rStyle w:val="not-translated-para"/>
        </w:rPr>
        <w:t>.</w:t>
      </w:r>
      <w:r>
        <w:rPr>
          <w:rStyle w:val="not-translated-para"/>
          <w:i/>
          <w:iCs/>
        </w:rPr>
        <w:t>Standalone</w:t>
      </w:r>
      <w:r>
        <w:rPr>
          <w:rStyle w:val="not-translated-para"/>
          <w:i/>
          <w:iCs/>
        </w:rPr>
        <w:t xml:space="preserve"> </w:t>
      </w:r>
    </w:p>
    <w:p w:rsidR="00000000" w:rsidRDefault="00A52409">
      <w:pPr>
        <w:ind w:left="380" w:hanging="253"/>
      </w:pPr>
      <w:r>
        <w:rPr>
          <w:rStyle w:val="not-translated-para"/>
        </w:rPr>
        <w:t>2) framework: which allows a trusted server to have access to all participants&amp;apos; data in the clear, and train a global model on the combined data using st</w:t>
      </w:r>
      <w:r>
        <w:rPr>
          <w:rStyle w:val="not-translated-para"/>
        </w:rPr>
        <w:t>andard SGD. Hence, it is a privacy-violating framework</w:t>
      </w:r>
      <w:r>
        <w:rPr>
          <w:rStyle w:val="not-translated-para"/>
        </w:rPr>
        <w:t>.</w:t>
      </w:r>
      <w:r>
        <w:rPr>
          <w:rStyle w:val="not-translated-para"/>
          <w:i/>
          <w:iCs/>
        </w:rPr>
        <w:t>Centralized</w:t>
      </w:r>
      <w:r>
        <w:rPr>
          <w:rStyle w:val="not-translated-para"/>
          <w:i/>
          <w:iCs/>
        </w:rPr>
        <w:t xml:space="preserve"> </w:t>
      </w:r>
    </w:p>
    <w:p w:rsidR="00000000" w:rsidRDefault="00A52409">
      <w:pPr>
        <w:spacing w:after="367"/>
        <w:ind w:left="380" w:hanging="253"/>
      </w:pPr>
      <w:r>
        <w:rPr>
          <w:rStyle w:val="not-translated-para"/>
        </w:rPr>
        <w:t>3) framework: which enables parties to train independently and concurrently, and chooses a fraction of parameters to be uploaded at each iteration. In particular, as shown in [11], Distrib</w:t>
      </w:r>
      <w:r>
        <w:rPr>
          <w:rStyle w:val="not-translated-para"/>
        </w:rPr>
        <w:t>uted Selective SGD (DSSGD) achieves even higher accuracy than the centralized SGD because updating only a small fraction of parameters at each round acts as a regularization technique to avoid overfitting. Hence, we take DSSGD for the analysis of the distr</w:t>
      </w:r>
      <w:r>
        <w:rPr>
          <w:rStyle w:val="not-translated-para"/>
        </w:rPr>
        <w:t>ibuted framework. As DSSGD with round robin parameter exchange protocol results in the highest accuracy [11] and facilitates fairness calculation, we follow the round robin protocol for DSSGD, where participants run SSGD sequentially, each downloads a frac</w:t>
      </w:r>
      <w:r>
        <w:rPr>
          <w:rStyle w:val="not-translated-para"/>
        </w:rPr>
        <w:t>tion of the most updated parameters from the server, runs local training, and uploads selected gradients; the next party follows in the fixed order. Gradients are uploaded according to the “largest values” criterion</w:t>
      </w:r>
      <w:r>
        <w:rPr>
          <w:rStyle w:val="not-translated-para"/>
        </w:rPr>
        <w:t>.</w:t>
      </w:r>
      <w:r>
        <w:rPr>
          <w:rStyle w:val="not-translated-para"/>
          <w:i/>
          <w:iCs/>
        </w:rPr>
        <w:t>Distributed</w:t>
      </w:r>
      <w:r>
        <w:rPr>
          <w:rStyle w:val="not-translated-para"/>
          <w:i/>
          <w:iCs/>
        </w:rPr>
        <w:t xml:space="preserve"> </w:t>
      </w:r>
    </w:p>
    <w:p w:rsidR="00000000" w:rsidRDefault="00A52409">
      <w:pPr>
        <w:pStyle w:val="2"/>
        <w:ind w:left="439" w:hanging="454"/>
      </w:pPr>
      <w:r>
        <w:t>6.3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Experiment Setu</w:t>
      </w:r>
      <w:r>
        <w:rPr>
          <w:rStyle w:val="not-translated-para"/>
        </w:rPr>
        <w:t>p</w:t>
      </w:r>
    </w:p>
    <w:p w:rsidR="00000000" w:rsidRDefault="00A52409">
      <w:pPr>
        <w:ind w:left="-15" w:firstLine="40"/>
      </w:pPr>
      <w:r>
        <w:rPr>
          <w:rStyle w:val="not-translated-para"/>
        </w:rPr>
        <w:t>For local model architecture, we consider two popular neural network architectures: multi-layer perceptron (MLP) and convolutional neural network (CNN), which are the same as in [11]. For local model training, we set the learning rate as 0.001, learning ra</w:t>
      </w:r>
      <w:r>
        <w:rPr>
          <w:rStyle w:val="not-translated-para"/>
        </w:rPr>
        <w:t>te decay as 1e-7, and mini-batch size as 1. In addition, to reduce the impact of different initializations and avoid non-convergence, each party is initialized with the same parameter , then local training is run on individual training data to update local</w:t>
      </w:r>
      <w:r>
        <w:rPr>
          <w:rStyle w:val="not-translated-para"/>
        </w:rPr>
        <w:t xml:space="preserve"> model parameter</w:t>
      </w:r>
      <w:r>
        <w:rPr>
          <w:rStyle w:val="not-translated-para"/>
        </w:rPr>
        <w:t xml:space="preserve"> </w:t>
      </w:r>
      <w:r>
        <w:rPr>
          <w:rStyle w:val="not-translated-para"/>
          <w:rFonts w:ascii="Cambria" w:hAnsi="Cambria"/>
          <w:i/>
          <w:iCs/>
          <w:sz w:val="20"/>
          <w:szCs w:val="20"/>
        </w:rPr>
        <w:t>w</w:t>
      </w:r>
      <w:r>
        <w:rPr>
          <w:rFonts w:ascii="Cambria" w:hAnsi="Cambria"/>
          <w:sz w:val="20"/>
          <w:szCs w:val="20"/>
          <w:vertAlign w:val="subscript"/>
        </w:rPr>
        <w:t>0</w:t>
      </w:r>
      <w:r>
        <w:rPr>
          <w:rStyle w:val="not-translated-para"/>
          <w:i/>
          <w:iCs/>
          <w:sz w:val="20"/>
          <w:szCs w:val="20"/>
        </w:rPr>
        <w:t>w</w:t>
      </w:r>
      <w:r>
        <w:rPr>
          <w:rStyle w:val="not-translated-para"/>
          <w:i/>
          <w:iCs/>
          <w:sz w:val="20"/>
          <w:szCs w:val="20"/>
        </w:rPr>
        <w:t>i</w:t>
      </w:r>
      <w:r>
        <w:rPr>
          <w:rStyle w:val="not-translated-para"/>
        </w:rPr>
        <w:t>. To boost fairness, we let each party individually train 10 epochs before collaborative learning starts. For all experiments, we empirically set the local credibility threshold as via grid search, where</w:t>
      </w:r>
      <w:r>
        <w:rPr>
          <w:rStyle w:val="not-translated-para"/>
        </w:rPr>
        <w:t xml:space="preserve"> </w:t>
      </w:r>
      <w:r>
        <w:rPr>
          <w:rStyle w:val="not-translated-para"/>
          <w:rFonts w:ascii="Cambria" w:hAnsi="Cambria"/>
          <w:sz w:val="20"/>
          <w:szCs w:val="20"/>
        </w:rPr>
        <w:t>|C| is the number of alive part</w:t>
      </w:r>
      <w:r>
        <w:rPr>
          <w:rStyle w:val="not-translated-para"/>
          <w:rFonts w:ascii="Cambria" w:hAnsi="Cambria"/>
          <w:sz w:val="20"/>
          <w:szCs w:val="20"/>
        </w:rPr>
        <w:t>ies, i.e., credible parties in the system. Next, we investigate three realistic IID settings as follows</w:t>
      </w:r>
      <w:r>
        <w:rPr>
          <w:rStyle w:val="not-translated-para"/>
          <w:rFonts w:ascii="Cambria" w:hAnsi="Cambria"/>
          <w:sz w:val="20"/>
          <w:szCs w:val="20"/>
        </w:rPr>
        <w:t>:</w:t>
      </w:r>
    </w:p>
    <w:p w:rsidR="00000000" w:rsidRDefault="00A52409">
      <w:pPr>
        <w:ind w:left="-15"/>
      </w:pPr>
      <w:r>
        <w:rPr>
          <w:rStyle w:val="not-translated-para"/>
          <w:b/>
          <w:bCs/>
        </w:rPr>
        <w:t>Setting 1: Same sharing level, same data size:</w:t>
      </w:r>
      <w:r>
        <w:rPr>
          <w:rStyle w:val="not-translated-para"/>
          <w:b/>
          <w:bCs/>
        </w:rPr>
        <w:t xml:space="preserve"> </w:t>
      </w:r>
      <w:r>
        <w:rPr>
          <w:rStyle w:val="not-translated-para"/>
        </w:rPr>
        <w:t>in the first case, sharing level of each party is set as 0.1, i.e., each party only releases 10% meaning</w:t>
      </w:r>
      <w:r>
        <w:rPr>
          <w:rStyle w:val="not-translated-para"/>
        </w:rPr>
        <w:t>ful gradients during collaboration. For each party, we randomly sample 1% of the entire database as the local training data of each party, i.e., 600 examples for MNIST and 1000 examples for SVHN, this setting is the same as Shokri et al. [11] when the uplo</w:t>
      </w:r>
      <w:r>
        <w:rPr>
          <w:rStyle w:val="not-translated-para"/>
        </w:rPr>
        <w:t>ad rate of each party equals 0.1</w:t>
      </w:r>
      <w:r>
        <w:rPr>
          <w:rStyle w:val="not-translated-para"/>
        </w:rPr>
        <w:t>;</w:t>
      </w:r>
    </w:p>
    <w:p w:rsidR="00000000" w:rsidRDefault="00A52409">
      <w:pPr>
        <w:ind w:left="-15"/>
      </w:pPr>
      <w:r>
        <w:rPr>
          <w:rStyle w:val="not-translated-para"/>
          <w:b/>
          <w:bCs/>
        </w:rPr>
        <w:t>Setting 2: Different sharing level, same data size:</w:t>
      </w:r>
      <w:r>
        <w:rPr>
          <w:rStyle w:val="not-translated-para"/>
          <w:b/>
          <w:bCs/>
        </w:rPr>
        <w:t xml:space="preserve"> </w:t>
      </w:r>
      <w:r>
        <w:rPr>
          <w:rStyle w:val="not-translated-para"/>
        </w:rPr>
        <w:t>in the second case, sharing level of each party is randomly sampled from [0.1,0.5], and parties release meaningful gradients as per individual sharing level during collab</w:t>
      </w:r>
      <w:r>
        <w:rPr>
          <w:rStyle w:val="not-translated-para"/>
        </w:rPr>
        <w:t>oration. For each participant, we randomly sample 1% of the entire database as local training data as above</w:t>
      </w:r>
      <w:r>
        <w:rPr>
          <w:rStyle w:val="not-translated-para"/>
        </w:rPr>
        <w:t>.</w:t>
      </w:r>
    </w:p>
    <w:p w:rsidR="00000000" w:rsidRDefault="00A52409">
      <w:pPr>
        <w:ind w:left="-15"/>
      </w:pPr>
      <w:r>
        <w:rPr>
          <w:rStyle w:val="not-translated-para"/>
          <w:b/>
          <w:bCs/>
        </w:rPr>
        <w:t>Setting 3: Different data size, same sharing level:</w:t>
      </w:r>
      <w:r>
        <w:rPr>
          <w:rStyle w:val="not-translated-para"/>
          <w:b/>
          <w:bCs/>
        </w:rPr>
        <w:t xml:space="preserve"> </w:t>
      </w:r>
      <w:r>
        <w:rPr>
          <w:rStyle w:val="not-translated-para"/>
        </w:rPr>
        <w:t>in the third case, we simulate the case where different parties have different data size. In pa</w:t>
      </w:r>
      <w:r>
        <w:rPr>
          <w:rStyle w:val="not-translated-para"/>
        </w:rPr>
        <w:t>rticular, for MNIST dataset, we randomly partition total {2400, 9000, 18000, 30000} examples among {4,15,30,50} parties respectively. Similarly, for SVHN dataset, total {4000, 15000, 30000, 50000} examples are randomly partitioned among {4,15,30,50} partie</w:t>
      </w:r>
      <w:r>
        <w:rPr>
          <w:rStyle w:val="not-translated-para"/>
        </w:rPr>
        <w:t>s respectively. The sharing level of each party is fixed to 0.1</w:t>
      </w:r>
      <w:r>
        <w:rPr>
          <w:rStyle w:val="not-translated-para"/>
        </w:rPr>
        <w:t>.</w:t>
      </w:r>
    </w:p>
    <w:p w:rsidR="00000000" w:rsidRDefault="00A52409">
      <w:pPr>
        <w:spacing w:after="344"/>
        <w:ind w:left="-15"/>
      </w:pPr>
      <w:r>
        <w:rPr>
          <w:rStyle w:val="not-translated-para"/>
          <w:b/>
          <w:bCs/>
        </w:rPr>
        <w:t>Remar</w:t>
      </w:r>
      <w:r>
        <w:rPr>
          <w:rStyle w:val="not-translated-para"/>
          <w:b/>
          <w:bCs/>
        </w:rPr>
        <w:t>k</w:t>
      </w:r>
      <w:r>
        <w:rPr>
          <w:rStyle w:val="not-translated-para"/>
        </w:rPr>
        <w:t>. In Setting 1 and Setting 2, the purpose of allocating 600 MNIST examples or 1000 SVHN examples for each party is to fairly compare with Shokri et al. [11], in which each party is allo</w:t>
      </w:r>
      <w:r>
        <w:rPr>
          <w:rStyle w:val="not-translated-para"/>
        </w:rPr>
        <w:t>cated with 600 MNIST examples or 1000 SVHN examples (small number of local examples to simulate data scarity which necessitates collaboration). Therefore, for MNIST, we simulate the total examples of 2400 (4 parties) up to 30,000 (50 parties). For larger d</w:t>
      </w:r>
      <w:r>
        <w:rPr>
          <w:rStyle w:val="not-translated-para"/>
        </w:rPr>
        <w:t>atasets like 300,000 examples, it would require 500 parties, imposing heavy requirement on real deployment, while delivering similar analysis as in Sec. 6.4. We also remark that our Setting 2 and Setting 3 are relatively conservative, by increasing the con</w:t>
      </w:r>
      <w:r>
        <w:rPr>
          <w:rStyle w:val="not-translated-para"/>
        </w:rPr>
        <w:t>tribution diversity among parties, for example, sampling sharing level from [0,1] instead of [0,0.5], partitioning data size among parties in a more imbalanced way, our FPPDL can definitely results in higher fairness</w:t>
      </w:r>
      <w:r>
        <w:rPr>
          <w:rStyle w:val="not-translated-para"/>
        </w:rPr>
        <w:t>.</w:t>
      </w:r>
    </w:p>
    <w:p w:rsidR="00000000" w:rsidRDefault="00A52409">
      <w:pPr>
        <w:pStyle w:val="2"/>
        <w:spacing w:after="228"/>
        <w:ind w:left="439" w:hanging="454"/>
      </w:pPr>
      <w:r>
        <w:t>6.4</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Experimental Result</w:t>
      </w:r>
      <w:r>
        <w:rPr>
          <w:rStyle w:val="not-translated-para"/>
        </w:rPr>
        <w:t>s</w:t>
      </w:r>
    </w:p>
    <w:p w:rsidR="00000000" w:rsidRDefault="00A52409">
      <w:pPr>
        <w:ind w:left="-15" w:firstLine="0"/>
      </w:pPr>
      <w:r>
        <w:rPr>
          <w:rStyle w:val="not-translated-para"/>
        </w:rPr>
        <w:t>TABLE 3: Fairness of distributed framework and our FPPDL over MNIST dataset, with different model architectures, different party numbers (P-) and different settings as described in Section 6.3</w:t>
      </w:r>
      <w:r>
        <w:rPr>
          <w:rStyle w:val="not-translated-para"/>
        </w:rPr>
        <w:t>.</w:t>
      </w:r>
      <w:r>
        <w:rPr>
          <w:rStyle w:val="not-translated-para"/>
          <w:rFonts w:ascii="Cambria" w:hAnsi="Cambria"/>
          <w:i/>
          <w:iCs/>
          <w:sz w:val="20"/>
          <w:szCs w:val="20"/>
        </w:rPr>
        <w:t>k</w:t>
      </w:r>
    </w:p>
    <w:tbl>
      <w:tblPr>
        <w:tblW w:w="5032" w:type="dxa"/>
        <w:tblInd w:w="4" w:type="dxa"/>
        <w:tblCellMar>
          <w:left w:w="0" w:type="dxa"/>
          <w:right w:w="0" w:type="dxa"/>
        </w:tblCellMar>
        <w:tblLook w:val="04A0" w:firstRow="1" w:lastRow="0" w:firstColumn="1" w:lastColumn="0" w:noHBand="0" w:noVBand="1"/>
      </w:tblPr>
      <w:tblGrid>
        <w:gridCol w:w="388"/>
        <w:gridCol w:w="626"/>
        <w:gridCol w:w="593"/>
        <w:gridCol w:w="626"/>
        <w:gridCol w:w="594"/>
        <w:gridCol w:w="626"/>
        <w:gridCol w:w="593"/>
        <w:gridCol w:w="493"/>
        <w:gridCol w:w="493"/>
      </w:tblGrid>
      <w:tr w:rsidR="00000000">
        <w:trPr>
          <w:trHeight w:val="188"/>
        </w:trPr>
        <w:tc>
          <w:tcPr>
            <w:tcW w:w="389" w:type="dxa"/>
            <w:vMerge w:val="restart"/>
            <w:tcBorders>
              <w:top w:val="single" w:sz="8" w:space="0" w:color="000000"/>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160" w:line="256" w:lineRule="auto"/>
              <w:ind w:firstLine="0"/>
              <w:jc w:val="left"/>
            </w:pPr>
            <w:r>
              <w:t> </w:t>
            </w:r>
          </w:p>
        </w:tc>
        <w:tc>
          <w:tcPr>
            <w:tcW w:w="2439" w:type="dxa"/>
            <w:gridSpan w:val="4"/>
            <w:tcBorders>
              <w:top w:val="single" w:sz="8" w:space="0" w:color="000000"/>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 xml:space="preserve">Setting </w:t>
            </w:r>
            <w:r>
              <w:rPr>
                <w:rStyle w:val="not-translated-para"/>
                <w:sz w:val="16"/>
                <w:szCs w:val="16"/>
              </w:rPr>
              <w:t>2</w:t>
            </w:r>
          </w:p>
        </w:tc>
        <w:tc>
          <w:tcPr>
            <w:tcW w:w="2205" w:type="dxa"/>
            <w:gridSpan w:val="4"/>
            <w:tcBorders>
              <w:top w:val="single" w:sz="8" w:space="0" w:color="000000"/>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 xml:space="preserve">Setting </w:t>
            </w:r>
            <w:r>
              <w:rPr>
                <w:rStyle w:val="not-translated-para"/>
                <w:sz w:val="16"/>
                <w:szCs w:val="16"/>
              </w:rPr>
              <w:t>3</w:t>
            </w:r>
          </w:p>
        </w:tc>
      </w:tr>
      <w:tr w:rsidR="00000000">
        <w:trPr>
          <w:trHeight w:val="1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A52409">
            <w:pPr>
              <w:spacing w:after="0" w:line="240" w:lineRule="auto"/>
              <w:ind w:firstLine="0"/>
              <w:jc w:val="left"/>
            </w:pPr>
          </w:p>
        </w:tc>
        <w:tc>
          <w:tcPr>
            <w:tcW w:w="1219" w:type="dxa"/>
            <w:gridSpan w:val="2"/>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Distribute</w:t>
            </w:r>
            <w:r>
              <w:rPr>
                <w:rStyle w:val="not-translated-para"/>
                <w:sz w:val="16"/>
                <w:szCs w:val="16"/>
              </w:rPr>
              <w:t>d</w:t>
            </w:r>
          </w:p>
        </w:tc>
        <w:tc>
          <w:tcPr>
            <w:tcW w:w="1219" w:type="dxa"/>
            <w:gridSpan w:val="2"/>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FPPD</w:t>
            </w:r>
            <w:r>
              <w:rPr>
                <w:rStyle w:val="not-translated-para"/>
                <w:sz w:val="16"/>
                <w:szCs w:val="16"/>
              </w:rPr>
              <w:t>L</w:t>
            </w:r>
          </w:p>
        </w:tc>
        <w:tc>
          <w:tcPr>
            <w:tcW w:w="1219" w:type="dxa"/>
            <w:gridSpan w:val="2"/>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Distribute</w:t>
            </w:r>
            <w:r>
              <w:rPr>
                <w:rStyle w:val="not-translated-para"/>
                <w:sz w:val="16"/>
                <w:szCs w:val="16"/>
              </w:rPr>
              <w:t>d</w:t>
            </w:r>
          </w:p>
        </w:tc>
        <w:tc>
          <w:tcPr>
            <w:tcW w:w="985" w:type="dxa"/>
            <w:gridSpan w:val="2"/>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FPPD</w:t>
            </w:r>
            <w:r>
              <w:rPr>
                <w:rStyle w:val="not-translated-para"/>
                <w:sz w:val="16"/>
                <w:szCs w:val="16"/>
              </w:rPr>
              <w:t>L</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160" w:line="256" w:lineRule="auto"/>
              <w:ind w:firstLine="0"/>
              <w:jc w:val="left"/>
            </w:pPr>
            <w:r>
              <w:t> </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pPr>
            <w:r>
              <w:rPr>
                <w:rStyle w:val="not-translated-para"/>
                <w:sz w:val="16"/>
                <w:szCs w:val="16"/>
              </w:rPr>
              <w:t>CN</w:t>
            </w:r>
            <w:r>
              <w:rPr>
                <w:rStyle w:val="not-translated-para"/>
                <w:sz w:val="16"/>
                <w:szCs w:val="16"/>
              </w:rPr>
              <w:t>N</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sz w:val="16"/>
                <w:szCs w:val="16"/>
              </w:rPr>
              <w:t>ML</w:t>
            </w:r>
            <w:r>
              <w:rPr>
                <w:rStyle w:val="not-translated-para"/>
                <w:sz w:val="16"/>
                <w:szCs w:val="16"/>
              </w:rPr>
              <w:t>P</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pPr>
            <w:r>
              <w:rPr>
                <w:rStyle w:val="not-translated-para"/>
                <w:sz w:val="16"/>
                <w:szCs w:val="16"/>
              </w:rPr>
              <w:t>CN</w:t>
            </w:r>
            <w:r>
              <w:rPr>
                <w:rStyle w:val="not-translated-para"/>
                <w:sz w:val="16"/>
                <w:szCs w:val="16"/>
              </w:rPr>
              <w:t>N</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sz w:val="16"/>
                <w:szCs w:val="16"/>
              </w:rPr>
              <w:t>ML</w:t>
            </w:r>
            <w:r>
              <w:rPr>
                <w:rStyle w:val="not-translated-para"/>
                <w:sz w:val="16"/>
                <w:szCs w:val="16"/>
              </w:rPr>
              <w:t>P</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pPr>
            <w:r>
              <w:rPr>
                <w:rStyle w:val="not-translated-para"/>
                <w:sz w:val="16"/>
                <w:szCs w:val="16"/>
              </w:rPr>
              <w:t>CN</w:t>
            </w:r>
            <w:r>
              <w:rPr>
                <w:rStyle w:val="not-translated-para"/>
                <w:sz w:val="16"/>
                <w:szCs w:val="16"/>
              </w:rPr>
              <w:t>N</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sz w:val="16"/>
                <w:szCs w:val="16"/>
              </w:rPr>
              <w:t>ML</w:t>
            </w:r>
            <w:r>
              <w:rPr>
                <w:rStyle w:val="not-translated-para"/>
                <w:sz w:val="16"/>
                <w:szCs w:val="16"/>
              </w:rPr>
              <w:t>P</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0" w:firstLine="0"/>
            </w:pPr>
            <w:r>
              <w:rPr>
                <w:rStyle w:val="not-translated-para"/>
                <w:sz w:val="16"/>
                <w:szCs w:val="16"/>
              </w:rPr>
              <w:t>CN</w:t>
            </w:r>
            <w:r>
              <w:rPr>
                <w:rStyle w:val="not-translated-para"/>
                <w:sz w:val="16"/>
                <w:szCs w:val="16"/>
              </w:rPr>
              <w:t>N</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sz w:val="16"/>
                <w:szCs w:val="16"/>
              </w:rPr>
              <w:t>ML</w:t>
            </w:r>
            <w:r>
              <w:rPr>
                <w:rStyle w:val="not-translated-para"/>
                <w:sz w:val="16"/>
                <w:szCs w:val="16"/>
              </w:rPr>
              <w:t>P</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i/>
                <w:iCs/>
                <w:sz w:val="16"/>
                <w:szCs w:val="16"/>
              </w:rPr>
              <w:t>P</w:t>
            </w:r>
            <w:r>
              <w:rPr>
                <w:rStyle w:val="not-translated-para"/>
                <w:i/>
                <w:iCs/>
                <w:sz w:val="16"/>
                <w:szCs w:val="16"/>
              </w:rPr>
              <w:t>4</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-0.68</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0.30</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0.89</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0.92</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-0.97</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0.05</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0.98</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0.96</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i/>
                <w:iCs/>
                <w:sz w:val="16"/>
                <w:szCs w:val="16"/>
              </w:rPr>
              <w:t>P1</w:t>
            </w:r>
            <w:r>
              <w:rPr>
                <w:rStyle w:val="not-translated-para"/>
                <w:i/>
                <w:iCs/>
                <w:sz w:val="16"/>
                <w:szCs w:val="16"/>
              </w:rPr>
              <w:t>5</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0.20</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left="6" w:firstLine="0"/>
              <w:jc w:val="left"/>
            </w:pPr>
            <w:r>
              <w:rPr>
                <w:sz w:val="16"/>
                <w:szCs w:val="16"/>
              </w:rPr>
              <w:t>-0.15</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0.76</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0.82</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0.03</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left="6" w:firstLine="0"/>
              <w:jc w:val="left"/>
            </w:pPr>
            <w:r>
              <w:rPr>
                <w:sz w:val="16"/>
                <w:szCs w:val="16"/>
              </w:rPr>
              <w:t>-0.07</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0.90</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0.83</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i/>
                <w:iCs/>
                <w:sz w:val="16"/>
                <w:szCs w:val="16"/>
              </w:rPr>
              <w:t>P3</w:t>
            </w:r>
            <w:r>
              <w:rPr>
                <w:rStyle w:val="not-translated-para"/>
                <w:i/>
                <w:iCs/>
                <w:sz w:val="16"/>
                <w:szCs w:val="16"/>
              </w:rPr>
              <w:t>0</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-0.02</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0.02</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0.79</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0.85</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0.13</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0.01</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0.75</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0.63</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i/>
                <w:iCs/>
                <w:sz w:val="16"/>
                <w:szCs w:val="16"/>
              </w:rPr>
              <w:t>P5</w:t>
            </w:r>
            <w:r>
              <w:rPr>
                <w:rStyle w:val="not-translated-para"/>
                <w:i/>
                <w:iCs/>
                <w:sz w:val="16"/>
                <w:szCs w:val="16"/>
              </w:rPr>
              <w:t>0</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-0.16</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left="6" w:firstLine="0"/>
              <w:jc w:val="left"/>
            </w:pPr>
            <w:r>
              <w:rPr>
                <w:sz w:val="16"/>
                <w:szCs w:val="16"/>
              </w:rPr>
              <w:t>-0.05</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0.75</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0.67</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0.14</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left="6" w:firstLine="0"/>
              <w:jc w:val="left"/>
            </w:pPr>
            <w:r>
              <w:rPr>
                <w:sz w:val="16"/>
                <w:szCs w:val="16"/>
              </w:rPr>
              <w:t>-0.07</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0.72</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0.60</w:t>
            </w:r>
          </w:p>
        </w:tc>
      </w:tr>
    </w:tbl>
    <w:p w:rsidR="00000000" w:rsidRDefault="00A52409">
      <w:pPr>
        <w:ind w:left="-15"/>
      </w:pPr>
      <w:r>
        <w:rPr>
          <w:rStyle w:val="not-translated-para"/>
        </w:rPr>
        <w:t>For collaborative fairness comparison, we only analyze our FPPDL and the distributed framework using DSSGD, neglecting centralized framework and standalone framework, because parties cannot get access to the trained global model in the centralized framewor</w:t>
      </w:r>
      <w:r>
        <w:rPr>
          <w:rStyle w:val="not-translated-para"/>
        </w:rPr>
        <w:t>k, while parties do not collaborate in the standalone framework. Table 3 and Table 4 TABLE 4: Fairness of distributed framework and our FPPDL over SVHN dataset, with different model architectures, different party numbers (P-) and different settings</w:t>
      </w:r>
      <w:r>
        <w:rPr>
          <w:rStyle w:val="not-translated-para"/>
        </w:rPr>
        <w:t>.</w:t>
      </w:r>
      <w:r>
        <w:rPr>
          <w:rStyle w:val="not-translated-para"/>
          <w:rFonts w:ascii="Cambria" w:hAnsi="Cambria"/>
          <w:i/>
          <w:iCs/>
          <w:sz w:val="20"/>
          <w:szCs w:val="20"/>
        </w:rPr>
        <w:t>k</w:t>
      </w:r>
    </w:p>
    <w:tbl>
      <w:tblPr>
        <w:tblW w:w="5032" w:type="dxa"/>
        <w:tblInd w:w="4" w:type="dxa"/>
        <w:tblCellMar>
          <w:left w:w="0" w:type="dxa"/>
          <w:right w:w="0" w:type="dxa"/>
        </w:tblCellMar>
        <w:tblLook w:val="04A0" w:firstRow="1" w:lastRow="0" w:firstColumn="1" w:lastColumn="0" w:noHBand="0" w:noVBand="1"/>
      </w:tblPr>
      <w:tblGrid>
        <w:gridCol w:w="388"/>
        <w:gridCol w:w="626"/>
        <w:gridCol w:w="593"/>
        <w:gridCol w:w="626"/>
        <w:gridCol w:w="594"/>
        <w:gridCol w:w="626"/>
        <w:gridCol w:w="593"/>
        <w:gridCol w:w="493"/>
        <w:gridCol w:w="493"/>
      </w:tblGrid>
      <w:tr w:rsidR="00000000">
        <w:trPr>
          <w:trHeight w:val="188"/>
        </w:trPr>
        <w:tc>
          <w:tcPr>
            <w:tcW w:w="389" w:type="dxa"/>
            <w:vMerge w:val="restart"/>
            <w:tcBorders>
              <w:top w:val="single" w:sz="8" w:space="0" w:color="000000"/>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160" w:line="256" w:lineRule="auto"/>
              <w:ind w:firstLine="0"/>
              <w:jc w:val="left"/>
            </w:pPr>
            <w:r>
              <w:t> </w:t>
            </w:r>
          </w:p>
        </w:tc>
        <w:tc>
          <w:tcPr>
            <w:tcW w:w="2439" w:type="dxa"/>
            <w:gridSpan w:val="4"/>
            <w:tcBorders>
              <w:top w:val="single" w:sz="8" w:space="0" w:color="000000"/>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 xml:space="preserve">Setting </w:t>
            </w:r>
            <w:r>
              <w:rPr>
                <w:rStyle w:val="not-translated-para"/>
                <w:sz w:val="16"/>
                <w:szCs w:val="16"/>
              </w:rPr>
              <w:t>2</w:t>
            </w:r>
          </w:p>
        </w:tc>
        <w:tc>
          <w:tcPr>
            <w:tcW w:w="2205" w:type="dxa"/>
            <w:gridSpan w:val="4"/>
            <w:tcBorders>
              <w:top w:val="single" w:sz="8" w:space="0" w:color="000000"/>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 xml:space="preserve">Setting </w:t>
            </w:r>
            <w:r>
              <w:rPr>
                <w:rStyle w:val="not-translated-para"/>
                <w:sz w:val="16"/>
                <w:szCs w:val="16"/>
              </w:rPr>
              <w:t>3</w:t>
            </w:r>
          </w:p>
        </w:tc>
      </w:tr>
      <w:tr w:rsidR="00000000">
        <w:trPr>
          <w:trHeight w:val="1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A52409">
            <w:pPr>
              <w:spacing w:after="0" w:line="240" w:lineRule="auto"/>
              <w:ind w:firstLine="0"/>
              <w:jc w:val="left"/>
            </w:pPr>
          </w:p>
        </w:tc>
        <w:tc>
          <w:tcPr>
            <w:tcW w:w="1219" w:type="dxa"/>
            <w:gridSpan w:val="2"/>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Distribute</w:t>
            </w:r>
            <w:r>
              <w:rPr>
                <w:rStyle w:val="not-translated-para"/>
                <w:sz w:val="16"/>
                <w:szCs w:val="16"/>
              </w:rPr>
              <w:t>d</w:t>
            </w:r>
          </w:p>
        </w:tc>
        <w:tc>
          <w:tcPr>
            <w:tcW w:w="1219" w:type="dxa"/>
            <w:gridSpan w:val="2"/>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FPPD</w:t>
            </w:r>
            <w:r>
              <w:rPr>
                <w:rStyle w:val="not-translated-para"/>
                <w:sz w:val="16"/>
                <w:szCs w:val="16"/>
              </w:rPr>
              <w:t>L</w:t>
            </w:r>
          </w:p>
        </w:tc>
        <w:tc>
          <w:tcPr>
            <w:tcW w:w="1219" w:type="dxa"/>
            <w:gridSpan w:val="2"/>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3" w:firstLine="0"/>
              <w:jc w:val="center"/>
            </w:pPr>
            <w:r>
              <w:rPr>
                <w:rStyle w:val="not-translated-para"/>
                <w:sz w:val="16"/>
                <w:szCs w:val="16"/>
              </w:rPr>
              <w:t>Distribute</w:t>
            </w:r>
            <w:r>
              <w:rPr>
                <w:rStyle w:val="not-translated-para"/>
                <w:sz w:val="16"/>
                <w:szCs w:val="16"/>
              </w:rPr>
              <w:t>d</w:t>
            </w:r>
          </w:p>
        </w:tc>
        <w:tc>
          <w:tcPr>
            <w:tcW w:w="985" w:type="dxa"/>
            <w:gridSpan w:val="2"/>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rStyle w:val="not-translated-para"/>
                <w:sz w:val="16"/>
                <w:szCs w:val="16"/>
              </w:rPr>
              <w:t>FPPD</w:t>
            </w:r>
            <w:r>
              <w:rPr>
                <w:rStyle w:val="not-translated-para"/>
                <w:sz w:val="16"/>
                <w:szCs w:val="16"/>
              </w:rPr>
              <w:t>L</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160" w:line="256" w:lineRule="auto"/>
              <w:ind w:firstLine="0"/>
              <w:jc w:val="left"/>
            </w:pPr>
            <w:r>
              <w:t> </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pPr>
            <w:r>
              <w:rPr>
                <w:rStyle w:val="not-translated-para"/>
                <w:sz w:val="16"/>
                <w:szCs w:val="16"/>
              </w:rPr>
              <w:t>CN</w:t>
            </w:r>
            <w:r>
              <w:rPr>
                <w:rStyle w:val="not-translated-para"/>
                <w:sz w:val="16"/>
                <w:szCs w:val="16"/>
              </w:rPr>
              <w:t>N</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sz w:val="16"/>
                <w:szCs w:val="16"/>
              </w:rPr>
              <w:t>ML</w:t>
            </w:r>
            <w:r>
              <w:rPr>
                <w:rStyle w:val="not-translated-para"/>
                <w:sz w:val="16"/>
                <w:szCs w:val="16"/>
              </w:rPr>
              <w:t>P</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pPr>
            <w:r>
              <w:rPr>
                <w:rStyle w:val="not-translated-para"/>
                <w:sz w:val="16"/>
                <w:szCs w:val="16"/>
              </w:rPr>
              <w:t>CN</w:t>
            </w:r>
            <w:r>
              <w:rPr>
                <w:rStyle w:val="not-translated-para"/>
                <w:sz w:val="16"/>
                <w:szCs w:val="16"/>
              </w:rPr>
              <w:t>N</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sz w:val="16"/>
                <w:szCs w:val="16"/>
              </w:rPr>
              <w:t>ML</w:t>
            </w:r>
            <w:r>
              <w:rPr>
                <w:rStyle w:val="not-translated-para"/>
                <w:sz w:val="16"/>
                <w:szCs w:val="16"/>
              </w:rPr>
              <w:t>P</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pPr>
            <w:r>
              <w:rPr>
                <w:rStyle w:val="not-translated-para"/>
                <w:sz w:val="16"/>
                <w:szCs w:val="16"/>
              </w:rPr>
              <w:t>CN</w:t>
            </w:r>
            <w:r>
              <w:rPr>
                <w:rStyle w:val="not-translated-para"/>
                <w:sz w:val="16"/>
                <w:szCs w:val="16"/>
              </w:rPr>
              <w:t>N</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sz w:val="16"/>
                <w:szCs w:val="16"/>
              </w:rPr>
              <w:t>ML</w:t>
            </w:r>
            <w:r>
              <w:rPr>
                <w:rStyle w:val="not-translated-para"/>
                <w:sz w:val="16"/>
                <w:szCs w:val="16"/>
              </w:rPr>
              <w:t>P</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0" w:firstLine="0"/>
            </w:pPr>
            <w:r>
              <w:rPr>
                <w:rStyle w:val="not-translated-para"/>
                <w:sz w:val="16"/>
                <w:szCs w:val="16"/>
              </w:rPr>
              <w:t>CN</w:t>
            </w:r>
            <w:r>
              <w:rPr>
                <w:rStyle w:val="not-translated-para"/>
                <w:sz w:val="16"/>
                <w:szCs w:val="16"/>
              </w:rPr>
              <w:t>N</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sz w:val="16"/>
                <w:szCs w:val="16"/>
              </w:rPr>
              <w:t>ML</w:t>
            </w:r>
            <w:r>
              <w:rPr>
                <w:rStyle w:val="not-translated-para"/>
                <w:sz w:val="16"/>
                <w:szCs w:val="16"/>
              </w:rPr>
              <w:t>P</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i/>
                <w:iCs/>
                <w:sz w:val="16"/>
                <w:szCs w:val="16"/>
              </w:rPr>
              <w:t>P</w:t>
            </w:r>
            <w:r>
              <w:rPr>
                <w:rStyle w:val="not-translated-para"/>
                <w:i/>
                <w:iCs/>
                <w:sz w:val="16"/>
                <w:szCs w:val="16"/>
              </w:rPr>
              <w:t>4</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0.27</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0.26</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0.78</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0.76</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0.28</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0.20</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0.97</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0.93</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i/>
                <w:iCs/>
                <w:sz w:val="16"/>
                <w:szCs w:val="16"/>
              </w:rPr>
              <w:t>P1</w:t>
            </w:r>
            <w:r>
              <w:rPr>
                <w:rStyle w:val="not-translated-para"/>
                <w:i/>
                <w:iCs/>
                <w:sz w:val="16"/>
                <w:szCs w:val="16"/>
              </w:rPr>
              <w:t>5</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0.16</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0.19</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0.77</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0.71</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-0.13</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0.16</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0.87</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0.88</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i/>
                <w:iCs/>
                <w:sz w:val="16"/>
                <w:szCs w:val="16"/>
              </w:rPr>
              <w:t>P3</w:t>
            </w:r>
            <w:r>
              <w:rPr>
                <w:rStyle w:val="not-translated-para"/>
                <w:i/>
                <w:iCs/>
                <w:sz w:val="16"/>
                <w:szCs w:val="16"/>
              </w:rPr>
              <w:t>0</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-0.14</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0.12</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0.68</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0.65</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-0.15</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left="6" w:firstLine="0"/>
              <w:jc w:val="left"/>
            </w:pPr>
            <w:r>
              <w:rPr>
                <w:sz w:val="16"/>
                <w:szCs w:val="16"/>
              </w:rPr>
              <w:t>-0.27</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0.67</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0.78</w:t>
            </w:r>
          </w:p>
        </w:tc>
      </w:tr>
      <w:tr w:rsidR="00000000">
        <w:trPr>
          <w:trHeight w:val="188"/>
        </w:trPr>
        <w:tc>
          <w:tcPr>
            <w:tcW w:w="389" w:type="dxa"/>
            <w:tcBorders>
              <w:top w:val="nil"/>
              <w:left w:val="single" w:sz="8" w:space="0" w:color="000000"/>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rStyle w:val="not-translated-para"/>
                <w:i/>
                <w:iCs/>
                <w:sz w:val="16"/>
                <w:szCs w:val="16"/>
              </w:rPr>
              <w:t>P5</w:t>
            </w:r>
            <w:r>
              <w:rPr>
                <w:rStyle w:val="not-translated-para"/>
                <w:i/>
                <w:iCs/>
                <w:sz w:val="16"/>
                <w:szCs w:val="16"/>
              </w:rPr>
              <w:t>0</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-0.25</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left="6" w:firstLine="0"/>
              <w:jc w:val="left"/>
            </w:pPr>
            <w:r>
              <w:rPr>
                <w:sz w:val="16"/>
                <w:szCs w:val="16"/>
              </w:rPr>
              <w:t>-0.37</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0.67</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b/>
                <w:bCs/>
                <w:sz w:val="16"/>
                <w:szCs w:val="16"/>
              </w:rPr>
              <w:t>0.66</w:t>
            </w:r>
          </w:p>
        </w:tc>
        <w:tc>
          <w:tcPr>
            <w:tcW w:w="626"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-0.23</w:t>
            </w:r>
          </w:p>
        </w:tc>
        <w:tc>
          <w:tcPr>
            <w:tcW w:w="5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right="124" w:firstLine="0"/>
              <w:jc w:val="center"/>
            </w:pPr>
            <w:r>
              <w:rPr>
                <w:sz w:val="16"/>
                <w:szCs w:val="16"/>
              </w:rPr>
              <w:t>0.15</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0.65</w:t>
            </w:r>
          </w:p>
        </w:tc>
        <w:tc>
          <w:tcPr>
            <w:tcW w:w="493" w:type="dxa"/>
            <w:tcBorders>
              <w:top w:val="nil"/>
              <w:left w:val="nil"/>
              <w:bottom w:val="single" w:sz="8" w:space="0" w:color="000000"/>
              <w:right w:val="single" w:sz="8" w:space="0" w:color="000000"/>
            </w:tcBorders>
            <w:tcMar>
              <w:top w:w="8" w:type="dxa"/>
              <w:left w:w="124" w:type="dxa"/>
              <w:bottom w:w="0" w:type="dxa"/>
              <w:right w:w="0" w:type="dxa"/>
            </w:tcMar>
            <w:hideMark/>
          </w:tcPr>
          <w:p w:rsidR="00000000" w:rsidRDefault="00A52409">
            <w:pPr>
              <w:spacing w:after="0" w:line="256" w:lineRule="auto"/>
              <w:ind w:firstLine="0"/>
              <w:jc w:val="left"/>
            </w:pPr>
            <w:r>
              <w:rPr>
                <w:b/>
                <w:bCs/>
                <w:sz w:val="16"/>
                <w:szCs w:val="16"/>
              </w:rPr>
              <w:t>0.69</w:t>
            </w:r>
          </w:p>
        </w:tc>
      </w:tr>
    </w:tbl>
    <w:p w:rsidR="00000000" w:rsidRDefault="00A52409">
      <w:pPr>
        <w:ind w:left="-15" w:firstLine="0"/>
      </w:pPr>
      <w:r>
        <w:rPr>
          <w:rStyle w:val="not-translated-para"/>
        </w:rPr>
        <w:t>list the calculated fairness of the distributed framework and our FPPDL over MNIST and SVHN datasets, with different architectures, different party numbers and different settings, as detailed in Section 6.3. In particular, we omit the results for setting 1</w:t>
      </w:r>
      <w:r>
        <w:rPr>
          <w:rStyle w:val="not-translated-para"/>
        </w:rPr>
        <w:t xml:space="preserve"> with the same sharing level and same data size, as fairness is a less concerned problem in this setting. All the fairness results for setting 2 and setting 3 are averaged over five trails to reduce the impact of different initialization in each trail</w:t>
      </w:r>
      <w:r>
        <w:rPr>
          <w:rStyle w:val="not-translated-para"/>
        </w:rPr>
        <w:t>.</w:t>
      </w:r>
    </w:p>
    <w:p w:rsidR="00000000" w:rsidRDefault="00A52409">
      <w:pPr>
        <w:ind w:left="-15"/>
      </w:pPr>
      <w:r>
        <w:rPr>
          <w:rStyle w:val="not-translated-para"/>
        </w:rPr>
        <w:t xml:space="preserve">As </w:t>
      </w:r>
      <w:r>
        <w:rPr>
          <w:rStyle w:val="not-translated-para"/>
        </w:rPr>
        <w:t>is evidenced by the high positive values of fairness, with most of them above 0.5, FPPDL achieves reasonably good fairness, confirming the intuition behind fairness: the party who is less private and has more training data delivers higher accuracy. In cont</w:t>
      </w:r>
      <w:r>
        <w:rPr>
          <w:rStyle w:val="not-translated-para"/>
        </w:rPr>
        <w:t>rast, the distributed framework exhibits bad fairness with significantly lower values than that of FPPDL in all cases, and even negative values in some cases, manifesting the lack of fairness in the distributed framework. This is because in the distributed</w:t>
      </w:r>
      <w:r>
        <w:rPr>
          <w:rStyle w:val="not-translated-para"/>
        </w:rPr>
        <w:t xml:space="preserve"> framework, all the participating parties can derive similarly well models, no matter how much one party contributes</w:t>
      </w:r>
      <w:r>
        <w:rPr>
          <w:rStyle w:val="not-translated-para"/>
        </w:rPr>
        <w:t>.</w:t>
      </w:r>
    </w:p>
    <w:p w:rsidR="00000000" w:rsidRDefault="00A52409">
      <w:pPr>
        <w:ind w:left="-15"/>
      </w:pPr>
      <w:r>
        <w:rPr>
          <w:rStyle w:val="not-translated-para"/>
          <w:b/>
          <w:bCs/>
        </w:rPr>
        <w:t>System-level Convergenc</w:t>
      </w:r>
      <w:r>
        <w:rPr>
          <w:rStyle w:val="not-translated-para"/>
          <w:b/>
          <w:bCs/>
        </w:rPr>
        <w:t>e</w:t>
      </w:r>
      <w:r>
        <w:rPr>
          <w:rStyle w:val="not-translated-para"/>
        </w:rPr>
        <w:t>. For accuracy comparison, following [11], we report the best accuracy when running the distributed framework usin</w:t>
      </w:r>
      <w:r>
        <w:rPr>
          <w:rStyle w:val="not-translated-para"/>
        </w:rPr>
        <w:t>g DSSGD and our FPPDL on MNIST dataset. For DSSGD, we adopted round robin protocol, and set the upload rate as 0.1 (= 0.1) [11], which is equivalent to our Setting 1, we omit the learning curves of DSSGD in Setting 2 and Setting 3 as they approximate the l</w:t>
      </w:r>
      <w:r>
        <w:rPr>
          <w:rStyle w:val="not-translated-para"/>
        </w:rPr>
        <w:t xml:space="preserve">earning curve in Setting 1. Fig. 6 and Fig. 7 present the accuracy trajectories when running different frameworks over MNIST with MLP and CNN architectures. The x-axis corresponds to epochs (communication rounds) (1 round=1 epoch, when the number of local </w:t>
      </w:r>
      <w:r>
        <w:rPr>
          <w:rStyle w:val="not-translated-para"/>
        </w:rPr>
        <w:t>epochs = 1), and y axis corresponds to the maximum accuracy achieved by all parties in each round, hence the curve of our FPPDL is not necessarily associated with a particular party, but it is expected that the highest accuracy is achieved by the most cont</w:t>
      </w:r>
      <w:r>
        <w:rPr>
          <w:rStyle w:val="not-translated-para"/>
        </w:rPr>
        <w:t>ributive party in our FPPDL, as demonstrated by the individual convergence in Fig. 9, Fig. 10 and Fig. 11</w:t>
      </w:r>
      <w:r>
        <w:rPr>
          <w:rStyle w:val="not-translated-para"/>
        </w:rPr>
        <w:t>.</w:t>
      </w:r>
      <w:r>
        <w:rPr>
          <w:rStyle w:val="not-translated-para"/>
          <w:rFonts w:ascii="Cambria" w:hAnsi="Cambria"/>
          <w:i/>
          <w:iCs/>
          <w:sz w:val="20"/>
          <w:szCs w:val="20"/>
        </w:rPr>
        <w:t>θu</w:t>
      </w:r>
      <w:r>
        <w:rPr>
          <w:rStyle w:val="not-translated-para"/>
          <w:rFonts w:ascii="Cambria" w:hAnsi="Cambria"/>
          <w:i/>
          <w:iCs/>
          <w:sz w:val="20"/>
          <w:szCs w:val="20"/>
        </w:rPr>
        <w:t xml:space="preserve"> </w:t>
      </w:r>
      <w:r>
        <w:rPr>
          <w:rStyle w:val="not-translated-para"/>
          <w:rFonts w:ascii="Cambria" w:hAnsi="Cambria"/>
          <w:i/>
          <w:iCs/>
          <w:sz w:val="20"/>
          <w:szCs w:val="20"/>
        </w:rPr>
        <w:t>E</w:t>
      </w:r>
      <w:r>
        <w:rPr>
          <w:rStyle w:val="not-translated-para"/>
          <w:rFonts w:ascii="Cambria" w:hAnsi="Cambria"/>
          <w:i/>
          <w:iCs/>
          <w:sz w:val="20"/>
          <w:szCs w:val="20"/>
        </w:rPr>
        <w:t xml:space="preserve"> </w:t>
      </w:r>
    </w:p>
    <w:tbl>
      <w:tblPr>
        <w:tblpPr w:vertAnchor="text"/>
        <w:tblW w:w="10320" w:type="dxa"/>
        <w:tblCellMar>
          <w:left w:w="0" w:type="dxa"/>
          <w:right w:w="0" w:type="dxa"/>
        </w:tblCellMar>
        <w:tblLook w:val="04A0" w:firstRow="1" w:lastRow="0" w:firstColumn="1" w:lastColumn="0" w:noHBand="0" w:noVBand="1"/>
      </w:tblPr>
      <w:tblGrid>
        <w:gridCol w:w="10320"/>
      </w:tblGrid>
      <w:tr w:rsidR="00000000">
        <w:trPr>
          <w:trHeight w:val="3032"/>
        </w:trPr>
        <w:tc>
          <w:tcPr>
            <w:tcW w:w="9583" w:type="dxa"/>
            <w:tcMar>
              <w:top w:w="0" w:type="dxa"/>
              <w:left w:w="368" w:type="dxa"/>
              <w:bottom w:w="2" w:type="dxa"/>
              <w:right w:w="368" w:type="dxa"/>
            </w:tcMar>
            <w:vAlign w:val="bottom"/>
            <w:hideMark/>
          </w:tcPr>
          <w:p w:rsidR="00000000" w:rsidRDefault="00A52409">
            <w:pPr>
              <w:spacing w:after="273" w:line="256" w:lineRule="auto"/>
              <w:ind w:left="16" w:firstLine="0"/>
              <w:jc w:val="left"/>
            </w:pPr>
            <w:r>
              <w:rPr>
                <w:noProof/>
              </w:rPr>
              <w:drawing>
                <wp:inline distT="0" distB="0" distL="0" distR="0">
                  <wp:extent cx="6000750" cy="1276350"/>
                  <wp:effectExtent l="0" t="0" r="0" b="0"/>
                  <wp:docPr id="27" name="Picture 17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84"/>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6000750" cy="1276350"/>
                          </a:xfrm>
                          <a:prstGeom prst="rect">
                            <a:avLst/>
                          </a:prstGeom>
                          <a:noFill/>
                          <a:ln>
                            <a:noFill/>
                          </a:ln>
                        </pic:spPr>
                      </pic:pic>
                    </a:graphicData>
                  </a:graphic>
                </wp:inline>
              </w:drawing>
            </w:r>
          </w:p>
          <w:p w:rsidR="00000000" w:rsidRDefault="00A52409">
            <w:pPr>
              <w:spacing w:after="94" w:line="256" w:lineRule="auto"/>
              <w:ind w:left="32" w:firstLine="0"/>
            </w:pPr>
            <w:r>
              <w:rPr>
                <w:rStyle w:val="not-translated-para"/>
              </w:rPr>
              <w:t xml:space="preserve">Fig. 6: System convergence </w:t>
            </w:r>
            <w:r>
              <w:rPr>
                <w:rStyle w:val="not-translated-para"/>
              </w:rPr>
              <w:t>for MNIST MLP. Collaboration involves different number of parties in {4,15,30,50}</w:t>
            </w:r>
            <w:r>
              <w:rPr>
                <w:rStyle w:val="not-translated-para"/>
              </w:rPr>
              <w:t>.</w:t>
            </w:r>
          </w:p>
          <w:p w:rsidR="00000000" w:rsidRDefault="00A52409">
            <w:pPr>
              <w:spacing w:after="271" w:line="256" w:lineRule="auto"/>
              <w:ind w:left="16" w:firstLine="0"/>
              <w:jc w:val="left"/>
            </w:pPr>
            <w:r>
              <w:rPr>
                <w:noProof/>
              </w:rPr>
              <w:drawing>
                <wp:inline distT="0" distB="0" distL="0" distR="0">
                  <wp:extent cx="6000750" cy="1276350"/>
                  <wp:effectExtent l="0" t="0" r="0" b="0"/>
                  <wp:docPr id="28" name="Picture 17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86"/>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000750" cy="1276350"/>
                          </a:xfrm>
                          <a:prstGeom prst="rect">
                            <a:avLst/>
                          </a:prstGeom>
                          <a:noFill/>
                          <a:ln>
                            <a:noFill/>
                          </a:ln>
                        </pic:spPr>
                      </pic:pic>
                    </a:graphicData>
                  </a:graphic>
                </wp:inline>
              </w:drawing>
            </w:r>
          </w:p>
          <w:p w:rsidR="00000000" w:rsidRDefault="00A52409">
            <w:pPr>
              <w:spacing w:after="0" w:line="256" w:lineRule="auto"/>
              <w:ind w:firstLine="0"/>
            </w:pPr>
            <w:r>
              <w:rPr>
                <w:rStyle w:val="not-translated-para"/>
              </w:rPr>
              <w:t>Fig. 7: System convergence for MNIST CNN. Collaboration involves different number of parties in {4,15,30,50}</w:t>
            </w:r>
            <w:r>
              <w:rPr>
                <w:rStyle w:val="not-translated-para"/>
              </w:rPr>
              <w:t>.</w:t>
            </w:r>
          </w:p>
        </w:tc>
      </w:tr>
    </w:tbl>
    <w:p w:rsidR="00000000" w:rsidRDefault="00A52409">
      <w:pPr>
        <w:spacing w:after="89"/>
        <w:ind w:left="-15"/>
      </w:pPr>
      <w:r>
        <w:rPr>
          <w:rStyle w:val="not-translated-para"/>
        </w:rPr>
        <w:t>Note that the convergences of the standalone framework in Se</w:t>
      </w:r>
      <w:r>
        <w:rPr>
          <w:rStyle w:val="not-translated-para"/>
        </w:rPr>
        <w:t>tting 1 and Setting 2 are the same, as these two settings share the same data shard. It can be observed that FPPDL did not change the overall behavior of convergence in all settings, while achieving comparable accuracy to the non-private frameworks, and de</w:t>
      </w:r>
      <w:r>
        <w:rPr>
          <w:rStyle w:val="not-translated-para"/>
        </w:rPr>
        <w:t>livering both fairness and privacy. We notice that our FPPDL achieves slightly slower convergence rate and more fluctuations (especially in early stages of convergence) compared to the distributed framework, this is partly attributed to the individual trai</w:t>
      </w:r>
      <w:r>
        <w:rPr>
          <w:rStyle w:val="not-translated-para"/>
        </w:rPr>
        <w:t>ning of 10 epochs before collaborative learning starts, as we found that collaboration from the state of 10 epochs of local training results in better fairness than the collaboration from the beginning</w:t>
      </w:r>
      <w:r>
        <w:rPr>
          <w:rStyle w:val="not-translated-para"/>
        </w:rPr>
        <w:t>.</w:t>
      </w:r>
    </w:p>
    <w:p w:rsidR="00000000" w:rsidRDefault="00A52409">
      <w:pPr>
        <w:spacing w:after="89"/>
        <w:ind w:left="-15"/>
      </w:pPr>
      <w:r>
        <w:rPr>
          <w:rStyle w:val="not-translated-para"/>
        </w:rPr>
        <w:t>Another important reason is that to strike a good bal</w:t>
      </w:r>
      <w:r>
        <w:rPr>
          <w:rStyle w:val="not-translated-para"/>
        </w:rPr>
        <w:t xml:space="preserve">ance between computational efficiency, communication cost and convergence rate, we enforce parties to share their local model updates after each epoch of local training (= 1), where the shared gradients is the average of the gradients over the whole local </w:t>
      </w:r>
      <w:r>
        <w:rPr>
          <w:rStyle w:val="not-translated-para"/>
        </w:rPr>
        <w:t xml:space="preserve">training data, rather than a single example, a mini-batch or multiple local epochs, which may also affect convergence. We hypothesise that the convergence rate is also closely related with our chosen hyperparameters = 1,E = 1,lr = 0.001 (: number of local </w:t>
      </w:r>
      <w:r>
        <w:rPr>
          <w:rStyle w:val="not-translated-para"/>
        </w:rPr>
        <w:t>training epochs in each communication round; : local batch size; : local learning rate). Better convergence can be achieved by varying the amount of local computation per communication round, local batch size or the learning rate, as indicated in Fig. 8 an</w:t>
      </w:r>
      <w:r>
        <w:rPr>
          <w:rStyle w:val="not-translated-para"/>
        </w:rPr>
        <w:t>d Fig. 11 by using B=10, E=5, lr=0.15</w:t>
      </w:r>
      <w:r>
        <w:rPr>
          <w:rStyle w:val="not-translated-para"/>
        </w:rPr>
        <w:t>.</w:t>
      </w:r>
      <w:r>
        <w:rPr>
          <w:rStyle w:val="not-translated-para"/>
          <w:rFonts w:ascii="Cambria" w:hAnsi="Cambria"/>
          <w:i/>
          <w:iCs/>
          <w:sz w:val="20"/>
          <w:szCs w:val="20"/>
        </w:rPr>
        <w:t>E</w:t>
      </w:r>
      <w:r>
        <w:rPr>
          <w:rStyle w:val="not-translated-para"/>
          <w:rFonts w:ascii="Cambria" w:hAnsi="Cambria"/>
          <w:i/>
          <w:iCs/>
          <w:sz w:val="20"/>
          <w:szCs w:val="20"/>
        </w:rPr>
        <w:t xml:space="preserve"> </w:t>
      </w:r>
      <w:r>
        <w:rPr>
          <w:rStyle w:val="not-translated-para"/>
          <w:rFonts w:ascii="Cambria" w:hAnsi="Cambria"/>
          <w:i/>
          <w:iCs/>
          <w:sz w:val="20"/>
          <w:szCs w:val="20"/>
        </w:rPr>
        <w:t>B</w:t>
      </w:r>
      <w:r>
        <w:rPr>
          <w:rStyle w:val="not-translated-para"/>
          <w:rFonts w:ascii="Cambria" w:hAnsi="Cambria"/>
          <w:i/>
          <w:iCs/>
          <w:sz w:val="20"/>
          <w:szCs w:val="20"/>
        </w:rPr>
        <w:t xml:space="preserve"> </w:t>
      </w:r>
      <w:r>
        <w:rPr>
          <w:rStyle w:val="not-translated-para"/>
          <w:rFonts w:ascii="Cambria" w:hAnsi="Cambria"/>
          <w:i/>
          <w:iCs/>
          <w:sz w:val="20"/>
          <w:szCs w:val="20"/>
        </w:rPr>
        <w:t>E</w:t>
      </w:r>
      <w:r>
        <w:rPr>
          <w:rStyle w:val="not-translated-para"/>
          <w:rFonts w:ascii="Cambria" w:hAnsi="Cambria"/>
          <w:i/>
          <w:iCs/>
          <w:sz w:val="20"/>
          <w:szCs w:val="20"/>
        </w:rPr>
        <w:t>B</w:t>
      </w:r>
      <w:r>
        <w:rPr>
          <w:rStyle w:val="not-translated-para"/>
          <w:rFonts w:ascii="Cambria" w:hAnsi="Cambria"/>
          <w:i/>
          <w:iCs/>
          <w:sz w:val="20"/>
          <w:szCs w:val="20"/>
        </w:rPr>
        <w:t>l</w:t>
      </w:r>
      <w:r>
        <w:rPr>
          <w:rStyle w:val="not-translated-para"/>
          <w:rFonts w:ascii="Cambria" w:hAnsi="Cambria"/>
          <w:i/>
          <w:iCs/>
          <w:sz w:val="20"/>
          <w:szCs w:val="20"/>
        </w:rPr>
        <w:t>r</w:t>
      </w:r>
    </w:p>
    <w:p w:rsidR="00000000" w:rsidRDefault="00A52409">
      <w:pPr>
        <w:spacing w:after="90"/>
        <w:ind w:left="-15"/>
      </w:pPr>
      <w:r>
        <w:rPr>
          <w:rStyle w:val="not-translated-para"/>
          <w:b/>
          <w:bCs/>
        </w:rPr>
        <w:t>Individual Convergenc</w:t>
      </w:r>
      <w:r>
        <w:rPr>
          <w:rStyle w:val="not-translated-para"/>
          <w:b/>
          <w:bCs/>
        </w:rPr>
        <w:t>e</w:t>
      </w:r>
      <w:r>
        <w:rPr>
          <w:rStyle w:val="not-translated-para"/>
        </w:rPr>
        <w:t>. To investigate the impact of our FPPDL on individual convergence, Fig. 9 and Fig. 10 further depict the accuracy trajectory of each party when running Standalone framework and our FPPDL</w:t>
      </w:r>
      <w:r>
        <w:rPr>
          <w:rStyle w:val="not-translated-para"/>
        </w:rPr>
        <w:t xml:space="preserve"> with CNN architecture over MNIST across 100 communication rounds. For the sake of brevity, we only report experimental results obtained for the collaboration among 4 parties and 15 parties in Setting 2 and Setting 3. It can be observed that our FPPDL cons</w:t>
      </w:r>
      <w:r>
        <w:rPr>
          <w:rStyle w:val="not-translated-para"/>
        </w:rPr>
        <w:t>istently delivers better accuracy than any standalone model obtained by any individual party, at the cost of slower convergence and more fluctuation. However, most parties can converge within the first 20 rounds, except those with lower standalone accuracy</w:t>
      </w:r>
      <w:r>
        <w:rPr>
          <w:rStyle w:val="not-translated-para"/>
        </w:rPr>
        <w:t>. For example, in Figure 10 (d), party 4 and party 9 encounter higher fluctuations compared with the other parties with higher standalone accuracy. More importantly, these figures confirm that our FPPDL enforces all parties to converge to different local m</w:t>
      </w:r>
      <w:r>
        <w:rPr>
          <w:rStyle w:val="not-translated-para"/>
        </w:rPr>
        <w:t>odels, which are better than their standalone models without any collaboration, thereby offering fairness as claimed</w:t>
      </w:r>
      <w:r>
        <w:rPr>
          <w:rStyle w:val="not-translated-para"/>
        </w:rPr>
        <w:t>.</w:t>
      </w:r>
    </w:p>
    <w:p w:rsidR="00000000" w:rsidRDefault="00A52409">
      <w:pPr>
        <w:spacing w:after="107"/>
        <w:ind w:left="-15"/>
      </w:pPr>
      <w:r>
        <w:rPr>
          <w:rStyle w:val="not-translated-para"/>
        </w:rPr>
        <w:t>To speed up convergence and alleviate fluctuations, we further experiment with larger number of local epochs, larger local batch size, and</w:t>
      </w:r>
      <w:r>
        <w:rPr>
          <w:rStyle w:val="not-translated-para"/>
        </w:rPr>
        <w:t xml:space="preserve"> higher learning rate. As corroborated by Fig. 11, by setting = 10,E = 5,lr = 0.15, each party can converge faster, without affecting both accuracy and fairness. For example, for P15 in Figure 10 (d), it needs 65 communication rounds for all parties to con</w:t>
      </w:r>
      <w:r>
        <w:rPr>
          <w:rStyle w:val="not-translated-para"/>
        </w:rPr>
        <w:t>verge using = 1,E = 1,lr = 0.001, while it only needs 50 communication rounds using = 10,E = 5,lr = 0.15 in Figure 11 (d). However, this faster convergence and less fluctuations come at the cost of local computation at each party</w:t>
      </w:r>
      <w:r>
        <w:rPr>
          <w:rStyle w:val="not-translated-para"/>
        </w:rPr>
        <w:t>.</w:t>
      </w:r>
      <w:r>
        <w:rPr>
          <w:rStyle w:val="not-translated-para"/>
          <w:rFonts w:ascii="Cambria" w:hAnsi="Cambria"/>
          <w:i/>
          <w:iCs/>
          <w:sz w:val="20"/>
          <w:szCs w:val="20"/>
        </w:rPr>
        <w:t>B</w:t>
      </w:r>
      <w:r>
        <w:rPr>
          <w:rStyle w:val="not-translated-para"/>
          <w:rFonts w:ascii="Cambria" w:hAnsi="Cambria"/>
          <w:i/>
          <w:iCs/>
          <w:sz w:val="20"/>
          <w:szCs w:val="20"/>
        </w:rPr>
        <w:t xml:space="preserve"> </w:t>
      </w:r>
      <w:r>
        <w:rPr>
          <w:rStyle w:val="not-translated-para"/>
          <w:rFonts w:ascii="Cambria" w:hAnsi="Cambria"/>
          <w:i/>
          <w:iCs/>
          <w:sz w:val="20"/>
          <w:szCs w:val="20"/>
        </w:rPr>
        <w:t>B</w:t>
      </w:r>
      <w:r>
        <w:rPr>
          <w:rStyle w:val="not-translated-para"/>
          <w:rFonts w:ascii="Cambria" w:hAnsi="Cambria"/>
          <w:i/>
          <w:iCs/>
          <w:sz w:val="20"/>
          <w:szCs w:val="20"/>
        </w:rPr>
        <w:t xml:space="preserve"> </w:t>
      </w:r>
      <w:r>
        <w:rPr>
          <w:rStyle w:val="not-translated-para"/>
          <w:rFonts w:ascii="Cambria" w:hAnsi="Cambria"/>
          <w:i/>
          <w:iCs/>
          <w:sz w:val="20"/>
          <w:szCs w:val="20"/>
        </w:rPr>
        <w:t>B</w:t>
      </w:r>
      <w:r>
        <w:rPr>
          <w:rStyle w:val="not-translated-para"/>
          <w:rFonts w:ascii="Cambria" w:hAnsi="Cambria"/>
          <w:i/>
          <w:iCs/>
          <w:sz w:val="20"/>
          <w:szCs w:val="20"/>
        </w:rPr>
        <w:t xml:space="preserve"> </w:t>
      </w:r>
    </w:p>
    <w:tbl>
      <w:tblPr>
        <w:tblpPr w:vertAnchor="text"/>
        <w:tblW w:w="10320" w:type="dxa"/>
        <w:tblCellMar>
          <w:left w:w="0" w:type="dxa"/>
          <w:right w:w="0" w:type="dxa"/>
        </w:tblCellMar>
        <w:tblLook w:val="04A0" w:firstRow="1" w:lastRow="0" w:firstColumn="1" w:lastColumn="0" w:noHBand="0" w:noVBand="1"/>
      </w:tblPr>
      <w:tblGrid>
        <w:gridCol w:w="10320"/>
      </w:tblGrid>
      <w:tr w:rsidR="00000000">
        <w:trPr>
          <w:trHeight w:val="9619"/>
        </w:trPr>
        <w:tc>
          <w:tcPr>
            <w:tcW w:w="10155" w:type="dxa"/>
            <w:tcMar>
              <w:top w:w="0" w:type="dxa"/>
              <w:left w:w="83" w:type="dxa"/>
              <w:bottom w:w="0" w:type="dxa"/>
              <w:right w:w="83" w:type="dxa"/>
            </w:tcMar>
            <w:vAlign w:val="bottom"/>
            <w:hideMark/>
          </w:tcPr>
          <w:p w:rsidR="00000000" w:rsidRDefault="00A52409">
            <w:pPr>
              <w:spacing w:after="204" w:line="256" w:lineRule="auto"/>
              <w:ind w:left="303" w:firstLine="0"/>
              <w:jc w:val="left"/>
            </w:pPr>
            <w:r>
              <w:rPr>
                <w:noProof/>
              </w:rPr>
              <w:drawing>
                <wp:inline distT="0" distB="0" distL="0" distR="0">
                  <wp:extent cx="6029325" cy="1524000"/>
                  <wp:effectExtent l="0" t="0" r="9525" b="0"/>
                  <wp:docPr id="29" name="Picture 17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88"/>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6029325" cy="1524000"/>
                          </a:xfrm>
                          <a:prstGeom prst="rect">
                            <a:avLst/>
                          </a:prstGeom>
                          <a:noFill/>
                          <a:ln>
                            <a:noFill/>
                          </a:ln>
                        </pic:spPr>
                      </pic:pic>
                    </a:graphicData>
                  </a:graphic>
                </wp:inline>
              </w:drawing>
            </w:r>
          </w:p>
          <w:p w:rsidR="00000000" w:rsidRDefault="00A52409">
            <w:pPr>
              <w:spacing w:after="92" w:line="256" w:lineRule="auto"/>
              <w:ind w:left="65" w:firstLine="0"/>
            </w:pPr>
            <w:r>
              <w:rPr>
                <w:rStyle w:val="not-translated-para"/>
              </w:rPr>
              <w:t>Fig. 8: System co</w:t>
            </w:r>
            <w:r>
              <w:rPr>
                <w:rStyle w:val="not-translated-para"/>
              </w:rPr>
              <w:t>nvergence for MNIST MLP and CNN using our FPPDL in Setting 2 and Setting 3 (B=10, E=5, lr=0.15)</w:t>
            </w:r>
            <w:r>
              <w:rPr>
                <w:rStyle w:val="not-translated-para"/>
              </w:rPr>
              <w:t>.</w:t>
            </w:r>
          </w:p>
          <w:p w:rsidR="00000000" w:rsidRDefault="00A52409">
            <w:pPr>
              <w:spacing w:after="207" w:line="256" w:lineRule="auto"/>
              <w:ind w:left="303" w:firstLine="0"/>
              <w:jc w:val="left"/>
            </w:pPr>
            <w:r>
              <w:rPr>
                <w:noProof/>
              </w:rPr>
              <w:drawing>
                <wp:inline distT="0" distB="0" distL="0" distR="0">
                  <wp:extent cx="6000750" cy="1524000"/>
                  <wp:effectExtent l="0" t="0" r="0" b="0"/>
                  <wp:docPr id="30" name="Picture 17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9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6000750" cy="1524000"/>
                          </a:xfrm>
                          <a:prstGeom prst="rect">
                            <a:avLst/>
                          </a:prstGeom>
                          <a:noFill/>
                          <a:ln>
                            <a:noFill/>
                          </a:ln>
                        </pic:spPr>
                      </pic:pic>
                    </a:graphicData>
                  </a:graphic>
                </wp:inline>
              </w:drawing>
            </w:r>
          </w:p>
          <w:p w:rsidR="00000000" w:rsidRDefault="00A52409">
            <w:pPr>
              <w:spacing w:after="94" w:line="256" w:lineRule="auto"/>
              <w:ind w:left="95" w:firstLine="0"/>
            </w:pPr>
            <w:r>
              <w:rPr>
                <w:rStyle w:val="not-translated-para"/>
              </w:rPr>
              <w:t>Fig. 9: Individual convergence for MNIST CNN using Standalone framework and our FPPDL (P4, B=1, E=1, lr=0.001)</w:t>
            </w:r>
            <w:r>
              <w:rPr>
                <w:rStyle w:val="not-translated-para"/>
              </w:rPr>
              <w:t>.</w:t>
            </w:r>
          </w:p>
          <w:p w:rsidR="00000000" w:rsidRDefault="00A52409">
            <w:pPr>
              <w:spacing w:after="204" w:line="256" w:lineRule="auto"/>
              <w:ind w:left="303" w:firstLine="0"/>
              <w:jc w:val="left"/>
            </w:pPr>
            <w:r>
              <w:rPr>
                <w:noProof/>
              </w:rPr>
              <w:drawing>
                <wp:inline distT="0" distB="0" distL="0" distR="0">
                  <wp:extent cx="6000750" cy="1524000"/>
                  <wp:effectExtent l="0" t="0" r="0" b="0"/>
                  <wp:docPr id="31" name="Picture 17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92"/>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6000750" cy="1524000"/>
                          </a:xfrm>
                          <a:prstGeom prst="rect">
                            <a:avLst/>
                          </a:prstGeom>
                          <a:noFill/>
                          <a:ln>
                            <a:noFill/>
                          </a:ln>
                        </pic:spPr>
                      </pic:pic>
                    </a:graphicData>
                  </a:graphic>
                </wp:inline>
              </w:drawing>
            </w:r>
          </w:p>
          <w:p w:rsidR="00000000" w:rsidRDefault="00A52409">
            <w:pPr>
              <w:spacing w:after="92" w:line="256" w:lineRule="auto"/>
              <w:ind w:firstLine="0"/>
            </w:pPr>
            <w:r>
              <w:rPr>
                <w:rStyle w:val="not-translated-para"/>
              </w:rPr>
              <w:t>Fig. 10: Individu</w:t>
            </w:r>
            <w:r>
              <w:rPr>
                <w:rStyle w:val="not-translated-para"/>
              </w:rPr>
              <w:t>al convergence for MNIST CNN using Standalone framework and our FPPDL (P15, B=1, E=1, lr=0.001)</w:t>
            </w:r>
            <w:r>
              <w:rPr>
                <w:rStyle w:val="not-translated-para"/>
              </w:rPr>
              <w:t>.</w:t>
            </w:r>
          </w:p>
          <w:p w:rsidR="00000000" w:rsidRDefault="00A52409">
            <w:pPr>
              <w:spacing w:after="207" w:line="256" w:lineRule="auto"/>
              <w:ind w:left="303" w:firstLine="0"/>
              <w:jc w:val="left"/>
            </w:pPr>
            <w:r>
              <w:rPr>
                <w:noProof/>
              </w:rPr>
              <w:drawing>
                <wp:inline distT="0" distB="0" distL="0" distR="0">
                  <wp:extent cx="6000750" cy="1524000"/>
                  <wp:effectExtent l="0" t="0" r="0" b="0"/>
                  <wp:docPr id="32" name="Picture 17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94"/>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6000750" cy="1524000"/>
                          </a:xfrm>
                          <a:prstGeom prst="rect">
                            <a:avLst/>
                          </a:prstGeom>
                          <a:noFill/>
                          <a:ln>
                            <a:noFill/>
                          </a:ln>
                        </pic:spPr>
                      </pic:pic>
                    </a:graphicData>
                  </a:graphic>
                </wp:inline>
              </w:drawing>
            </w:r>
          </w:p>
          <w:p w:rsidR="00000000" w:rsidRDefault="00A52409">
            <w:pPr>
              <w:spacing w:after="0" w:line="256" w:lineRule="auto"/>
              <w:ind w:firstLine="0"/>
              <w:jc w:val="center"/>
            </w:pPr>
            <w:r>
              <w:rPr>
                <w:rStyle w:val="not-translated-para"/>
              </w:rPr>
              <w:t>Fig. 11: Individual convergence for MNIST CNN using our FPPDL in P4 and P15 (B=10, E=5, lr=0.15)</w:t>
            </w:r>
            <w:r>
              <w:rPr>
                <w:rStyle w:val="not-translated-para"/>
              </w:rPr>
              <w:t>.</w:t>
            </w:r>
          </w:p>
        </w:tc>
      </w:tr>
    </w:tbl>
    <w:p w:rsidR="00000000" w:rsidRDefault="00A52409">
      <w:pPr>
        <w:spacing w:after="185"/>
        <w:ind w:left="-15"/>
      </w:pPr>
      <w:r>
        <w:rPr>
          <w:rStyle w:val="not-translated-para"/>
        </w:rPr>
        <w:t>Table 5 provides the accuracy results we obtain when runni</w:t>
      </w:r>
      <w:r>
        <w:rPr>
          <w:rStyle w:val="not-translated-para"/>
        </w:rPr>
        <w:t xml:space="preserve">ng different frameworks on MNIST dataset of {4,15,30,50} parties for different neural network architectures. For all frameworks, we report the best accuracy the system can achieve across all rounds. In particular, in our FPPDL, fairness enables each party </w:t>
      </w:r>
      <w:r>
        <w:rPr>
          <w:rStyle w:val="not-translated-para"/>
        </w:rPr>
        <w:t>to get a different local model after collaborative learning, and we expect that the most contributive party derives a local model with maximum accuracy approximating the non-private centralized and distributed frameworks. Similarly, Table 6 provides the ac</w:t>
      </w:r>
      <w:r>
        <w:rPr>
          <w:rStyle w:val="not-translated-para"/>
        </w:rPr>
        <w:t>curacy on SVHN dataset. For both MNIST and SVHN datasets using CNN and MLP architectures, we show the worst accuracy for standalone SGD (minimum utility, maximum privacy). In particular, FPPDL obtains comparable accuracy (less than 2%) to both the centrali</w:t>
      </w:r>
      <w:r>
        <w:rPr>
          <w:rStyle w:val="not-translated-para"/>
        </w:rPr>
        <w:t>zed framework and the distributed framework using DSSGD without differential privacy, and consistently achieves higher accuracy than the standalone SGD. For example, as shown in Table 5, for MNIST dataset of 50 parties with CNN model, our FPPDL achieves 98</w:t>
      </w:r>
      <w:r>
        <w:rPr>
          <w:rStyle w:val="not-translated-para"/>
        </w:rPr>
        <w:t>.07%-98.22% test accuracy under different settings, which is higher than the standalone SGD 94.05%, and comparable to 98.83% of the distributed framework using DSSGD without differential privacy, and 98.58% of the centralized framework</w:t>
      </w:r>
      <w:r>
        <w:rPr>
          <w:rStyle w:val="not-translated-para"/>
        </w:rPr>
        <w:t>.</w:t>
      </w:r>
    </w:p>
    <w:p w:rsidR="00000000" w:rsidRDefault="00A52409">
      <w:pPr>
        <w:spacing w:after="201"/>
        <w:ind w:left="-15"/>
      </w:pPr>
      <w:r>
        <w:rPr>
          <w:rStyle w:val="not-translated-para"/>
        </w:rPr>
        <w:t xml:space="preserve">The above fairness </w:t>
      </w:r>
      <w:r>
        <w:rPr>
          <w:rStyle w:val="not-translated-para"/>
        </w:rPr>
        <w:t>results in Table 3 and Table 4, and accuracy results in Table 5 and Table 6 demonstrate that our proposed framework FPPDL achieves reasonable fairness, at the expense of a tiny decrease in model utility</w:t>
      </w:r>
      <w:r>
        <w:rPr>
          <w:rStyle w:val="not-translated-para"/>
        </w:rPr>
        <w:t>.</w:t>
      </w:r>
    </w:p>
    <w:p w:rsidR="00000000" w:rsidRDefault="00A52409">
      <w:pPr>
        <w:ind w:left="-15"/>
      </w:pPr>
      <w:r>
        <w:rPr>
          <w:rStyle w:val="not-translated-para"/>
        </w:rPr>
        <w:t>Moreover, to investigate how fairness and accuracy c</w:t>
      </w:r>
      <w:r>
        <w:rPr>
          <w:rStyle w:val="not-translated-para"/>
        </w:rPr>
        <w:t>hange with the local credibility threshold , we implement a four-party scenario (P4) under both normal setting</w:t>
      </w:r>
      <w:r>
        <w:rPr>
          <w:rStyle w:val="not-translated-para"/>
        </w:rPr>
        <w:t>s</w:t>
      </w:r>
      <w:r>
        <w:rPr>
          <w:rStyle w:val="not-translated-para"/>
          <w:rFonts w:ascii="Cambria" w:hAnsi="Cambria"/>
          <w:i/>
          <w:iCs/>
          <w:sz w:val="20"/>
          <w:szCs w:val="20"/>
        </w:rPr>
        <w:t>ct</w:t>
      </w:r>
      <w:r>
        <w:rPr>
          <w:rStyle w:val="not-translated-para"/>
          <w:rFonts w:ascii="Cambria" w:hAnsi="Cambria"/>
          <w:i/>
          <w:iCs/>
          <w:sz w:val="20"/>
          <w:szCs w:val="20"/>
        </w:rPr>
        <w:t>h</w:t>
      </w:r>
    </w:p>
    <w:tbl>
      <w:tblPr>
        <w:tblpPr w:vertAnchor="text"/>
        <w:tblW w:w="10320" w:type="dxa"/>
        <w:tblCellMar>
          <w:left w:w="0" w:type="dxa"/>
          <w:right w:w="0" w:type="dxa"/>
        </w:tblCellMar>
        <w:tblLook w:val="04A0" w:firstRow="1" w:lastRow="0" w:firstColumn="1" w:lastColumn="0" w:noHBand="0" w:noVBand="1"/>
      </w:tblPr>
      <w:tblGrid>
        <w:gridCol w:w="10320"/>
      </w:tblGrid>
      <w:tr w:rsidR="00000000">
        <w:trPr>
          <w:trHeight w:val="3339"/>
        </w:trPr>
        <w:tc>
          <w:tcPr>
            <w:tcW w:w="10320" w:type="dxa"/>
            <w:tcMar>
              <w:top w:w="19" w:type="dxa"/>
              <w:left w:w="0" w:type="dxa"/>
              <w:bottom w:w="0" w:type="dxa"/>
              <w:right w:w="0" w:type="dxa"/>
            </w:tcMar>
            <w:hideMark/>
          </w:tcPr>
          <w:p w:rsidR="00000000" w:rsidRDefault="00A52409">
            <w:pPr>
              <w:spacing w:after="0" w:line="256" w:lineRule="auto"/>
              <w:ind w:firstLine="0"/>
            </w:pPr>
            <w:r>
              <w:rPr>
                <w:rStyle w:val="not-translated-para"/>
              </w:rPr>
              <w:t xml:space="preserve">TABLE 5: MNIST accuracy [%] after 100 communication rounds, achieved by Centralized, Standalone, Distributed (DSSGD without DP, round robin, </w:t>
            </w:r>
            <w:r>
              <w:rPr>
                <w:rStyle w:val="not-translated-para"/>
              </w:rPr>
              <w:t>= 10%) and FPPDL (three settings as described in Section 6.3) frameworks using MLP and CNN architectures. P-indicates there are parties in the experiments</w:t>
            </w:r>
            <w:r>
              <w:rPr>
                <w:rStyle w:val="not-translated-para"/>
              </w:rPr>
              <w:t>.</w:t>
            </w:r>
            <w:r>
              <w:rPr>
                <w:rStyle w:val="not-translated-para"/>
                <w:rFonts w:ascii="Cambria" w:hAnsi="Cambria"/>
                <w:i/>
                <w:iCs/>
                <w:sz w:val="20"/>
                <w:szCs w:val="20"/>
              </w:rPr>
              <w:t>θu</w:t>
            </w:r>
            <w:r>
              <w:rPr>
                <w:rStyle w:val="not-translated-para"/>
                <w:rFonts w:ascii="Cambria" w:hAnsi="Cambria"/>
                <w:i/>
                <w:iCs/>
                <w:sz w:val="20"/>
                <w:szCs w:val="20"/>
              </w:rPr>
              <w:t xml:space="preserve"> </w:t>
            </w:r>
            <w:r>
              <w:rPr>
                <w:rStyle w:val="not-translated-para"/>
                <w:rFonts w:ascii="Cambria" w:hAnsi="Cambria"/>
                <w:i/>
                <w:iCs/>
                <w:sz w:val="20"/>
                <w:szCs w:val="20"/>
              </w:rPr>
              <w:t>k</w:t>
            </w:r>
            <w:r>
              <w:rPr>
                <w:rStyle w:val="not-translated-para"/>
                <w:rFonts w:ascii="Cambria" w:hAnsi="Cambria"/>
                <w:i/>
                <w:iCs/>
                <w:sz w:val="20"/>
                <w:szCs w:val="20"/>
              </w:rPr>
              <w:t xml:space="preserve"> </w:t>
            </w:r>
            <w:r>
              <w:rPr>
                <w:rStyle w:val="not-translated-para"/>
                <w:rFonts w:ascii="Cambria" w:hAnsi="Cambria"/>
                <w:i/>
                <w:iCs/>
                <w:sz w:val="20"/>
                <w:szCs w:val="20"/>
              </w:rPr>
              <w:t>k</w:t>
            </w:r>
            <w:r>
              <w:rPr>
                <w:rStyle w:val="not-translated-para"/>
                <w:rFonts w:ascii="Cambria" w:hAnsi="Cambria"/>
                <w:i/>
                <w:iCs/>
                <w:sz w:val="20"/>
                <w:szCs w:val="20"/>
              </w:rPr>
              <w:t xml:space="preserve"> </w:t>
            </w:r>
          </w:p>
          <w:tbl>
            <w:tblPr>
              <w:tblW w:w="9796" w:type="dxa"/>
              <w:tblInd w:w="262" w:type="dxa"/>
              <w:tblCellMar>
                <w:left w:w="0" w:type="dxa"/>
                <w:right w:w="0" w:type="dxa"/>
              </w:tblCellMar>
              <w:tblLook w:val="04A0" w:firstRow="1" w:lastRow="0" w:firstColumn="1" w:lastColumn="0" w:noHBand="0" w:noVBand="1"/>
            </w:tblPr>
            <w:tblGrid>
              <w:gridCol w:w="1829"/>
              <w:gridCol w:w="995"/>
              <w:gridCol w:w="996"/>
              <w:gridCol w:w="996"/>
              <w:gridCol w:w="996"/>
              <w:gridCol w:w="996"/>
              <w:gridCol w:w="816"/>
              <w:gridCol w:w="180"/>
              <w:gridCol w:w="996"/>
              <w:gridCol w:w="996"/>
            </w:tblGrid>
            <w:tr w:rsidR="00000000">
              <w:trPr>
                <w:trHeight w:val="179"/>
              </w:trPr>
              <w:tc>
                <w:tcPr>
                  <w:tcW w:w="1830" w:type="dxa"/>
                  <w:vMerge w:val="restart"/>
                  <w:tcBorders>
                    <w:top w:val="single" w:sz="8" w:space="0" w:color="000000"/>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sz w:val="15"/>
                      <w:szCs w:val="15"/>
                    </w:rPr>
                    <w:t>Framewor</w:t>
                  </w:r>
                  <w:r>
                    <w:rPr>
                      <w:rStyle w:val="not-translated-para"/>
                      <w:sz w:val="15"/>
                      <w:szCs w:val="15"/>
                    </w:rPr>
                    <w:t>k</w:t>
                  </w:r>
                </w:p>
              </w:tc>
              <w:tc>
                <w:tcPr>
                  <w:tcW w:w="99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firstLine="0"/>
                    <w:jc w:val="right"/>
                  </w:pPr>
                  <w:r>
                    <w:rPr>
                      <w:rStyle w:val="not-translated-para"/>
                      <w:sz w:val="15"/>
                      <w:szCs w:val="15"/>
                    </w:rPr>
                    <w:t>M</w:t>
                  </w:r>
                </w:p>
              </w:tc>
              <w:tc>
                <w:tcPr>
                  <w:tcW w:w="99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left"/>
                  </w:pPr>
                  <w:r>
                    <w:rPr>
                      <w:rStyle w:val="not-translated-para"/>
                      <w:sz w:val="15"/>
                      <w:szCs w:val="15"/>
                    </w:rPr>
                    <w:t>L</w:t>
                  </w:r>
                  <w:r>
                    <w:rPr>
                      <w:rStyle w:val="not-translated-para"/>
                      <w:sz w:val="15"/>
                      <w:szCs w:val="15"/>
                    </w:rPr>
                    <w:t>P</w:t>
                  </w:r>
                </w:p>
              </w:tc>
              <w:tc>
                <w:tcPr>
                  <w:tcW w:w="996" w:type="dxa"/>
                  <w:tcBorders>
                    <w:top w:val="single" w:sz="8" w:space="0" w:color="000000"/>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81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1176" w:type="dxa"/>
                  <w:gridSpan w:val="2"/>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firstLine="0"/>
                    <w:jc w:val="left"/>
                  </w:pPr>
                  <w:r>
                    <w:rPr>
                      <w:rStyle w:val="not-translated-para"/>
                      <w:sz w:val="15"/>
                      <w:szCs w:val="15"/>
                    </w:rPr>
                    <w:t>CN</w:t>
                  </w:r>
                  <w:r>
                    <w:rPr>
                      <w:rStyle w:val="not-translated-para"/>
                      <w:sz w:val="15"/>
                      <w:szCs w:val="15"/>
                    </w:rPr>
                    <w:t>N</w:t>
                  </w:r>
                </w:p>
              </w:tc>
              <w:tc>
                <w:tcPr>
                  <w:tcW w:w="996" w:type="dxa"/>
                  <w:tcBorders>
                    <w:top w:val="single" w:sz="8" w:space="0" w:color="000000"/>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r>
            <w:tr w:rsidR="00000000">
              <w:trPr>
                <w:trHeight w:val="17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A52409">
                  <w:pPr>
                    <w:framePr w:wrap="around" w:vAnchor="text" w:hAnchor="text"/>
                    <w:spacing w:after="0" w:line="240" w:lineRule="auto"/>
                    <w:ind w:firstLine="0"/>
                    <w:jc w:val="left"/>
                  </w:pP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w:t>
                  </w:r>
                  <w:r>
                    <w:rPr>
                      <w:rStyle w:val="not-translated-para"/>
                      <w:sz w:val="15"/>
                      <w:szCs w:val="15"/>
                    </w:rPr>
                    <w:t>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P1</w:t>
                  </w:r>
                  <w:r>
                    <w:rPr>
                      <w:rStyle w:val="not-translated-para"/>
                      <w:sz w:val="15"/>
                      <w:szCs w:val="15"/>
                    </w:rPr>
                    <w:t>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P3</w:t>
                  </w:r>
                  <w:r>
                    <w:rPr>
                      <w:rStyle w:val="not-translated-para"/>
                      <w:sz w:val="15"/>
                      <w:szCs w:val="15"/>
                    </w:rPr>
                    <w:t>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P5</w:t>
                  </w:r>
                  <w:r>
                    <w:rPr>
                      <w:rStyle w:val="not-translated-para"/>
                      <w:sz w:val="15"/>
                      <w:szCs w:val="15"/>
                    </w:rPr>
                    <w:t>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w:t>
                  </w:r>
                  <w:r>
                    <w:rPr>
                      <w:rStyle w:val="not-translated-para"/>
                      <w:sz w:val="15"/>
                      <w:szCs w:val="15"/>
                    </w:rPr>
                    <w:t>4</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201" w:firstLine="0"/>
                    <w:jc w:val="center"/>
                  </w:pPr>
                  <w:r>
                    <w:rPr>
                      <w:rStyle w:val="not-translated-para"/>
                      <w:sz w:val="15"/>
                      <w:szCs w:val="15"/>
                    </w:rPr>
                    <w:t>P1</w:t>
                  </w:r>
                  <w:r>
                    <w:rPr>
                      <w:rStyle w:val="not-translated-para"/>
                      <w:sz w:val="15"/>
                      <w:szCs w:val="15"/>
                    </w:rPr>
                    <w:t>5</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P3</w:t>
                  </w:r>
                  <w:r>
                    <w:rPr>
                      <w:rStyle w:val="not-translated-para"/>
                      <w:sz w:val="15"/>
                      <w:szCs w:val="15"/>
                    </w:rPr>
                    <w:t>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P5</w:t>
                  </w:r>
                  <w:r>
                    <w:rPr>
                      <w:rStyle w:val="not-translated-para"/>
                      <w:sz w:val="15"/>
                      <w:szCs w:val="15"/>
                    </w:rPr>
                    <w:t>0</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Centralize</w:t>
                  </w:r>
                  <w:r>
                    <w:rPr>
                      <w:rStyle w:val="not-translated-para"/>
                      <w:i/>
                      <w:iCs/>
                      <w:sz w:val="15"/>
                      <w:szCs w:val="15"/>
                    </w:rPr>
                    <w:t>d</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91.68</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95.17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96.28</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96.85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96.58</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98.19</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98.52</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98.58</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Distribute</w:t>
                  </w:r>
                  <w:r>
                    <w:rPr>
                      <w:rStyle w:val="not-translated-para"/>
                      <w:i/>
                      <w:iCs/>
                      <w:sz w:val="15"/>
                      <w:szCs w:val="15"/>
                    </w:rPr>
                    <w:t>d</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91.67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95.17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96.33</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97.35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96.25</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98.04</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98.63</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98.83</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 xml:space="preserve">Standalone (Setting </w:t>
                  </w:r>
                  <w:r>
                    <w:rPr>
                      <w:rStyle w:val="not-translated-para"/>
                      <w:i/>
                      <w:iCs/>
                      <w:sz w:val="15"/>
                      <w:szCs w:val="15"/>
                    </w:rPr>
                    <w:t>1</w:t>
                  </w:r>
                  <w:r>
                    <w:rPr>
                      <w:rStyle w:val="not-translated-para"/>
                      <w:rFonts w:ascii="Cambria" w:hAnsi="Cambria"/>
                      <w:sz w:val="15"/>
                      <w:szCs w:val="15"/>
                    </w:rPr>
                    <w:t>&amp;</w:t>
                  </w:r>
                  <w:r>
                    <w:rPr>
                      <w:rStyle w:val="not-translated-para"/>
                      <w:i/>
                      <w:iCs/>
                      <w:sz w:val="15"/>
                      <w:szCs w:val="15"/>
                    </w:rPr>
                    <w:t>2</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87.39</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88.06</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88.64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88.80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93.81</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93.46</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94.04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94.05</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Standalone (Setting 3</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89.61</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88.83</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89.57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89.52</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94.42</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95.44</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95.11</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95.45</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FPPDL (Setting 1</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90.13</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94.42</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94.88</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95.57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95.93</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97.19</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97.62</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98.07</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FPPDL (Setting 2</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91.92</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95.70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95.94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96.23</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95.50</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97.34</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97.84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98.14</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FPPDL (Setting 3</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90.75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94.37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94.75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95.21</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95.23</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97.50</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97.82</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98.22</w:t>
                  </w:r>
                </w:p>
              </w:tc>
            </w:tr>
          </w:tbl>
          <w:p w:rsidR="00000000" w:rsidRDefault="00A52409">
            <w:pPr>
              <w:spacing w:after="0" w:line="256" w:lineRule="auto"/>
              <w:ind w:firstLine="0"/>
            </w:pPr>
            <w:r>
              <w:rPr>
                <w:rStyle w:val="not-translated-para"/>
              </w:rPr>
              <w:t>TABLE 6: SVHN accuracy [%] after 100 communication rounds, achieved by Centralized, Standalone, Distributed (DSSGD without DP, round robin, = 10%) and FPPDL (three settings as described in Section 6.3) frameworks using MLP and CNN architectures</w:t>
            </w:r>
            <w:r>
              <w:rPr>
                <w:rStyle w:val="not-translated-para"/>
              </w:rPr>
              <w:t>.</w:t>
            </w:r>
            <w:r>
              <w:rPr>
                <w:rStyle w:val="not-translated-para"/>
                <w:rFonts w:ascii="Cambria" w:hAnsi="Cambria"/>
                <w:i/>
                <w:iCs/>
                <w:sz w:val="20"/>
                <w:szCs w:val="20"/>
              </w:rPr>
              <w:t>θu</w:t>
            </w:r>
            <w:r>
              <w:rPr>
                <w:rStyle w:val="not-translated-para"/>
                <w:rFonts w:ascii="Cambria" w:hAnsi="Cambria"/>
                <w:i/>
                <w:iCs/>
                <w:sz w:val="20"/>
                <w:szCs w:val="20"/>
              </w:rPr>
              <w:t xml:space="preserve"> </w:t>
            </w:r>
          </w:p>
          <w:tbl>
            <w:tblPr>
              <w:tblW w:w="9796" w:type="dxa"/>
              <w:tblInd w:w="262" w:type="dxa"/>
              <w:tblCellMar>
                <w:left w:w="0" w:type="dxa"/>
                <w:right w:w="0" w:type="dxa"/>
              </w:tblCellMar>
              <w:tblLook w:val="04A0" w:firstRow="1" w:lastRow="0" w:firstColumn="1" w:lastColumn="0" w:noHBand="0" w:noVBand="1"/>
            </w:tblPr>
            <w:tblGrid>
              <w:gridCol w:w="1829"/>
              <w:gridCol w:w="995"/>
              <w:gridCol w:w="996"/>
              <w:gridCol w:w="996"/>
              <w:gridCol w:w="996"/>
              <w:gridCol w:w="996"/>
              <w:gridCol w:w="816"/>
              <w:gridCol w:w="180"/>
              <w:gridCol w:w="996"/>
              <w:gridCol w:w="996"/>
            </w:tblGrid>
            <w:tr w:rsidR="00000000">
              <w:trPr>
                <w:trHeight w:val="179"/>
              </w:trPr>
              <w:tc>
                <w:tcPr>
                  <w:tcW w:w="1830" w:type="dxa"/>
                  <w:vMerge w:val="restart"/>
                  <w:tcBorders>
                    <w:top w:val="single" w:sz="8" w:space="0" w:color="000000"/>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sz w:val="15"/>
                      <w:szCs w:val="15"/>
                    </w:rPr>
                    <w:t>Framewor</w:t>
                  </w:r>
                  <w:r>
                    <w:rPr>
                      <w:rStyle w:val="not-translated-para"/>
                      <w:sz w:val="15"/>
                      <w:szCs w:val="15"/>
                    </w:rPr>
                    <w:t>k</w:t>
                  </w:r>
                </w:p>
              </w:tc>
              <w:tc>
                <w:tcPr>
                  <w:tcW w:w="99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firstLine="0"/>
                    <w:jc w:val="right"/>
                  </w:pPr>
                  <w:r>
                    <w:rPr>
                      <w:rStyle w:val="not-translated-para"/>
                      <w:sz w:val="15"/>
                      <w:szCs w:val="15"/>
                    </w:rPr>
                    <w:t>M</w:t>
                  </w:r>
                </w:p>
              </w:tc>
              <w:tc>
                <w:tcPr>
                  <w:tcW w:w="99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left"/>
                  </w:pPr>
                  <w:r>
                    <w:rPr>
                      <w:rStyle w:val="not-translated-para"/>
                      <w:sz w:val="15"/>
                      <w:szCs w:val="15"/>
                    </w:rPr>
                    <w:t>L</w:t>
                  </w:r>
                  <w:r>
                    <w:rPr>
                      <w:rStyle w:val="not-translated-para"/>
                      <w:sz w:val="15"/>
                      <w:szCs w:val="15"/>
                    </w:rPr>
                    <w:t>P</w:t>
                  </w:r>
                </w:p>
              </w:tc>
              <w:tc>
                <w:tcPr>
                  <w:tcW w:w="996" w:type="dxa"/>
                  <w:tcBorders>
                    <w:top w:val="single" w:sz="8" w:space="0" w:color="000000"/>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816" w:type="dxa"/>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1176" w:type="dxa"/>
                  <w:gridSpan w:val="2"/>
                  <w:tcBorders>
                    <w:top w:val="single" w:sz="8" w:space="0" w:color="000000"/>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firstLine="0"/>
                    <w:jc w:val="left"/>
                  </w:pPr>
                  <w:r>
                    <w:rPr>
                      <w:rStyle w:val="not-translated-para"/>
                      <w:sz w:val="15"/>
                      <w:szCs w:val="15"/>
                    </w:rPr>
                    <w:t>CN</w:t>
                  </w:r>
                  <w:r>
                    <w:rPr>
                      <w:rStyle w:val="not-translated-para"/>
                      <w:sz w:val="15"/>
                      <w:szCs w:val="15"/>
                    </w:rPr>
                    <w:t>N</w:t>
                  </w:r>
                </w:p>
              </w:tc>
              <w:tc>
                <w:tcPr>
                  <w:tcW w:w="996" w:type="dxa"/>
                  <w:tcBorders>
                    <w:top w:val="single" w:sz="8" w:space="0" w:color="000000"/>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r>
            <w:tr w:rsidR="00000000">
              <w:trPr>
                <w:trHeight w:val="17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A52409">
                  <w:pPr>
                    <w:framePr w:wrap="around" w:vAnchor="text" w:hAnchor="text"/>
                    <w:spacing w:after="0" w:line="240" w:lineRule="auto"/>
                    <w:ind w:firstLine="0"/>
                    <w:jc w:val="left"/>
                  </w:pP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w:t>
                  </w:r>
                  <w:r>
                    <w:rPr>
                      <w:rStyle w:val="not-translated-para"/>
                      <w:sz w:val="15"/>
                      <w:szCs w:val="15"/>
                    </w:rPr>
                    <w:t>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P1</w:t>
                  </w:r>
                  <w:r>
                    <w:rPr>
                      <w:rStyle w:val="not-translated-para"/>
                      <w:sz w:val="15"/>
                      <w:szCs w:val="15"/>
                    </w:rPr>
                    <w:t>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P3</w:t>
                  </w:r>
                  <w:r>
                    <w:rPr>
                      <w:rStyle w:val="not-translated-para"/>
                      <w:sz w:val="15"/>
                      <w:szCs w:val="15"/>
                    </w:rPr>
                    <w:t>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P5</w:t>
                  </w:r>
                  <w:r>
                    <w:rPr>
                      <w:rStyle w:val="not-translated-para"/>
                      <w:sz w:val="15"/>
                      <w:szCs w:val="15"/>
                    </w:rPr>
                    <w:t>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w:t>
                  </w:r>
                  <w:r>
                    <w:rPr>
                      <w:rStyle w:val="not-translated-para"/>
                      <w:sz w:val="15"/>
                      <w:szCs w:val="15"/>
                    </w:rPr>
                    <w:t>4</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201" w:firstLine="0"/>
                    <w:jc w:val="center"/>
                  </w:pPr>
                  <w:r>
                    <w:rPr>
                      <w:rStyle w:val="not-translated-para"/>
                      <w:sz w:val="15"/>
                      <w:szCs w:val="15"/>
                    </w:rPr>
                    <w:t>P1</w:t>
                  </w:r>
                  <w:r>
                    <w:rPr>
                      <w:rStyle w:val="not-translated-para"/>
                      <w:sz w:val="15"/>
                      <w:szCs w:val="15"/>
                    </w:rPr>
                    <w:t>5</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P3</w:t>
                  </w:r>
                  <w:r>
                    <w:rPr>
                      <w:rStyle w:val="not-translated-para"/>
                      <w:sz w:val="15"/>
                      <w:szCs w:val="15"/>
                    </w:rPr>
                    <w:t>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rStyle w:val="not-translated-para"/>
                      <w:sz w:val="15"/>
                      <w:szCs w:val="15"/>
                    </w:rPr>
                    <w:t>P5</w:t>
                  </w:r>
                  <w:r>
                    <w:rPr>
                      <w:rStyle w:val="not-translated-para"/>
                      <w:sz w:val="15"/>
                      <w:szCs w:val="15"/>
                    </w:rPr>
                    <w:t>0</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Centralize</w:t>
                  </w:r>
                  <w:r>
                    <w:rPr>
                      <w:rStyle w:val="not-translated-para"/>
                      <w:i/>
                      <w:iCs/>
                      <w:sz w:val="15"/>
                      <w:szCs w:val="15"/>
                    </w:rPr>
                    <w:t>d</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75.40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83.08</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85.77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87.15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90.50</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91.88</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93.42</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95.44</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Distribute</w:t>
                  </w:r>
                  <w:r>
                    <w:rPr>
                      <w:rStyle w:val="not-translated-para"/>
                      <w:i/>
                      <w:iCs/>
                      <w:sz w:val="15"/>
                      <w:szCs w:val="15"/>
                    </w:rPr>
                    <w:t>d</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78.34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85.49</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87.64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89.21</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91.78</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93.03</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95.75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96.19</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 xml:space="preserve">Standalone (Setting </w:t>
                  </w:r>
                  <w:r>
                    <w:rPr>
                      <w:rStyle w:val="not-translated-para"/>
                      <w:i/>
                      <w:iCs/>
                      <w:sz w:val="15"/>
                      <w:szCs w:val="15"/>
                    </w:rPr>
                    <w:t>1</w:t>
                  </w:r>
                  <w:r>
                    <w:rPr>
                      <w:rStyle w:val="not-translated-para"/>
                      <w:rFonts w:ascii="Cambria" w:hAnsi="Cambria"/>
                      <w:sz w:val="15"/>
                      <w:szCs w:val="15"/>
                    </w:rPr>
                    <w:t>&amp;</w:t>
                  </w:r>
                  <w:r>
                    <w:rPr>
                      <w:rStyle w:val="not-translated-para"/>
                      <w:i/>
                      <w:iCs/>
                      <w:sz w:val="15"/>
                      <w:szCs w:val="15"/>
                    </w:rPr>
                    <w:t>2</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57.85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58.77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57.90</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59.18</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80.24</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80.74</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81.29</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81.60</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Standalone (Setting 3</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59.05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59.13</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60.09</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60.22</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81.57</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81.92</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82.06</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82.31</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FPPDL (Setting 1</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73.74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82.55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84.86</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86.51</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90.07</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91.18</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92.74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94.83</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FPPDL (Setting 2</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74.16</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82.67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85.25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86.57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89.91</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91.15</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92.59</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95.18</w:t>
                  </w:r>
                </w:p>
              </w:tc>
            </w:tr>
            <w:tr w:rsidR="00000000">
              <w:trPr>
                <w:trHeight w:val="179"/>
              </w:trPr>
              <w:tc>
                <w:tcPr>
                  <w:tcW w:w="1830" w:type="dxa"/>
                  <w:tcBorders>
                    <w:top w:val="nil"/>
                    <w:left w:val="single" w:sz="8" w:space="0" w:color="000000"/>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117" w:firstLine="0"/>
                    <w:jc w:val="left"/>
                  </w:pPr>
                  <w:r>
                    <w:rPr>
                      <w:rStyle w:val="not-translated-para"/>
                      <w:i/>
                      <w:iCs/>
                      <w:sz w:val="15"/>
                      <w:szCs w:val="15"/>
                    </w:rPr>
                    <w:t>FPPDL (Setting 3</w:t>
                  </w:r>
                  <w:r>
                    <w:rPr>
                      <w:rStyle w:val="not-translated-para"/>
                      <w:i/>
                      <w:iCs/>
                      <w:sz w:val="15"/>
                      <w:szCs w:val="15"/>
                    </w:rPr>
                    <w:t>)</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74.57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82.95</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85.37</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86.34</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89.53</w:t>
                  </w:r>
                </w:p>
              </w:tc>
              <w:tc>
                <w:tcPr>
                  <w:tcW w:w="816" w:type="dxa"/>
                  <w:tcBorders>
                    <w:top w:val="nil"/>
                    <w:left w:val="nil"/>
                    <w:bottom w:val="single" w:sz="8" w:space="0" w:color="000000"/>
                    <w:right w:val="nil"/>
                  </w:tcBorders>
                  <w:tcMar>
                    <w:top w:w="7" w:type="dxa"/>
                    <w:left w:w="0" w:type="dxa"/>
                    <w:bottom w:w="0" w:type="dxa"/>
                    <w:right w:w="20" w:type="dxa"/>
                  </w:tcMar>
                  <w:hideMark/>
                </w:tcPr>
                <w:p w:rsidR="00000000" w:rsidRDefault="00A52409">
                  <w:pPr>
                    <w:framePr w:wrap="around" w:vAnchor="text" w:hAnchor="text"/>
                    <w:spacing w:after="0" w:line="256" w:lineRule="auto"/>
                    <w:ind w:left="327" w:firstLine="0"/>
                    <w:jc w:val="left"/>
                  </w:pPr>
                  <w:r>
                    <w:rPr>
                      <w:sz w:val="15"/>
                      <w:szCs w:val="15"/>
                    </w:rPr>
                    <w:t>91.03</w:t>
                  </w:r>
                </w:p>
              </w:tc>
              <w:tc>
                <w:tcPr>
                  <w:tcW w:w="180"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160" w:line="256" w:lineRule="auto"/>
                    <w:ind w:firstLine="0"/>
                    <w:jc w:val="left"/>
                  </w:pPr>
                  <w:r>
                    <w:t> </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93.13</w:t>
                  </w:r>
                </w:p>
              </w:tc>
              <w:tc>
                <w:tcPr>
                  <w:tcW w:w="996" w:type="dxa"/>
                  <w:tcBorders>
                    <w:top w:val="nil"/>
                    <w:left w:val="nil"/>
                    <w:bottom w:val="single" w:sz="8" w:space="0" w:color="000000"/>
                    <w:right w:val="single" w:sz="8" w:space="0" w:color="000000"/>
                  </w:tcBorders>
                  <w:tcMar>
                    <w:top w:w="7" w:type="dxa"/>
                    <w:left w:w="0" w:type="dxa"/>
                    <w:bottom w:w="0" w:type="dxa"/>
                    <w:right w:w="20" w:type="dxa"/>
                  </w:tcMar>
                  <w:hideMark/>
                </w:tcPr>
                <w:p w:rsidR="00000000" w:rsidRDefault="00A52409">
                  <w:pPr>
                    <w:framePr w:wrap="around" w:vAnchor="text" w:hAnchor="text"/>
                    <w:spacing w:after="0" w:line="256" w:lineRule="auto"/>
                    <w:ind w:left="20" w:firstLine="0"/>
                    <w:jc w:val="center"/>
                  </w:pPr>
                  <w:r>
                    <w:rPr>
                      <w:sz w:val="15"/>
                      <w:szCs w:val="15"/>
                    </w:rPr>
                    <w:t>94.89</w:t>
                  </w:r>
                </w:p>
              </w:tc>
            </w:tr>
          </w:tbl>
          <w:p w:rsidR="00000000" w:rsidRDefault="00A52409">
            <w:pPr>
              <w:rPr>
                <w:rFonts w:ascii="宋体" w:hAnsi="宋体"/>
                <w:color w:val="auto"/>
                <w:sz w:val="24"/>
                <w:szCs w:val="24"/>
              </w:rPr>
            </w:pPr>
          </w:p>
        </w:tc>
      </w:tr>
    </w:tbl>
    <w:p w:rsidR="00000000" w:rsidRDefault="00A52409">
      <w:pPr>
        <w:ind w:left="-15" w:firstLine="0"/>
      </w:pPr>
      <w:r>
        <w:rPr>
          <w:rStyle w:val="not-translated-para"/>
        </w:rPr>
        <w:t>(Setting 2 and Setting 3 in Section 6.3) and malicious settin</w:t>
      </w:r>
      <w:r>
        <w:rPr>
          <w:rStyle w:val="not-translated-para"/>
        </w:rPr>
        <w:t>g</w:t>
      </w:r>
    </w:p>
    <w:p w:rsidR="00000000" w:rsidRDefault="00A52409">
      <w:pPr>
        <w:spacing w:after="146"/>
        <w:ind w:left="-15" w:firstLine="0"/>
      </w:pPr>
      <w:r>
        <w:rPr>
          <w:rStyle w:val="not-translated-para"/>
        </w:rPr>
        <w:t xml:space="preserve">(1 malicious party as indicated in Section </w:t>
      </w:r>
      <w:r>
        <w:rPr>
          <w:rStyle w:val="not-translated-para"/>
        </w:rPr>
        <w:t>7). As shown in Fig. 12, both fairness and accuracy can keep relatively high values when</w:t>
      </w:r>
      <w:r>
        <w:rPr>
          <w:rStyle w:val="not-translated-para"/>
        </w:rPr>
        <w:t xml:space="preserve"> </w:t>
      </w:r>
      <w:r>
        <w:rPr>
          <w:rStyle w:val="not-translated-para"/>
          <w:rFonts w:ascii="Cambria" w:hAnsi="Cambria"/>
          <w:i/>
          <w:iCs/>
          <w:sz w:val="20"/>
          <w:szCs w:val="20"/>
        </w:rPr>
        <w:t>cth</w:t>
      </w:r>
      <w:r>
        <w:rPr>
          <w:rStyle w:val="not-translated-para"/>
          <w:rFonts w:ascii="Cambria" w:hAnsi="Cambria"/>
          <w:i/>
          <w:iCs/>
          <w:sz w:val="20"/>
          <w:szCs w:val="20"/>
        </w:rPr>
        <w:t xml:space="preserve"> </w:t>
      </w:r>
      <w:r>
        <w:rPr>
          <w:rStyle w:val="not-translated-para"/>
        </w:rPr>
        <w:t>is within . In contrast, too small allows even the malicious party to sneak into the collaborative learning system without being detected and isolated, resulting i</w:t>
      </w:r>
      <w:r>
        <w:rPr>
          <w:rStyle w:val="not-translated-para"/>
        </w:rPr>
        <w:t>n lower fairness, as manifested by the last figure of Fig. 12. On the contrary, too large</w:t>
      </w:r>
      <w:r>
        <w:rPr>
          <w:rStyle w:val="not-translated-para"/>
        </w:rPr>
        <w:t xml:space="preserve"> </w:t>
      </w:r>
      <w:r>
        <w:rPr>
          <w:rStyle w:val="not-translated-para"/>
          <w:rFonts w:ascii="Cambria" w:hAnsi="Cambria"/>
          <w:i/>
          <w:iCs/>
          <w:sz w:val="20"/>
          <w:szCs w:val="20"/>
        </w:rPr>
        <w:t>cth</w:t>
      </w:r>
      <w:r>
        <w:rPr>
          <w:rStyle w:val="not-translated-para"/>
          <w:rFonts w:ascii="Cambria" w:hAnsi="Cambria"/>
          <w:i/>
          <w:iCs/>
          <w:sz w:val="20"/>
          <w:szCs w:val="20"/>
        </w:rPr>
        <w:t xml:space="preserve"> </w:t>
      </w:r>
      <w:r>
        <w:rPr>
          <w:rStyle w:val="not-translated-para"/>
        </w:rPr>
        <w:t>might isolate most participants in the system. For example, will terminate the system within the first 5 rounds during the second stage of collaborative learning,</w:t>
      </w:r>
      <w:r>
        <w:rPr>
          <w:rStyle w:val="not-translated-para"/>
        </w:rPr>
        <w:t xml:space="preserve"> resulting in both lower fairness and accuracy; and</w:t>
      </w:r>
      <w:r>
        <w:rPr>
          <w:rStyle w:val="not-translated-para"/>
        </w:rPr>
        <w:t xml:space="preserve"> </w:t>
      </w:r>
      <w:r>
        <w:rPr>
          <w:rStyle w:val="not-translated-para"/>
          <w:rFonts w:ascii="Cambria" w:hAnsi="Cambria"/>
          <w:i/>
          <w:iCs/>
          <w:sz w:val="20"/>
          <w:szCs w:val="20"/>
        </w:rPr>
        <w:t>cth</w:t>
      </w:r>
      <w:r>
        <w:rPr>
          <w:rStyle w:val="not-translated-para"/>
          <w:rFonts w:ascii="Cambria" w:hAnsi="Cambria"/>
          <w:i/>
          <w:iCs/>
          <w:sz w:val="20"/>
          <w:szCs w:val="20"/>
        </w:rPr>
        <w:t xml:space="preserve"> </w:t>
      </w:r>
      <w:r>
        <w:rPr>
          <w:rStyle w:val="not-translated-para"/>
          <w:rFonts w:ascii="Cambria" w:hAnsi="Cambria"/>
          <w:sz w:val="20"/>
          <w:szCs w:val="20"/>
        </w:rPr>
        <w:t>= min{</w:t>
      </w:r>
      <w:r>
        <w:rPr>
          <w:rStyle w:val="not-translated-para"/>
          <w:rFonts w:ascii="Cambria" w:hAnsi="Cambria"/>
          <w:sz w:val="20"/>
          <w:szCs w:val="20"/>
        </w:rPr>
        <w:t>|</w:t>
      </w:r>
      <w:r>
        <w:rPr>
          <w:noProof/>
          <w:sz w:val="22"/>
          <w:szCs w:val="22"/>
        </w:rPr>
        <w:drawing>
          <wp:inline distT="0" distB="0" distL="0" distR="0">
            <wp:extent cx="276225" cy="9525"/>
            <wp:effectExtent l="0" t="0" r="0" b="0"/>
            <wp:docPr id="33" name="Group 167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67564"/>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276225" cy="9525"/>
                    </a:xfrm>
                    <a:prstGeom prst="rect">
                      <a:avLst/>
                    </a:prstGeom>
                    <a:noFill/>
                    <a:ln>
                      <a:noFill/>
                    </a:ln>
                  </pic:spPr>
                </pic:pic>
              </a:graphicData>
            </a:graphic>
          </wp:inline>
        </w:drawing>
      </w:r>
      <w:r>
        <w:rPr>
          <w:rStyle w:val="not-translated-para"/>
          <w:rFonts w:ascii="Cambria" w:hAnsi="Cambria"/>
          <w:i/>
          <w:iCs/>
          <w:sz w:val="20"/>
          <w:szCs w:val="20"/>
          <w:vertAlign w:val="subscript"/>
        </w:rPr>
        <w:t>C</w:t>
      </w:r>
      <w:r>
        <w:rPr>
          <w:rStyle w:val="not-translated-para"/>
          <w:rFonts w:ascii="Cambria" w:hAnsi="Cambria"/>
          <w:sz w:val="20"/>
          <w:szCs w:val="20"/>
          <w:vertAlign w:val="subscript"/>
        </w:rPr>
        <w:t>|</w:t>
      </w:r>
      <w:r>
        <w:rPr>
          <w:rStyle w:val="not-translated-para"/>
          <w:rFonts w:ascii="Cambria" w:hAnsi="Cambria"/>
          <w:sz w:val="20"/>
          <w:szCs w:val="20"/>
          <w:vertAlign w:val="subscript"/>
        </w:rPr>
        <w:t>−</w:t>
      </w:r>
      <w:r>
        <w:rPr>
          <w:rFonts w:ascii="Cambria" w:hAnsi="Cambria"/>
          <w:sz w:val="20"/>
          <w:szCs w:val="20"/>
          <w:vertAlign w:val="superscript"/>
        </w:rPr>
        <w:t xml:space="preserve">2 </w:t>
      </w:r>
      <w:r>
        <w:rPr>
          <w:rFonts w:ascii="Cambria" w:hAnsi="Cambria"/>
          <w:sz w:val="20"/>
          <w:szCs w:val="20"/>
          <w:vertAlign w:val="subscript"/>
        </w:rPr>
        <w:t>1</w:t>
      </w:r>
      <w:r>
        <w:rPr>
          <w:rFonts w:ascii="Cambria" w:hAnsi="Cambria"/>
          <w:i/>
          <w:iCs/>
          <w:sz w:val="20"/>
          <w:szCs w:val="20"/>
        </w:rPr>
        <w:t>,</w:t>
      </w:r>
      <w:r>
        <w:rPr>
          <w:rStyle w:val="not-translated-para"/>
          <w:rFonts w:ascii="Cambria" w:hAnsi="Cambria"/>
          <w:sz w:val="20"/>
          <w:szCs w:val="20"/>
        </w:rPr>
        <w:t>1}</w:t>
      </w:r>
      <w:r>
        <w:rPr>
          <w:rStyle w:val="not-translated-para"/>
          <w:rFonts w:ascii="Cambria" w:hAnsi="Cambria"/>
          <w:sz w:val="20"/>
          <w:szCs w:val="20"/>
        </w:rPr>
        <w:t xml:space="preserve"> </w:t>
      </w:r>
      <w:r>
        <w:rPr>
          <w:rStyle w:val="not-translated-para"/>
        </w:rPr>
        <w:t>will terminate the system after the first stage, and second stage of collaborative learning will never start, thus there is no collaborative fairness. These results validate our hypo</w:t>
      </w:r>
      <w:r>
        <w:rPr>
          <w:rStyle w:val="not-translated-para"/>
        </w:rPr>
        <w:t>thesis in Section 5.1.1 and provide empirical support on our chosen in Section 6.3</w:t>
      </w:r>
      <w:r>
        <w:rPr>
          <w:rStyle w:val="not-translated-para"/>
        </w:rPr>
        <w:t>.</w:t>
      </w:r>
    </w:p>
    <w:p w:rsidR="00000000" w:rsidRDefault="00A52409">
      <w:pPr>
        <w:spacing w:after="447"/>
        <w:ind w:left="-15"/>
      </w:pPr>
      <w:r>
        <w:rPr>
          <w:rStyle w:val="not-translated-para"/>
          <w:b/>
          <w:bCs/>
        </w:rPr>
        <w:t>Complexity Analysi</w:t>
      </w:r>
      <w:r>
        <w:rPr>
          <w:rStyle w:val="not-translated-para"/>
          <w:b/>
          <w:bCs/>
        </w:rPr>
        <w:t>s</w:t>
      </w:r>
      <w:r>
        <w:rPr>
          <w:rStyle w:val="not-translated-para"/>
        </w:rPr>
        <w:t xml:space="preserve">. The main communication cost occurs when each party sends its encrypted gradients to the other (n </w:t>
      </w:r>
      <w:r>
        <w:rPr>
          <w:rStyle w:val="not-translated-para"/>
        </w:rPr>
        <w:t>−</w:t>
      </w:r>
      <w:r>
        <w:rPr>
          <w:rStyle w:val="not-translated-para"/>
        </w:rPr>
        <w:t xml:space="preserve"> 1) parties, resulting in (n </w:t>
      </w:r>
      <w:r>
        <w:rPr>
          <w:rStyle w:val="not-translated-para"/>
        </w:rPr>
        <w:t>−</w:t>
      </w:r>
      <w:r>
        <w:rPr>
          <w:rStyle w:val="not-translated-para"/>
        </w:rPr>
        <w:t xml:space="preserve"> 1) </w:t>
      </w:r>
      <w:r>
        <w:rPr>
          <w:rStyle w:val="not-translated-para"/>
          <w:rFonts w:ascii="MS Mincho" w:eastAsia="MS Mincho" w:hAnsi="MS Mincho" w:cs="MS Mincho" w:hint="eastAsia"/>
        </w:rPr>
        <w:t>∗</w:t>
      </w:r>
      <w:r>
        <w:rPr>
          <w:rStyle w:val="not-translated-para"/>
        </w:rPr>
        <w:t xml:space="preserve"> L ciphertexts, wh</w:t>
      </w:r>
      <w:r>
        <w:rPr>
          <w:rStyle w:val="not-translated-para"/>
        </w:rPr>
        <w:t>ere and are the number of parties and the size of the released gradients (the encrypted symmetric key size is negligible compared with the encrypted gradients). Therefore, our framework is applicable to practical applications to businesses [37], such as bi</w:t>
      </w:r>
      <w:r>
        <w:rPr>
          <w:rStyle w:val="not-translated-para"/>
        </w:rPr>
        <w:t>omedical or financial institutions where the number of parties is limited. On the other hand, the main computation cost occurs at each party who needs to train a local DPGAN during initial benchmarking, compute local gradients, and conduct three-layer onio</w:t>
      </w:r>
      <w:r>
        <w:rPr>
          <w:rStyle w:val="not-translated-para"/>
        </w:rPr>
        <w:t>n-style encryption during collaborative deep learning. However, all parties can individually train their DPGAN models offline before collaborative deep learning starts, and all parties can individually train local models in parallel, hence deep learning co</w:t>
      </w:r>
      <w:r>
        <w:rPr>
          <w:rStyle w:val="not-translated-para"/>
        </w:rPr>
        <w:t>mputation cost is not an obstacle for those parties with enough computational power. Moreover, our encryption scheme using stream ciphers and hybrid encryption is relatively efficient, because encrypting a short plaintext (i.e., the symmetric key) requires</w:t>
      </w:r>
      <w:r>
        <w:rPr>
          <w:rStyle w:val="not-translated-para"/>
        </w:rPr>
        <w:t xml:space="preserve"> only one asymmetric operation, while encrypting a longer message (released gradients) would in theory require many asymmetric operations</w:t>
      </w:r>
      <w:r>
        <w:rPr>
          <w:rStyle w:val="not-translated-para"/>
        </w:rPr>
        <w:t>.</w:t>
      </w:r>
      <w:r>
        <w:rPr>
          <w:rStyle w:val="not-translated-para"/>
          <w:rFonts w:ascii="Cambria" w:hAnsi="Cambria"/>
          <w:i/>
          <w:iCs/>
          <w:sz w:val="20"/>
          <w:szCs w:val="20"/>
        </w:rPr>
        <w:t>n</w:t>
      </w:r>
      <w:r>
        <w:rPr>
          <w:rStyle w:val="not-translated-para"/>
          <w:rFonts w:ascii="Cambria" w:hAnsi="Cambria"/>
          <w:i/>
          <w:iCs/>
          <w:sz w:val="20"/>
          <w:szCs w:val="20"/>
        </w:rPr>
        <w:t xml:space="preserve"> </w:t>
      </w:r>
      <w:r>
        <w:rPr>
          <w:rStyle w:val="not-translated-para"/>
          <w:rFonts w:ascii="Cambria" w:hAnsi="Cambria"/>
          <w:i/>
          <w:iCs/>
          <w:sz w:val="20"/>
          <w:szCs w:val="20"/>
        </w:rPr>
        <w:t>L</w:t>
      </w:r>
      <w:r>
        <w:rPr>
          <w:rStyle w:val="not-translated-para"/>
          <w:rFonts w:ascii="Cambria" w:hAnsi="Cambria"/>
          <w:i/>
          <w:iCs/>
          <w:sz w:val="20"/>
          <w:szCs w:val="20"/>
        </w:rPr>
        <w:t xml:space="preserve"> </w:t>
      </w:r>
    </w:p>
    <w:p w:rsidR="00000000" w:rsidRDefault="00A52409">
      <w:pPr>
        <w:pStyle w:val="1"/>
        <w:spacing w:after="66"/>
        <w:ind w:left="344" w:hanging="353"/>
      </w:pPr>
      <w:r>
        <w:rPr>
          <w:sz w:val="22"/>
          <w:szCs w:val="22"/>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22"/>
          <w:szCs w:val="22"/>
        </w:rPr>
        <w:t>DISCUSSION</w:t>
      </w:r>
      <w:r>
        <w:rPr>
          <w:rStyle w:val="not-translated-para"/>
          <w:sz w:val="22"/>
          <w:szCs w:val="22"/>
        </w:rPr>
        <w:t>S</w:t>
      </w:r>
    </w:p>
    <w:p w:rsidR="00000000" w:rsidRDefault="00A52409">
      <w:pPr>
        <w:ind w:left="-15" w:firstLine="0"/>
      </w:pPr>
      <w:r>
        <w:rPr>
          <w:rStyle w:val="not-translated-para"/>
          <w:b/>
          <w:bCs/>
        </w:rPr>
        <w:t>Data Augmentation and Collaboration.</w:t>
      </w:r>
      <w:r>
        <w:rPr>
          <w:rStyle w:val="not-translated-para"/>
          <w:b/>
          <w:bCs/>
        </w:rPr>
        <w:t xml:space="preserve"> </w:t>
      </w:r>
      <w:r>
        <w:rPr>
          <w:rStyle w:val="not-translated-para"/>
        </w:rPr>
        <w:t>To facilitate credibility initialization, we apply data augmentation to expand local data size to help DPGAN generate reliable samples within a moderate privacy budget. However, data augmentation is intended to increase the amount of training data using in</w:t>
      </w:r>
      <w:r>
        <w:rPr>
          <w:rStyle w:val="not-translated-para"/>
        </w:rPr>
        <w:t>formation inherent in local training data, and thus improve the generalizability of local model, while not helpful for generalizing to unseen data. In other words, it cannot represent global distribution, and this explains why parties still need collaborat</w:t>
      </w:r>
      <w:r>
        <w:rPr>
          <w:rStyle w:val="not-translated-para"/>
        </w:rPr>
        <w:t>ion for better utility even after data augmentation. By using DPGAN, it not only preserves privacy of the original data, but also preserves privacy of the augmented data that are similar to the original data</w:t>
      </w:r>
      <w:r>
        <w:rPr>
          <w:rStyle w:val="not-translated-para"/>
        </w:rPr>
        <w:t>.</w:t>
      </w:r>
    </w:p>
    <w:tbl>
      <w:tblPr>
        <w:tblpPr w:vertAnchor="text"/>
        <w:tblW w:w="10320" w:type="dxa"/>
        <w:tblCellMar>
          <w:left w:w="0" w:type="dxa"/>
          <w:right w:w="0" w:type="dxa"/>
        </w:tblCellMar>
        <w:tblLook w:val="04A0" w:firstRow="1" w:lastRow="0" w:firstColumn="1" w:lastColumn="0" w:noHBand="0" w:noVBand="1"/>
      </w:tblPr>
      <w:tblGrid>
        <w:gridCol w:w="10320"/>
      </w:tblGrid>
      <w:tr w:rsidR="00000000">
        <w:trPr>
          <w:trHeight w:val="670"/>
        </w:trPr>
        <w:tc>
          <w:tcPr>
            <w:tcW w:w="10320" w:type="dxa"/>
            <w:tcMar>
              <w:top w:w="0" w:type="dxa"/>
              <w:left w:w="0" w:type="dxa"/>
              <w:bottom w:w="2" w:type="dxa"/>
              <w:right w:w="0" w:type="dxa"/>
            </w:tcMar>
            <w:vAlign w:val="bottom"/>
            <w:hideMark/>
          </w:tcPr>
          <w:p w:rsidR="00000000" w:rsidRDefault="00A52409">
            <w:pPr>
              <w:spacing w:after="219" w:line="256" w:lineRule="auto"/>
              <w:ind w:left="474" w:firstLine="0"/>
              <w:jc w:val="left"/>
            </w:pPr>
            <w:r>
              <w:rPr>
                <w:noProof/>
              </w:rPr>
              <w:drawing>
                <wp:inline distT="0" distB="0" distL="0" distR="0">
                  <wp:extent cx="5953125" cy="1704975"/>
                  <wp:effectExtent l="0" t="0" r="9525" b="9525"/>
                  <wp:docPr id="34" name="Picture 17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01"/>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5953125" cy="1704975"/>
                          </a:xfrm>
                          <a:prstGeom prst="rect">
                            <a:avLst/>
                          </a:prstGeom>
                          <a:noFill/>
                          <a:ln>
                            <a:noFill/>
                          </a:ln>
                        </pic:spPr>
                      </pic:pic>
                    </a:graphicData>
                  </a:graphic>
                </wp:inline>
              </w:drawing>
            </w:r>
          </w:p>
          <w:p w:rsidR="00000000" w:rsidRDefault="00A52409">
            <w:pPr>
              <w:spacing w:after="0" w:line="256" w:lineRule="auto"/>
              <w:ind w:firstLine="0"/>
            </w:pPr>
            <w:r>
              <w:rPr>
                <w:rStyle w:val="not-translated-para"/>
              </w:rPr>
              <w:t>Fig. 12: How affects fairness and accuracy in</w:t>
            </w:r>
            <w:r>
              <w:rPr>
                <w:rStyle w:val="not-translated-para"/>
              </w:rPr>
              <w:t xml:space="preserve"> normal and malicious settings. First two figures correspond to setting 2 with sharing level of [0.01,0.1,0.25,0.35] and [0.1,0.2,0.3,0.4], and setting 3 with data shard of [437,980,150,833] among four honest parties. The last figure simulates setting 3 wi</w:t>
            </w:r>
            <w:r>
              <w:rPr>
                <w:rStyle w:val="not-translated-para"/>
              </w:rPr>
              <w:t>th data shard of [437,980,150,833]) among four honest partie</w:t>
            </w:r>
            <w:r>
              <w:rPr>
                <w:rStyle w:val="not-translated-para"/>
              </w:rPr>
              <w:t>s</w:t>
            </w:r>
            <w:r>
              <w:rPr>
                <w:rStyle w:val="not-translated-para"/>
                <w:rFonts w:ascii="Cambria" w:hAnsi="Cambria"/>
                <w:i/>
                <w:iCs/>
                <w:sz w:val="20"/>
                <w:szCs w:val="20"/>
              </w:rPr>
              <w:t>cth</w:t>
            </w:r>
            <w:r>
              <w:rPr>
                <w:rStyle w:val="not-translated-para"/>
                <w:rFonts w:ascii="Cambria" w:hAnsi="Cambria"/>
                <w:i/>
                <w:iCs/>
                <w:sz w:val="20"/>
                <w:szCs w:val="20"/>
              </w:rPr>
              <w:t xml:space="preserve"> </w:t>
            </w:r>
          </w:p>
        </w:tc>
      </w:tr>
    </w:tbl>
    <w:p w:rsidR="00000000" w:rsidRDefault="00A52409">
      <w:pPr>
        <w:ind w:left="-15"/>
      </w:pPr>
      <w:r>
        <w:rPr>
          <w:rStyle w:val="not-translated-para"/>
          <w:b/>
          <w:bCs/>
        </w:rPr>
        <w:t>Fairness and Privacy.</w:t>
      </w:r>
      <w:r>
        <w:rPr>
          <w:rStyle w:val="not-translated-para"/>
          <w:b/>
          <w:bCs/>
        </w:rPr>
        <w:t xml:space="preserve"> </w:t>
      </w:r>
      <w:r>
        <w:rPr>
          <w:rStyle w:val="not-translated-para"/>
        </w:rPr>
        <w:t>With three-layer onion-style encryption, privacy is better preserved without compromising utility. We ensure fairness from two ways: (i) during initial benchmarking, p</w:t>
      </w:r>
      <w:r>
        <w:rPr>
          <w:rStyle w:val="not-translated-para"/>
        </w:rPr>
        <w:t xml:space="preserve">arties generate DPGAN samples based on their local training data, which are then evaluated by other parties&amp;apos; standalone models to mutually initialize the local credibilities of other parties; and (ii) during collaborative learning process, each party </w:t>
      </w:r>
      <w:r>
        <w:rPr>
          <w:rStyle w:val="not-translated-para"/>
        </w:rPr>
        <w:t>randomly selects and shares a subset of DPGAN samples as per individual sharing level at each round of communication, then updates the local credibility values for other parties who evaluate the received DPGAN samples using their local models at current ro</w:t>
      </w:r>
      <w:r>
        <w:rPr>
          <w:rStyle w:val="not-translated-para"/>
        </w:rPr>
        <w:t xml:space="preserve">und. Therefore, local credibility of each party keeps changing, reflecting more accurate relative contribution and thus possessing better fairness. Differentially private training of deep models provides another alternative solution by releasing gradients </w:t>
      </w:r>
      <w:r>
        <w:rPr>
          <w:rStyle w:val="not-translated-para"/>
        </w:rPr>
        <w:t>after each epoch or several epochs of and one more malicious party indicated in Section 7</w:t>
      </w:r>
      <w:r>
        <w:rPr>
          <w:rStyle w:val="not-translated-para"/>
        </w:rPr>
        <w:t>.</w:t>
      </w:r>
    </w:p>
    <w:p w:rsidR="00000000" w:rsidRDefault="00A52409">
      <w:pPr>
        <w:spacing w:after="334" w:line="264" w:lineRule="auto"/>
        <w:ind w:left="10" w:right="-15" w:hanging="10"/>
        <w:jc w:val="right"/>
      </w:pPr>
      <w:r>
        <w:t>.</w:t>
      </w:r>
    </w:p>
    <w:p w:rsidR="00000000" w:rsidRDefault="00A52409">
      <w:pPr>
        <w:ind w:left="-15" w:right="117" w:firstLine="0"/>
      </w:pPr>
      <w:r>
        <w:rPr>
          <w:rStyle w:val="not-translated-para"/>
        </w:rPr>
        <w:t>local training, thus enabling each party to verify the claims of other parties and update their local credibility values as per the received gradients during colla</w:t>
      </w:r>
      <w:r>
        <w:rPr>
          <w:rStyle w:val="not-translated-para"/>
        </w:rPr>
        <w:t>borative learning process. One obstacle is that differentially private models may significantly reduce utility for small values</w:t>
      </w:r>
      <w:r>
        <w:rPr>
          <w:rStyle w:val="not-translated-para"/>
        </w:rPr>
        <w:t>.</w:t>
      </w:r>
      <w:r>
        <w:rPr>
          <w:rFonts w:ascii="Cambria" w:hAnsi="Cambria"/>
          <w:i/>
          <w:iCs/>
          <w:sz w:val="20"/>
          <w:szCs w:val="20"/>
        </w:rPr>
        <w:t> </w:t>
      </w:r>
    </w:p>
    <w:p w:rsidR="00000000" w:rsidRDefault="00A52409">
      <w:pPr>
        <w:ind w:left="-15" w:right="117"/>
      </w:pPr>
      <w:r>
        <w:rPr>
          <w:rStyle w:val="not-translated-para"/>
          <w:b/>
          <w:bCs/>
        </w:rPr>
        <w:t>Attacker Prevention.</w:t>
      </w:r>
      <w:r>
        <w:rPr>
          <w:rStyle w:val="not-translated-para"/>
          <w:b/>
          <w:bCs/>
        </w:rPr>
        <w:t xml:space="preserve"> </w:t>
      </w:r>
      <w:r>
        <w:rPr>
          <w:rStyle w:val="not-translated-para"/>
        </w:rPr>
        <w:t>Although the capability of detecting and isolating malicious parties is not the main focus of this paper,</w:t>
      </w:r>
      <w:r>
        <w:rPr>
          <w:rStyle w:val="not-translated-para"/>
        </w:rPr>
        <w:t xml:space="preserve"> we next discuss how our design can help prevent certain behaviours of inside attacker, and resist the outside attacker as a by-product of FPPDL</w:t>
      </w:r>
      <w:r>
        <w:rPr>
          <w:rStyle w:val="not-translated-para"/>
        </w:rPr>
        <w:t>.</w:t>
      </w:r>
    </w:p>
    <w:p w:rsidR="00000000" w:rsidRDefault="00A52409">
      <w:pPr>
        <w:ind w:left="-15" w:right="117"/>
      </w:pPr>
      <w:r>
        <w:rPr>
          <w:rStyle w:val="not-translated-para"/>
        </w:rPr>
        <w:t>For an inside attacker who is a participant in the decentralized system, we specially consider an interesting case: a free-rider without any data, and we remark that this freerider belongs to the category of low-contribution party. During initialization, t</w:t>
      </w:r>
      <w:r>
        <w:rPr>
          <w:rStyle w:val="not-translated-para"/>
        </w:rPr>
        <w:t xml:space="preserve">his free-rider may choose to send the fake information to other parties. For example, it may randomly sample from 10 classes as predicted labels for the received DPGAN samples, then release them to the corresponding party who publishes these DPGAN samples </w:t>
      </w:r>
      <w:r>
        <w:rPr>
          <w:rStyle w:val="not-translated-para"/>
        </w:rPr>
        <w:t>and requests labels. When the publisher receives the returned random labels from the free-rider and detects that most of them are not aligned with the majority voting, i.e., , then the free-rider will be reported as a “low-contribution” party. If the major</w:t>
      </w:r>
      <w:r>
        <w:rPr>
          <w:rStyle w:val="not-translated-para"/>
        </w:rPr>
        <w:t>ity of parties report the free-rider as “lowcontribution”, then the Blockchain rules out the free-rider from the credible party set, and all parties would terminate the collaboration with the free-rider. In this way, such a malicious party is isolated from</w:t>
      </w:r>
      <w:r>
        <w:rPr>
          <w:rStyle w:val="not-translated-para"/>
        </w:rPr>
        <w:t xml:space="preserve"> the beginning, while the collaboration among the remaining parties will not be affected. Even though the free-rider might succeed in initialization somehow, its local credibility would be significantly lower compared with the other honest parties</w:t>
      </w:r>
      <w:r>
        <w:rPr>
          <w:rStyle w:val="not-translated-para"/>
        </w:rPr>
        <w:t>.</w:t>
      </w:r>
    </w:p>
    <w:p w:rsidR="00000000" w:rsidRDefault="00A52409">
      <w:pPr>
        <w:ind w:left="-15" w:right="117"/>
      </w:pPr>
      <w:r>
        <w:rPr>
          <w:rStyle w:val="not-translated-para"/>
        </w:rPr>
        <w:t>To furt</w:t>
      </w:r>
      <w:r>
        <w:rPr>
          <w:rStyle w:val="not-translated-para"/>
        </w:rPr>
        <w:t xml:space="preserve">her detect and isolate this malicious party during the collaborative learning process, we repeat mutual evaluation at each round of collaborative learning by using samples generated at the initialization phase, i.e., each party randomly selects and shares </w:t>
      </w:r>
      <w:r>
        <w:rPr>
          <w:rStyle w:val="not-translated-para"/>
        </w:rPr>
        <w:t>a subset of DPGAN samples as per individual sharing level in each round of collaborative learning, then updates the local credibility values of other parties by comparing the majority labels with the received labels output by the local models of other part</w:t>
      </w:r>
      <w:r>
        <w:rPr>
          <w:rStyle w:val="not-translated-para"/>
        </w:rPr>
        <w:t>ies in current round of training. Hence, the chance of the survival of the malicious party is significantly reduced, thus it will not dominate the whole system. Note that the lower bound of the acceptable credibility threshold can be agreed by the system r</w:t>
      </w:r>
      <w:r>
        <w:rPr>
          <w:rStyle w:val="not-translated-para"/>
        </w:rPr>
        <w:t>equirement. For the outsider attacker like the eavesdropper who aims to steal the exchanged information by eavesdropping on the communication channels among parties, differential privacy used in the first stage and threelayer onion-style encryption applied</w:t>
      </w:r>
      <w:r>
        <w:rPr>
          <w:rStyle w:val="not-translated-para"/>
        </w:rPr>
        <w:t xml:space="preserve"> in the second stage inherently prevent the success of this attack</w:t>
      </w:r>
      <w:r>
        <w:rPr>
          <w:rStyle w:val="not-translated-para"/>
        </w:rPr>
        <w:t>.</w:t>
      </w:r>
    </w:p>
    <w:p w:rsidR="00000000" w:rsidRDefault="00A52409">
      <w:pPr>
        <w:ind w:left="-15"/>
      </w:pPr>
      <w:r>
        <w:rPr>
          <w:rStyle w:val="not-translated-para"/>
        </w:rPr>
        <w:t>We recognize that our current design may not be resistant to all the malicious parties who can arbitrarily deviate from the protocol, sending incorrect and/or arbitrarily chosen messages t</w:t>
      </w:r>
      <w:r>
        <w:rPr>
          <w:rStyle w:val="not-translated-para"/>
        </w:rPr>
        <w:t>o honest parties, aborting, omitting messages, and sharing their entire view of the protocol with each other. For example, a malicious party who aims to compromise other parties&amp;apos; local model integrity (prevent other parties from learning reasonable mo</w:t>
      </w:r>
      <w:r>
        <w:rPr>
          <w:rStyle w:val="not-translated-para"/>
        </w:rPr>
        <w:t>dels) may adaptively or alternatively adjust its behaviour by behaving normally during releasing DPGAN samples to avoid being detected and kicked out, while poisoning the second stage by sending random local gradients or local gradients with the embedded b</w:t>
      </w:r>
      <w:r>
        <w:rPr>
          <w:rStyle w:val="not-translated-para"/>
        </w:rPr>
        <w:t>ackdoor behavior to the requester. However, in this case, this malicious party is unlikely to obtain a reasonable local model or steal any party&amp;apos;s personal information</w:t>
      </w:r>
      <w:r>
        <w:rPr>
          <w:rStyle w:val="not-translated-para"/>
        </w:rPr>
        <w:t>.</w:t>
      </w:r>
    </w:p>
    <w:p w:rsidR="00000000" w:rsidRDefault="00A52409">
      <w:pPr>
        <w:spacing w:after="406"/>
        <w:ind w:left="-15"/>
      </w:pPr>
      <w:r>
        <w:rPr>
          <w:rStyle w:val="not-translated-para"/>
        </w:rPr>
        <w:t>Moreover, to prevent the success of the poisoning attack, one potential solution i</w:t>
      </w:r>
      <w:r>
        <w:rPr>
          <w:rStyle w:val="not-translated-para"/>
        </w:rPr>
        <w:t>s to let each party repeat local prediction process on its hold-out validation set by using individually aggregated gradients. Each party will release a signal to indicate whether its aggregated gradients can give a reasonable accuracy result, or help impr</w:t>
      </w:r>
      <w:r>
        <w:rPr>
          <w:rStyle w:val="not-translated-para"/>
        </w:rPr>
        <w:t xml:space="preserve">ove prediction on local validation set, if majority party report local validation accuracy lower than a threshold, or negative gain on local validation accuracy, then the system terminates to avoid being further poisoned. We leave this open problem to our </w:t>
      </w:r>
      <w:r>
        <w:rPr>
          <w:rStyle w:val="not-translated-para"/>
        </w:rPr>
        <w:t>future work, and our current design is mainly for the business applications, where parties act with legal liabilities</w:t>
      </w:r>
      <w:r>
        <w:rPr>
          <w:rStyle w:val="not-translated-para"/>
        </w:rPr>
        <w:t>.</w:t>
      </w:r>
    </w:p>
    <w:p w:rsidR="00000000" w:rsidRDefault="00A52409">
      <w:pPr>
        <w:pStyle w:val="1"/>
        <w:spacing w:after="44"/>
        <w:ind w:left="344" w:hanging="353"/>
      </w:pPr>
      <w:r>
        <w:rPr>
          <w:sz w:val="22"/>
          <w:szCs w:val="22"/>
        </w:rP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22"/>
          <w:szCs w:val="22"/>
        </w:rPr>
        <w:t>CONCLUSIONS AND FUTURE WOR</w:t>
      </w:r>
      <w:r>
        <w:rPr>
          <w:rStyle w:val="not-translated-para"/>
          <w:sz w:val="22"/>
          <w:szCs w:val="22"/>
        </w:rPr>
        <w:t>K</w:t>
      </w:r>
    </w:p>
    <w:p w:rsidR="00000000" w:rsidRDefault="00A52409">
      <w:pPr>
        <w:ind w:left="-15" w:firstLine="0"/>
      </w:pPr>
      <w:r>
        <w:rPr>
          <w:rStyle w:val="not-translated-para"/>
        </w:rPr>
        <w:t xml:space="preserve">This paper proposes FPPDL, a decentralized privacypreserving deep learning framework with fairness </w:t>
      </w:r>
      <w:r>
        <w:rPr>
          <w:rStyle w:val="not-translated-para"/>
        </w:rPr>
        <w:t>considerations. Our enhanced framework shows the following properties: (1) it inherently resolves the relevant issues in the server-based frameworks, and investigates Blockchain for decentralization; (2) it makes the first investigation on the research pro</w:t>
      </w:r>
      <w:r>
        <w:rPr>
          <w:rStyle w:val="not-translated-para"/>
        </w:rPr>
        <w:t>blem of collaborative fairness in deep learning, by introducing a notion of local credibility and transaction points, which are initialized by initial benchmarking, and updated during privacy-preserving collaborative deep learning; (3) it combines Differen</w:t>
      </w:r>
      <w:r>
        <w:rPr>
          <w:rStyle w:val="not-translated-para"/>
        </w:rPr>
        <w:t>tially Private GAN (DPGAN) and a three-layer onion-style encryption scheme to guarantee both accuracy and privacy; (4) it provides a viable solution to detect and reduce the impact of low-contribution parties in the system. The experimental results demonst</w:t>
      </w:r>
      <w:r>
        <w:rPr>
          <w:rStyle w:val="not-translated-para"/>
        </w:rPr>
        <w:t>rate that our FPPDL achieves comparable accuracy to both the centralized and distributed selective SGD framework without differential privacy, and always delivers better results than the standalone framework, confirming the applicability of our proposed fr</w:t>
      </w:r>
      <w:r>
        <w:rPr>
          <w:rStyle w:val="not-translated-para"/>
        </w:rPr>
        <w:t>amework</w:t>
      </w:r>
      <w:r>
        <w:rPr>
          <w:rStyle w:val="not-translated-para"/>
        </w:rPr>
        <w:t>.</w:t>
      </w:r>
    </w:p>
    <w:p w:rsidR="00000000" w:rsidRDefault="00A52409">
      <w:pPr>
        <w:spacing w:after="352"/>
        <w:ind w:left="-15"/>
      </w:pPr>
      <w:r>
        <w:rPr>
          <w:rStyle w:val="not-translated-para"/>
        </w:rPr>
        <w:t>A number of avenues for further work are attractive. In particular, we would like to study how to quantify fairness in Non-IID setting, and investigate more malicious behaviours and byzantine or sybil adversary in the decentralized system. We also</w:t>
      </w:r>
      <w:r>
        <w:rPr>
          <w:rStyle w:val="not-translated-para"/>
        </w:rPr>
        <w:t xml:space="preserve"> expect to deploy our system into a wide spectrum of real-world applications</w:t>
      </w:r>
      <w:r>
        <w:rPr>
          <w:rStyle w:val="not-translated-para"/>
        </w:rPr>
        <w:t>.</w:t>
      </w:r>
    </w:p>
    <w:p w:rsidR="00000000" w:rsidRDefault="00A52409">
      <w:pPr>
        <w:pStyle w:val="1"/>
        <w:ind w:left="1" w:firstLine="0"/>
      </w:pPr>
      <w:r>
        <w:rPr>
          <w:rStyle w:val="not-translated-para"/>
          <w:sz w:val="22"/>
          <w:szCs w:val="22"/>
        </w:rPr>
        <w:t>ACKNOWLEDGMENT</w:t>
      </w:r>
      <w:r>
        <w:rPr>
          <w:rStyle w:val="not-translated-para"/>
          <w:sz w:val="22"/>
          <w:szCs w:val="22"/>
        </w:rPr>
        <w:t>S</w:t>
      </w:r>
    </w:p>
    <w:p w:rsidR="00000000" w:rsidRDefault="00A52409">
      <w:pPr>
        <w:spacing w:after="350"/>
        <w:ind w:left="-15" w:firstLine="0"/>
      </w:pPr>
      <w:r>
        <w:rPr>
          <w:rStyle w:val="not-translated-para"/>
        </w:rPr>
        <w:t>This work is supported, in part, by IBM PhD Fellowship; ANU Translational Fellowship; Nanyang Assistant Professorship (NAP); and NTU-WeBank JRI (NWJ-2019-007). Th</w:t>
      </w:r>
      <w:r>
        <w:rPr>
          <w:rStyle w:val="not-translated-para"/>
        </w:rPr>
        <w:t>e authors would like to thank Prof. Benjamin Rubinstein, Dr. Kumar Bhaskaran, and Prof. Marimuthu Palaniswami for their insightful discussions. This research was undertaken using the LIEF HPC-GPGPU Facility hosted at the University of Melbourne. This Facil</w:t>
      </w:r>
      <w:r>
        <w:rPr>
          <w:rStyle w:val="not-translated-para"/>
        </w:rPr>
        <w:t>ity was established with the assistance of LIEF Grant LE170100200</w:t>
      </w:r>
      <w:r>
        <w:rPr>
          <w:rStyle w:val="not-translated-para"/>
        </w:rPr>
        <w:t>.</w:t>
      </w:r>
    </w:p>
    <w:p w:rsidR="00000000" w:rsidRDefault="00A52409">
      <w:pPr>
        <w:pStyle w:val="1"/>
        <w:ind w:left="1" w:firstLine="0"/>
      </w:pPr>
      <w:r>
        <w:rPr>
          <w:rStyle w:val="not-translated-para"/>
          <w:sz w:val="22"/>
          <w:szCs w:val="22"/>
        </w:rPr>
        <w:t>REFERENCE</w:t>
      </w:r>
      <w:r>
        <w:rPr>
          <w:rStyle w:val="not-translated-para"/>
          <w:sz w:val="22"/>
          <w:szCs w:val="22"/>
        </w:rPr>
        <w:t>S</w:t>
      </w:r>
    </w:p>
    <w:p w:rsidR="00000000" w:rsidRDefault="00A52409">
      <w:pPr>
        <w:spacing w:after="14" w:line="230" w:lineRule="auto"/>
        <w:ind w:left="362" w:hanging="362"/>
      </w:pPr>
      <w:r>
        <w:rPr>
          <w:rStyle w:val="not-translated-para"/>
          <w:sz w:val="16"/>
          <w:szCs w:val="16"/>
        </w:rPr>
        <w:t xml:space="preserve">[1] A. Krizhevsky, I. Sutskever, and G. E. Hinton, “Imagenet classification with deep convolutional neural networks,” in Advances in Neural Information Processing Systems, 2012, </w:t>
      </w:r>
      <w:r>
        <w:rPr>
          <w:rStyle w:val="not-translated-para"/>
          <w:sz w:val="16"/>
          <w:szCs w:val="16"/>
        </w:rPr>
        <w:t>pp. 1097–1105</w:t>
      </w:r>
      <w:r>
        <w:rPr>
          <w:rStyle w:val="not-translated-para"/>
          <w:sz w:val="16"/>
          <w:szCs w:val="16"/>
        </w:rPr>
        <w:t>.</w:t>
      </w:r>
    </w:p>
    <w:p w:rsidR="00000000" w:rsidRDefault="00A52409">
      <w:pPr>
        <w:spacing w:after="14" w:line="230" w:lineRule="auto"/>
        <w:ind w:left="362" w:hanging="362"/>
      </w:pPr>
      <w:r>
        <w:rPr>
          <w:rStyle w:val="not-translated-para"/>
          <w:sz w:val="16"/>
          <w:szCs w:val="16"/>
        </w:rPr>
        <w:t>[2] Y. Wang, W. Liu, X. Ma, J. Bailey, H. Zha, L. Song, and S.-T. Xia, “Iterative learning with open-set noisy labels,” arXiv preprint arXiv:1804.00092, 2018</w:t>
      </w:r>
      <w:r>
        <w:rPr>
          <w:rStyle w:val="not-translated-para"/>
          <w:sz w:val="16"/>
          <w:szCs w:val="16"/>
        </w:rPr>
        <w:t>.</w:t>
      </w:r>
    </w:p>
    <w:p w:rsidR="00000000" w:rsidRDefault="00A52409">
      <w:pPr>
        <w:spacing w:after="14" w:line="230" w:lineRule="auto"/>
        <w:ind w:left="362" w:hanging="362"/>
      </w:pPr>
      <w:r>
        <w:rPr>
          <w:rStyle w:val="not-translated-para"/>
          <w:sz w:val="16"/>
          <w:szCs w:val="16"/>
        </w:rPr>
        <w:t xml:space="preserve">[3] </w:t>
      </w:r>
      <w:r>
        <w:rPr>
          <w:rStyle w:val="not-translated-para"/>
          <w:sz w:val="16"/>
          <w:szCs w:val="16"/>
        </w:rPr>
        <w:t>X. Ma, Y. Wang, M. E. Houle, S. Zhou, S. M. Erfani, S.-T. Xia, S. Wijewickrema, and J. Bailey, “Dimensionality-driven learning with noisy labels,” arXiv preprint arXiv:1806.02612, 2018</w:t>
      </w:r>
      <w:r>
        <w:rPr>
          <w:rStyle w:val="not-translated-para"/>
          <w:sz w:val="16"/>
          <w:szCs w:val="16"/>
        </w:rPr>
        <w:t>.</w:t>
      </w:r>
    </w:p>
    <w:p w:rsidR="00000000" w:rsidRDefault="00A52409">
      <w:pPr>
        <w:spacing w:after="14" w:line="230" w:lineRule="auto"/>
        <w:ind w:left="362" w:hanging="362"/>
      </w:pPr>
      <w:r>
        <w:rPr>
          <w:rStyle w:val="not-translated-para"/>
          <w:sz w:val="16"/>
          <w:szCs w:val="16"/>
        </w:rPr>
        <w:t xml:space="preserve">[4] Q. Yang, Y. Liu, Y. Cheng, Y. Kang, T. Chen, and H. Yu, Federated </w:t>
      </w:r>
      <w:r>
        <w:rPr>
          <w:rStyle w:val="not-translated-para"/>
          <w:sz w:val="16"/>
          <w:szCs w:val="16"/>
        </w:rPr>
        <w:t>Learning. Morgan &amp; Claypool Publishers, 2019</w:t>
      </w:r>
      <w:r>
        <w:rPr>
          <w:rStyle w:val="not-translated-para"/>
          <w:sz w:val="16"/>
          <w:szCs w:val="16"/>
        </w:rPr>
        <w:t>.</w:t>
      </w:r>
    </w:p>
    <w:p w:rsidR="00000000" w:rsidRDefault="00A52409">
      <w:pPr>
        <w:spacing w:after="14" w:line="230" w:lineRule="auto"/>
        <w:ind w:left="362" w:hanging="362"/>
      </w:pPr>
      <w:r>
        <w:rPr>
          <w:rStyle w:val="not-translated-para"/>
          <w:sz w:val="16"/>
          <w:szCs w:val="16"/>
        </w:rPr>
        <w:t>[5] H. B. McMahan, E. Moore, D. Ramage, and B. A. y Arcas, “Federated learning of deep networks using model averaging,” arXiv preprint arXiv:1602.05629, 2016</w:t>
      </w:r>
      <w:r>
        <w:rPr>
          <w:rStyle w:val="not-translated-para"/>
          <w:sz w:val="16"/>
          <w:szCs w:val="16"/>
        </w:rPr>
        <w:t>.</w:t>
      </w:r>
    </w:p>
    <w:p w:rsidR="00000000" w:rsidRDefault="00A52409">
      <w:pPr>
        <w:spacing w:after="14" w:line="230" w:lineRule="auto"/>
        <w:ind w:left="362" w:hanging="362"/>
      </w:pPr>
      <w:r>
        <w:rPr>
          <w:rStyle w:val="not-translated-para"/>
          <w:sz w:val="16"/>
          <w:szCs w:val="16"/>
        </w:rPr>
        <w:t>[6] R. Cummings, V. Gupta, D. Kimpara, and J. Morge</w:t>
      </w:r>
      <w:r>
        <w:rPr>
          <w:rStyle w:val="not-translated-para"/>
          <w:sz w:val="16"/>
          <w:szCs w:val="16"/>
        </w:rPr>
        <w:t>nstern, “On the compatibility of privacy and fairness,” 2019</w:t>
      </w:r>
      <w:r>
        <w:rPr>
          <w:rStyle w:val="not-translated-para"/>
          <w:sz w:val="16"/>
          <w:szCs w:val="16"/>
        </w:rPr>
        <w:t>.</w:t>
      </w:r>
    </w:p>
    <w:p w:rsidR="00000000" w:rsidRDefault="00A52409">
      <w:pPr>
        <w:spacing w:after="14" w:line="230" w:lineRule="auto"/>
        <w:ind w:left="362" w:hanging="362"/>
      </w:pPr>
      <w:r>
        <w:rPr>
          <w:rStyle w:val="not-translated-para"/>
          <w:sz w:val="16"/>
          <w:szCs w:val="16"/>
        </w:rPr>
        <w:t>[7] M. Jagielski, M. Kearns, J. Mao, A. Oprea, A. Roth, S. SharifiMalvajerdi, and J. Ullman, “Differentially private fair learning,” arXiv preprint arXiv:1812.02696, 2018</w:t>
      </w:r>
      <w:r>
        <w:rPr>
          <w:rStyle w:val="not-translated-para"/>
          <w:sz w:val="16"/>
          <w:szCs w:val="16"/>
        </w:rPr>
        <w:t>.</w:t>
      </w:r>
    </w:p>
    <w:p w:rsidR="00000000" w:rsidRDefault="00A52409">
      <w:pPr>
        <w:spacing w:after="14" w:line="230" w:lineRule="auto"/>
        <w:ind w:left="362" w:hanging="362"/>
      </w:pPr>
      <w:r>
        <w:rPr>
          <w:rStyle w:val="not-translated-para"/>
          <w:sz w:val="16"/>
          <w:szCs w:val="16"/>
        </w:rPr>
        <w:t xml:space="preserve">[8] H. Yu, Z. Liu, Y. </w:t>
      </w:r>
      <w:r>
        <w:rPr>
          <w:rStyle w:val="not-translated-para"/>
          <w:sz w:val="16"/>
          <w:szCs w:val="16"/>
        </w:rPr>
        <w:t>Liu, T. Chen, M. Cong, X. Weng, D. Niyato, and Q. Yang, “A fairness-aware incentive scheme for federated learning,” in Proceedings of the 3rd AAAI/ACM Conference on AI, Ethics, and Society (AIES-20), 2020, pp. 393–399</w:t>
      </w:r>
      <w:r>
        <w:rPr>
          <w:rStyle w:val="not-translated-para"/>
          <w:sz w:val="16"/>
          <w:szCs w:val="16"/>
        </w:rPr>
        <w:t>.</w:t>
      </w:r>
    </w:p>
    <w:p w:rsidR="00000000" w:rsidRDefault="00A52409">
      <w:pPr>
        <w:spacing w:after="14" w:line="230" w:lineRule="auto"/>
        <w:ind w:left="362" w:hanging="362"/>
      </w:pPr>
      <w:r>
        <w:rPr>
          <w:rStyle w:val="not-translated-para"/>
          <w:sz w:val="16"/>
          <w:szCs w:val="16"/>
        </w:rPr>
        <w:t>[9] J. Dean, G. Corrado, R. Monga, K.</w:t>
      </w:r>
      <w:r>
        <w:rPr>
          <w:rStyle w:val="not-translated-para"/>
          <w:sz w:val="16"/>
          <w:szCs w:val="16"/>
        </w:rPr>
        <w:t xml:space="preserve"> Chen, M. Devin, M. Mao</w:t>
      </w:r>
      <w:r>
        <w:rPr>
          <w:rStyle w:val="not-translated-para"/>
          <w:sz w:val="16"/>
          <w:szCs w:val="16"/>
        </w:rPr>
        <w:t>,</w:t>
      </w:r>
    </w:p>
    <w:p w:rsidR="00000000" w:rsidRDefault="00A52409">
      <w:pPr>
        <w:spacing w:after="14" w:line="230" w:lineRule="auto"/>
        <w:ind w:left="362" w:firstLine="0"/>
      </w:pPr>
      <w:r>
        <w:rPr>
          <w:rStyle w:val="not-translated-para"/>
          <w:sz w:val="16"/>
          <w:szCs w:val="16"/>
        </w:rPr>
        <w:t>A. Senior, P. Tucker, K. Yang, Q. V. Le et al., “Large scale distributed deep networks,” in Advances in neural information processing systems, 2012, pp. 1223–1231</w:t>
      </w:r>
      <w:r>
        <w:rPr>
          <w:rStyle w:val="not-translated-para"/>
          <w:sz w:val="16"/>
          <w:szCs w:val="16"/>
        </w:rPr>
        <w:t>.</w:t>
      </w:r>
    </w:p>
    <w:p w:rsidR="00000000" w:rsidRDefault="00A52409">
      <w:pPr>
        <w:spacing w:after="14" w:line="230" w:lineRule="auto"/>
        <w:ind w:left="362" w:hanging="362"/>
      </w:pPr>
      <w:r>
        <w:rPr>
          <w:rStyle w:val="not-translated-para"/>
          <w:sz w:val="16"/>
          <w:szCs w:val="16"/>
        </w:rPr>
        <w:t xml:space="preserve">[10] </w:t>
      </w:r>
      <w:r>
        <w:rPr>
          <w:rStyle w:val="not-translated-para"/>
          <w:sz w:val="16"/>
          <w:szCs w:val="16"/>
        </w:rPr>
        <w:t>M. Zinkevich, M. Weimer, L. Li, and A. J. Smola, “Parallelized stochastic gradient descent,” in Advances in neural information processing systems, 2010, pp. 2595–2603</w:t>
      </w:r>
      <w:r>
        <w:rPr>
          <w:rStyle w:val="not-translated-para"/>
          <w:sz w:val="16"/>
          <w:szCs w:val="16"/>
        </w:rPr>
        <w:t>.</w:t>
      </w:r>
    </w:p>
    <w:p w:rsidR="00000000" w:rsidRDefault="00A52409">
      <w:pPr>
        <w:spacing w:after="14" w:line="230" w:lineRule="auto"/>
        <w:ind w:left="362" w:hanging="362"/>
      </w:pPr>
      <w:r>
        <w:rPr>
          <w:rStyle w:val="not-translated-para"/>
          <w:sz w:val="16"/>
          <w:szCs w:val="16"/>
        </w:rPr>
        <w:t>[11] R. Shokri and V. Shmatikov, “Privacy-preserving deep learning,” in Proceedings of t</w:t>
      </w:r>
      <w:r>
        <w:rPr>
          <w:rStyle w:val="not-translated-para"/>
          <w:sz w:val="16"/>
          <w:szCs w:val="16"/>
        </w:rPr>
        <w:t>he 22nd ACM SIGSAC Conference on Computer and Communications Security. ACM, 2015, pp. 1310–1321</w:t>
      </w:r>
      <w:r>
        <w:rPr>
          <w:rStyle w:val="not-translated-para"/>
          <w:sz w:val="16"/>
          <w:szCs w:val="16"/>
        </w:rPr>
        <w:t>.</w:t>
      </w:r>
    </w:p>
    <w:p w:rsidR="00000000" w:rsidRDefault="00A52409">
      <w:pPr>
        <w:spacing w:after="14" w:line="230" w:lineRule="auto"/>
        <w:ind w:left="362" w:hanging="362"/>
      </w:pPr>
      <w:r>
        <w:rPr>
          <w:rStyle w:val="not-translated-para"/>
          <w:sz w:val="16"/>
          <w:szCs w:val="16"/>
        </w:rPr>
        <w:t>[12] L.-M. T-T Kuo, C-N Hsu, “Modelchain: Decentralized privacypreserving healthcare predictive modeling framework on private blockchain networks,” in ONC/NIST</w:t>
      </w:r>
      <w:r>
        <w:rPr>
          <w:rStyle w:val="not-translated-para"/>
          <w:sz w:val="16"/>
          <w:szCs w:val="16"/>
        </w:rPr>
        <w:t xml:space="preserve"> Blockchain in Healthcare and Research Workshop, Gaithersburg, MD, September 26-7, 2016</w:t>
      </w:r>
      <w:r>
        <w:rPr>
          <w:rStyle w:val="not-translated-para"/>
          <w:sz w:val="16"/>
          <w:szCs w:val="16"/>
        </w:rPr>
        <w:t>.</w:t>
      </w:r>
    </w:p>
    <w:p w:rsidR="00000000" w:rsidRDefault="00A52409">
      <w:pPr>
        <w:spacing w:after="14" w:line="230" w:lineRule="auto"/>
        <w:ind w:left="362" w:hanging="362"/>
      </w:pPr>
      <w:r>
        <w:rPr>
          <w:rStyle w:val="not-translated-para"/>
          <w:sz w:val="16"/>
          <w:szCs w:val="16"/>
        </w:rPr>
        <w:t>[13] X. Chen, J. Ji, C. Luo, W. Liao, and P. Li, “When machine learning meets blockchain: A decentralized, privacy-preserving and secure design,” in 2018 IEEE Internat</w:t>
      </w:r>
      <w:r>
        <w:rPr>
          <w:rStyle w:val="not-translated-para"/>
          <w:sz w:val="16"/>
          <w:szCs w:val="16"/>
        </w:rPr>
        <w:t>ional Conference on Big Data (Big Data). IEEE, 2018, pp. 1178–1187</w:t>
      </w:r>
      <w:r>
        <w:rPr>
          <w:rStyle w:val="not-translated-para"/>
          <w:sz w:val="16"/>
          <w:szCs w:val="16"/>
        </w:rPr>
        <w:t>.</w:t>
      </w:r>
    </w:p>
    <w:p w:rsidR="00000000" w:rsidRDefault="00A52409">
      <w:pPr>
        <w:spacing w:after="14" w:line="230" w:lineRule="auto"/>
        <w:ind w:left="362" w:hanging="362"/>
      </w:pPr>
      <w:r>
        <w:rPr>
          <w:rStyle w:val="not-translated-para"/>
          <w:sz w:val="16"/>
          <w:szCs w:val="16"/>
        </w:rPr>
        <w:t>[14] H. Kim, S.-H. Kim, J. Y. Hwang, and C. Seo, “Efficient privacypreserving machine learning for blockchain network,” IEEE Access, vol. 7, pp. 136 481–136 495, 2019</w:t>
      </w:r>
      <w:r>
        <w:rPr>
          <w:rStyle w:val="not-translated-para"/>
          <w:sz w:val="16"/>
          <w:szCs w:val="16"/>
        </w:rPr>
        <w:t>.</w:t>
      </w:r>
    </w:p>
    <w:p w:rsidR="00000000" w:rsidRDefault="00A52409">
      <w:pPr>
        <w:spacing w:after="14" w:line="230" w:lineRule="auto"/>
        <w:ind w:left="362" w:hanging="362"/>
      </w:pPr>
      <w:r>
        <w:rPr>
          <w:rStyle w:val="not-translated-para"/>
          <w:sz w:val="16"/>
          <w:szCs w:val="16"/>
        </w:rPr>
        <w:t xml:space="preserve">[15] X. Zhu, H. Li, </w:t>
      </w:r>
      <w:r>
        <w:rPr>
          <w:rStyle w:val="not-translated-para"/>
          <w:sz w:val="16"/>
          <w:szCs w:val="16"/>
        </w:rPr>
        <w:t>and Y. Yu, “Blockchain-based privacy preserving deep learning,” in International Conference on Information Security and Cryptology. Springer, 2018, pp. 370–383</w:t>
      </w:r>
      <w:r>
        <w:rPr>
          <w:rStyle w:val="not-translated-para"/>
          <w:sz w:val="16"/>
          <w:szCs w:val="16"/>
        </w:rPr>
        <w:t>.</w:t>
      </w:r>
    </w:p>
    <w:p w:rsidR="00000000" w:rsidRDefault="00A52409">
      <w:pPr>
        <w:spacing w:after="14" w:line="230" w:lineRule="auto"/>
        <w:ind w:left="362" w:hanging="362"/>
      </w:pPr>
      <w:r>
        <w:rPr>
          <w:rStyle w:val="not-translated-para"/>
          <w:sz w:val="16"/>
          <w:szCs w:val="16"/>
        </w:rPr>
        <w:t>[16] J. Weng, J. Weng, J. Zhang, M. Li, Y. Zhang, and W. Luo</w:t>
      </w:r>
      <w:r>
        <w:rPr>
          <w:rStyle w:val="not-translated-para"/>
          <w:sz w:val="16"/>
          <w:szCs w:val="16"/>
        </w:rPr>
        <w:t>,</w:t>
      </w:r>
    </w:p>
    <w:p w:rsidR="00000000" w:rsidRDefault="00A52409">
      <w:pPr>
        <w:spacing w:after="14" w:line="230" w:lineRule="auto"/>
        <w:ind w:left="362" w:firstLine="0"/>
      </w:pPr>
      <w:r>
        <w:rPr>
          <w:rStyle w:val="not-translated-para"/>
          <w:sz w:val="16"/>
          <w:szCs w:val="16"/>
        </w:rPr>
        <w:t>“Deepchain: Auditable and privacy</w:t>
      </w:r>
      <w:r>
        <w:rPr>
          <w:rStyle w:val="not-translated-para"/>
          <w:sz w:val="16"/>
          <w:szCs w:val="16"/>
        </w:rPr>
        <w:t>-preserving deep learning with blockchain-based incentive,” IEEE Transactions on Dependable and Secure Computing, 2019</w:t>
      </w:r>
      <w:r>
        <w:rPr>
          <w:rStyle w:val="not-translated-para"/>
          <w:sz w:val="16"/>
          <w:szCs w:val="16"/>
        </w:rPr>
        <w:t>.</w:t>
      </w:r>
    </w:p>
    <w:p w:rsidR="00000000" w:rsidRDefault="00A52409">
      <w:pPr>
        <w:spacing w:after="14" w:line="230" w:lineRule="auto"/>
        <w:ind w:left="362" w:hanging="362"/>
      </w:pPr>
      <w:r>
        <w:rPr>
          <w:rStyle w:val="not-translated-para"/>
          <w:sz w:val="16"/>
          <w:szCs w:val="16"/>
        </w:rPr>
        <w:t xml:space="preserve">[17] T.-T. Kuo, R. A. Gabriel, and L. Ohno-Machado, “Fair compute loads enabled by blockchain: sharing models by alternating client and </w:t>
      </w:r>
      <w:r>
        <w:rPr>
          <w:rStyle w:val="not-translated-para"/>
          <w:sz w:val="16"/>
          <w:szCs w:val="16"/>
        </w:rPr>
        <w:t>server roles,” Journal of the American Medical Informatics Association, vol. 26, no. 5, pp. 392–403, 2019</w:t>
      </w:r>
      <w:r>
        <w:rPr>
          <w:rStyle w:val="not-translated-para"/>
          <w:sz w:val="16"/>
          <w:szCs w:val="16"/>
        </w:rPr>
        <w:t>.</w:t>
      </w:r>
    </w:p>
    <w:p w:rsidR="00000000" w:rsidRDefault="00A52409">
      <w:pPr>
        <w:spacing w:after="14" w:line="230" w:lineRule="auto"/>
        <w:ind w:left="362" w:hanging="362"/>
      </w:pPr>
      <w:r>
        <w:rPr>
          <w:rStyle w:val="not-translated-para"/>
          <w:sz w:val="16"/>
          <w:szCs w:val="16"/>
        </w:rPr>
        <w:t>[18] R. Gilad-Bachrach, N. Dowlin, K. Laine, K. Lauter, M. Naehrig, and J. Wernsing, “Cryptonets: Applying neural networks to encrypted data with hig</w:t>
      </w:r>
      <w:r>
        <w:rPr>
          <w:rStyle w:val="not-translated-para"/>
          <w:sz w:val="16"/>
          <w:szCs w:val="16"/>
        </w:rPr>
        <w:t>h throughput and accuracy,” in International Conference on Machine Learning, 2016, pp. 201–210</w:t>
      </w:r>
      <w:r>
        <w:rPr>
          <w:rStyle w:val="not-translated-para"/>
          <w:sz w:val="16"/>
          <w:szCs w:val="16"/>
        </w:rPr>
        <w:t>.</w:t>
      </w:r>
    </w:p>
    <w:p w:rsidR="00000000" w:rsidRDefault="00A52409">
      <w:pPr>
        <w:spacing w:after="14" w:line="230" w:lineRule="auto"/>
        <w:ind w:left="362" w:hanging="362"/>
      </w:pPr>
      <w:r>
        <w:rPr>
          <w:rStyle w:val="not-translated-para"/>
          <w:sz w:val="16"/>
          <w:szCs w:val="16"/>
        </w:rPr>
        <w:t>[19] O. Ohrimenko, F. Schuster, C. Fournet, A. Mehta, S. Nowozin, K. Vaswani, and M. Costa, “Oblivious multi-party machine learning on trusted processors.” in U</w:t>
      </w:r>
      <w:r>
        <w:rPr>
          <w:rStyle w:val="not-translated-para"/>
          <w:sz w:val="16"/>
          <w:szCs w:val="16"/>
        </w:rPr>
        <w:t>SENIX Security Symposium, 2016, pp. 619–636</w:t>
      </w:r>
      <w:r>
        <w:rPr>
          <w:rStyle w:val="not-translated-para"/>
          <w:sz w:val="16"/>
          <w:szCs w:val="16"/>
        </w:rPr>
        <w:t>.</w:t>
      </w:r>
    </w:p>
    <w:p w:rsidR="00000000" w:rsidRDefault="00A52409">
      <w:pPr>
        <w:spacing w:after="14" w:line="230" w:lineRule="auto"/>
        <w:ind w:left="362" w:hanging="362"/>
      </w:pPr>
      <w:r>
        <w:rPr>
          <w:rStyle w:val="not-translated-para"/>
          <w:sz w:val="16"/>
          <w:szCs w:val="16"/>
        </w:rPr>
        <w:t>[20] P. Mohassel and Y. Zhang, “Secureml: A system for scalable privacy-preserving machine learning,” in Security and Privacy (SP), 2017 IEEE Symposium on. IEEE, 2017, pp. 19–38</w:t>
      </w:r>
      <w:r>
        <w:rPr>
          <w:rStyle w:val="not-translated-para"/>
          <w:sz w:val="16"/>
          <w:szCs w:val="16"/>
        </w:rPr>
        <w:t>.</w:t>
      </w:r>
    </w:p>
    <w:p w:rsidR="00000000" w:rsidRDefault="00A52409">
      <w:pPr>
        <w:spacing w:after="14" w:line="230" w:lineRule="auto"/>
        <w:ind w:left="362" w:hanging="362"/>
      </w:pPr>
      <w:r>
        <w:rPr>
          <w:rStyle w:val="not-translated-para"/>
          <w:sz w:val="16"/>
          <w:szCs w:val="16"/>
        </w:rPr>
        <w:t>[21] L. Lyu, X. He, Y. W. Law, a</w:t>
      </w:r>
      <w:r>
        <w:rPr>
          <w:rStyle w:val="not-translated-para"/>
          <w:sz w:val="16"/>
          <w:szCs w:val="16"/>
        </w:rPr>
        <w:t>nd M. Palaniswami, “Privacypreserving collaborative deep learning with application to human activity recognition,” in Proceedings of the 2017 ACM Conference on Information and Knowledge Management. ACM, 2017, pp. 1219</w:t>
      </w:r>
      <w:r>
        <w:rPr>
          <w:rStyle w:val="not-translated-para"/>
          <w:sz w:val="16"/>
          <w:szCs w:val="16"/>
        </w:rPr>
        <w:t>–</w:t>
      </w:r>
    </w:p>
    <w:p w:rsidR="00000000" w:rsidRDefault="00A52409">
      <w:pPr>
        <w:spacing w:after="14" w:line="230" w:lineRule="auto"/>
        <w:ind w:left="362" w:firstLine="0"/>
      </w:pPr>
      <w:r>
        <w:rPr>
          <w:sz w:val="16"/>
          <w:szCs w:val="16"/>
        </w:rPr>
        <w:t>1228.</w:t>
      </w:r>
    </w:p>
    <w:p w:rsidR="00000000" w:rsidRDefault="00A52409">
      <w:pPr>
        <w:spacing w:after="14" w:line="230" w:lineRule="auto"/>
        <w:ind w:left="362" w:hanging="362"/>
      </w:pPr>
      <w:r>
        <w:rPr>
          <w:rStyle w:val="not-translated-para"/>
          <w:sz w:val="16"/>
          <w:szCs w:val="16"/>
        </w:rPr>
        <w:t>[22] L. Lyu, J. C. Bezdek, X. H</w:t>
      </w:r>
      <w:r>
        <w:rPr>
          <w:rStyle w:val="not-translated-para"/>
          <w:sz w:val="16"/>
          <w:szCs w:val="16"/>
        </w:rPr>
        <w:t>e, and J. Jin, “Fog-embedded deep learning for the internet of things,” IEEE Transactions on Industrial Informatics, 2019</w:t>
      </w:r>
      <w:r>
        <w:rPr>
          <w:rStyle w:val="not-translated-para"/>
          <w:sz w:val="16"/>
          <w:szCs w:val="16"/>
        </w:rPr>
        <w:t>.</w:t>
      </w:r>
    </w:p>
    <w:p w:rsidR="00000000" w:rsidRDefault="00A52409">
      <w:pPr>
        <w:spacing w:after="14" w:line="230" w:lineRule="auto"/>
        <w:ind w:left="362" w:hanging="362"/>
      </w:pPr>
      <w:r>
        <w:rPr>
          <w:rStyle w:val="not-translated-para"/>
          <w:sz w:val="16"/>
          <w:szCs w:val="16"/>
        </w:rPr>
        <w:t>[23] Y. Aono, T. Hayashi, L. Wang, S. Moriai et al., “Privacy-preserving deep learning via additively homomorphic encryption,” IEEE T</w:t>
      </w:r>
      <w:r>
        <w:rPr>
          <w:rStyle w:val="not-translated-para"/>
          <w:sz w:val="16"/>
          <w:szCs w:val="16"/>
        </w:rPr>
        <w:t>ransactions on Information Forensics and Security, vol. 13, no. 5, pp. 1333–1345, 2018</w:t>
      </w:r>
      <w:r>
        <w:rPr>
          <w:rStyle w:val="not-translated-para"/>
          <w:sz w:val="16"/>
          <w:szCs w:val="16"/>
        </w:rPr>
        <w:t>.</w:t>
      </w:r>
    </w:p>
    <w:p w:rsidR="00000000" w:rsidRDefault="00A52409">
      <w:pPr>
        <w:spacing w:after="14" w:line="230" w:lineRule="auto"/>
        <w:ind w:left="362" w:hanging="362"/>
      </w:pPr>
      <w:r>
        <w:rPr>
          <w:rStyle w:val="not-translated-para"/>
          <w:sz w:val="16"/>
          <w:szCs w:val="16"/>
        </w:rPr>
        <w:t>[24] K. Bonawitz, V. Ivanov, B. Kreuter, A. Marcedone, H. B. McMahan, S. Patel, D. Ramage, A. Segal, and K. Seth, “Practical secure aggregation for privacy-preserving m</w:t>
      </w:r>
      <w:r>
        <w:rPr>
          <w:rStyle w:val="not-translated-para"/>
          <w:sz w:val="16"/>
          <w:szCs w:val="16"/>
        </w:rPr>
        <w:t>achine learning,” in Proceedings of the 2017 ACM SIGSAC Conference on Computer and Communications Security. ACM, 2017, pp. 1175–1191</w:t>
      </w:r>
      <w:r>
        <w:rPr>
          <w:rStyle w:val="not-translated-para"/>
          <w:sz w:val="16"/>
          <w:szCs w:val="16"/>
        </w:rPr>
        <w:t>.</w:t>
      </w:r>
    </w:p>
    <w:p w:rsidR="00000000" w:rsidRDefault="00A52409">
      <w:pPr>
        <w:spacing w:after="14" w:line="230" w:lineRule="auto"/>
        <w:ind w:left="362" w:hanging="362"/>
      </w:pPr>
      <w:r>
        <w:rPr>
          <w:rStyle w:val="not-translated-para"/>
          <w:sz w:val="16"/>
          <w:szCs w:val="16"/>
        </w:rPr>
        <w:t>[25] H. B. McMahan, D. Ramage, K. Talwar, and L. Zhang, “Learning differentially private recurrent language models,” arXiv</w:t>
      </w:r>
      <w:r>
        <w:rPr>
          <w:rStyle w:val="not-translated-para"/>
          <w:sz w:val="16"/>
          <w:szCs w:val="16"/>
        </w:rPr>
        <w:t xml:space="preserve"> preprint arXiv:1710.06963, 2018</w:t>
      </w:r>
      <w:r>
        <w:rPr>
          <w:rStyle w:val="not-translated-para"/>
          <w:sz w:val="16"/>
          <w:szCs w:val="16"/>
        </w:rPr>
        <w:t>.</w:t>
      </w:r>
    </w:p>
    <w:p w:rsidR="00000000" w:rsidRDefault="00A52409">
      <w:pPr>
        <w:spacing w:after="14" w:line="230" w:lineRule="auto"/>
        <w:ind w:left="362" w:hanging="362"/>
      </w:pPr>
      <w:r>
        <w:rPr>
          <w:rStyle w:val="not-translated-para"/>
          <w:sz w:val="16"/>
          <w:szCs w:val="16"/>
        </w:rPr>
        <w:t xml:space="preserve">[26] S. Yang, F. Wu, S. Tang, X. Gao, B. Yang, and G. Chen, “On designing data quality-aware truth estimation and surplus sharing method for mobile crowdsensing,” IEEE Journal on Selected Areas in Communications, vol. 35, </w:t>
      </w:r>
      <w:r>
        <w:rPr>
          <w:rStyle w:val="not-translated-para"/>
          <w:sz w:val="16"/>
          <w:szCs w:val="16"/>
        </w:rPr>
        <w:t>no. 4, pp. 832–847, 2017</w:t>
      </w:r>
      <w:r>
        <w:rPr>
          <w:rStyle w:val="not-translated-para"/>
          <w:sz w:val="16"/>
          <w:szCs w:val="16"/>
        </w:rPr>
        <w:t>.</w:t>
      </w:r>
    </w:p>
    <w:p w:rsidR="00000000" w:rsidRDefault="00A52409">
      <w:pPr>
        <w:spacing w:after="14" w:line="230" w:lineRule="auto"/>
        <w:ind w:left="362" w:hanging="362"/>
      </w:pPr>
      <w:r>
        <w:rPr>
          <w:rStyle w:val="not-translated-para"/>
          <w:sz w:val="16"/>
          <w:szCs w:val="16"/>
        </w:rPr>
        <w:t>[27] S. Gollapudi, K. Kollias, D. Panigrahi, and V. Pliatsika, “Profit sharing and efficiency in utility games,” in ESA, 2017, pp. 1–16</w:t>
      </w:r>
      <w:r>
        <w:rPr>
          <w:rStyle w:val="not-translated-para"/>
          <w:sz w:val="16"/>
          <w:szCs w:val="16"/>
        </w:rPr>
        <w:t>.</w:t>
      </w:r>
    </w:p>
    <w:p w:rsidR="00000000" w:rsidRDefault="00A52409">
      <w:pPr>
        <w:spacing w:after="14" w:line="230" w:lineRule="auto"/>
        <w:ind w:left="362" w:hanging="362"/>
      </w:pPr>
      <w:r>
        <w:rPr>
          <w:rStyle w:val="not-translated-para"/>
          <w:sz w:val="16"/>
          <w:szCs w:val="16"/>
        </w:rPr>
        <w:t>[28] A. Richardson, A. Filos-Ratsikas, and B. Faltings, “Rewarding high-quality data via infl</w:t>
      </w:r>
      <w:r>
        <w:rPr>
          <w:rStyle w:val="not-translated-para"/>
          <w:sz w:val="16"/>
          <w:szCs w:val="16"/>
        </w:rPr>
        <w:t>uence functions,” in CoRR, 2019, p. arXiv:1908.11598</w:t>
      </w:r>
      <w:r>
        <w:rPr>
          <w:rStyle w:val="not-translated-para"/>
          <w:sz w:val="16"/>
          <w:szCs w:val="16"/>
        </w:rPr>
        <w:t>.</w:t>
      </w:r>
    </w:p>
    <w:p w:rsidR="00000000" w:rsidRDefault="00A52409">
      <w:pPr>
        <w:spacing w:after="14" w:line="230" w:lineRule="auto"/>
        <w:ind w:left="362" w:hanging="362"/>
      </w:pPr>
      <w:r>
        <w:rPr>
          <w:rStyle w:val="not-translated-para"/>
          <w:sz w:val="16"/>
          <w:szCs w:val="16"/>
        </w:rPr>
        <w:t>[29] C. Dwork and A. Roth, “The algorithmic foundations of differential privacy,” Foundations and Trends R , vol. 9, no. 3–4, pp. 211–407, 2014</w:t>
      </w:r>
      <w:r>
        <w:rPr>
          <w:rStyle w:val="not-translated-para"/>
          <w:sz w:val="16"/>
          <w:szCs w:val="16"/>
        </w:rPr>
        <w:t>.</w:t>
      </w:r>
      <w:r>
        <w:rPr>
          <w:rStyle w:val="not-translated-para"/>
          <w:i/>
          <w:iCs/>
          <w:sz w:val="16"/>
          <w:szCs w:val="16"/>
        </w:rPr>
        <w:t>in Theoretical Computer Scienc</w:t>
      </w:r>
      <w:r>
        <w:rPr>
          <w:rStyle w:val="not-translated-para"/>
          <w:i/>
          <w:iCs/>
          <w:sz w:val="16"/>
          <w:szCs w:val="16"/>
        </w:rPr>
        <w:t>e</w:t>
      </w:r>
    </w:p>
    <w:p w:rsidR="00000000" w:rsidRDefault="00A52409">
      <w:pPr>
        <w:spacing w:after="14" w:line="230" w:lineRule="auto"/>
        <w:ind w:left="362" w:hanging="362"/>
      </w:pPr>
      <w:r>
        <w:rPr>
          <w:rStyle w:val="not-translated-para"/>
          <w:sz w:val="16"/>
          <w:szCs w:val="16"/>
        </w:rPr>
        <w:t xml:space="preserve">[30] M. Abadi, A. Chu, I. </w:t>
      </w:r>
      <w:r>
        <w:rPr>
          <w:rStyle w:val="not-translated-para"/>
          <w:sz w:val="16"/>
          <w:szCs w:val="16"/>
        </w:rPr>
        <w:t>Goodfellow, H. B. McMahan, I. Mironov, K. Talwar, and L. Zhang, “Deep learning with differential privacy,” in Proceedings of the 2016 ACM SIGSAC Conference on Computer and Communications Security. ACM, 2016, pp. 308–318</w:t>
      </w:r>
      <w:r>
        <w:rPr>
          <w:rStyle w:val="not-translated-para"/>
          <w:sz w:val="16"/>
          <w:szCs w:val="16"/>
        </w:rPr>
        <w:t>.</w:t>
      </w:r>
    </w:p>
    <w:p w:rsidR="00000000" w:rsidRDefault="00A52409">
      <w:pPr>
        <w:spacing w:after="14" w:line="230" w:lineRule="auto"/>
        <w:ind w:left="362" w:hanging="362"/>
      </w:pPr>
      <w:r>
        <w:rPr>
          <w:rStyle w:val="not-translated-para"/>
          <w:sz w:val="16"/>
          <w:szCs w:val="16"/>
        </w:rPr>
        <w:t>[31] C. Gentry and D. Boneh, A full</w:t>
      </w:r>
      <w:r>
        <w:rPr>
          <w:rStyle w:val="not-translated-para"/>
          <w:sz w:val="16"/>
          <w:szCs w:val="16"/>
        </w:rPr>
        <w:t>y homomorphic encryption scheme. Stanford University Stanford, 2009, vol. 20, no. 09</w:t>
      </w:r>
      <w:r>
        <w:rPr>
          <w:rStyle w:val="not-translated-para"/>
          <w:sz w:val="16"/>
          <w:szCs w:val="16"/>
        </w:rPr>
        <w:t>.</w:t>
      </w:r>
    </w:p>
    <w:p w:rsidR="00000000" w:rsidRDefault="00A52409">
      <w:pPr>
        <w:spacing w:after="14" w:line="230" w:lineRule="auto"/>
        <w:ind w:left="362" w:hanging="362"/>
      </w:pPr>
      <w:r>
        <w:rPr>
          <w:rStyle w:val="not-translated-para"/>
          <w:sz w:val="16"/>
          <w:szCs w:val="16"/>
        </w:rPr>
        <w:t>[32] I. Damgard, V. Pastro, N. Smart, and S. Zakarias, “Multiparty com-</w:t>
      </w:r>
      <w:r>
        <w:rPr>
          <w:rStyle w:val="not-translated-para"/>
          <w:sz w:val="16"/>
          <w:szCs w:val="16"/>
        </w:rPr>
        <w:t>˚</w:t>
      </w:r>
      <w:r>
        <w:rPr>
          <w:rStyle w:val="not-translated-para"/>
          <w:sz w:val="16"/>
          <w:szCs w:val="16"/>
        </w:rPr>
        <w:t xml:space="preserve"> putation from somewhat homomorphic encryption,” in Annual Cryptology Conference. Springer, 2012, </w:t>
      </w:r>
      <w:r>
        <w:rPr>
          <w:rStyle w:val="not-translated-para"/>
          <w:sz w:val="16"/>
          <w:szCs w:val="16"/>
        </w:rPr>
        <w:t>pp. 643–662</w:t>
      </w:r>
      <w:r>
        <w:rPr>
          <w:rStyle w:val="not-translated-para"/>
          <w:sz w:val="16"/>
          <w:szCs w:val="16"/>
        </w:rPr>
        <w:t>.</w:t>
      </w:r>
    </w:p>
    <w:p w:rsidR="00000000" w:rsidRDefault="00A52409">
      <w:pPr>
        <w:spacing w:after="76" w:line="230" w:lineRule="auto"/>
        <w:ind w:left="362" w:hanging="362"/>
      </w:pPr>
      <w:r>
        <w:rPr>
          <w:rStyle w:val="not-translated-para"/>
          <w:sz w:val="16"/>
          <w:szCs w:val="16"/>
        </w:rPr>
        <w:t>[33] A. Canteaut, S. Carpov, C. Fontaine, T. Lepoint, M. NayaPlasencia, P. Paillier, and R. Sirdey, “</w:t>
      </w:r>
      <w:r>
        <w:rPr>
          <w:rStyle w:val="not-translated-para"/>
          <w:sz w:val="16"/>
          <w:szCs w:val="16"/>
        </w:rPr>
        <w:t>Stream ciphers: A practical solution for efficient homomorphic-ciphertext compression,” Journal of Cryptology, vol. 31, no. 3, pp. 885–916, 2018</w:t>
      </w:r>
      <w:r>
        <w:rPr>
          <w:rStyle w:val="not-translated-para"/>
          <w:sz w:val="16"/>
          <w:szCs w:val="16"/>
        </w:rPr>
        <w:t>.</w:t>
      </w:r>
    </w:p>
    <w:p w:rsidR="00000000" w:rsidRDefault="00A52409">
      <w:pPr>
        <w:spacing w:after="75" w:line="230" w:lineRule="auto"/>
        <w:ind w:left="362" w:hanging="362"/>
      </w:pPr>
      <w:r>
        <w:rPr>
          <w:rStyle w:val="not-translated-para"/>
          <w:sz w:val="16"/>
          <w:szCs w:val="16"/>
        </w:rPr>
        <w:t>[34] S. Nakamoto, “Bitcoin: A peer-to-peer electronic cash system,” 2008</w:t>
      </w:r>
      <w:r>
        <w:rPr>
          <w:rStyle w:val="not-translated-para"/>
          <w:sz w:val="16"/>
          <w:szCs w:val="16"/>
        </w:rPr>
        <w:t>.</w:t>
      </w:r>
    </w:p>
    <w:p w:rsidR="00000000" w:rsidRDefault="00A52409">
      <w:pPr>
        <w:spacing w:after="74" w:line="230" w:lineRule="auto"/>
        <w:ind w:left="362" w:hanging="362"/>
      </w:pPr>
      <w:r>
        <w:rPr>
          <w:rStyle w:val="not-translated-para"/>
          <w:sz w:val="16"/>
          <w:szCs w:val="16"/>
        </w:rPr>
        <w:t>[35] C. Natoli, J. Yu, V. Gramoli, a</w:t>
      </w:r>
      <w:r>
        <w:rPr>
          <w:rStyle w:val="not-translated-para"/>
          <w:sz w:val="16"/>
          <w:szCs w:val="16"/>
        </w:rPr>
        <w:t>nd P. J. E. Ver´ıssimo, “Deconstructing blockchains: A comprehensive survey on consensus, membership and structure,” CoRR, vol. abs/1908.08316, 2019</w:t>
      </w:r>
      <w:r>
        <w:rPr>
          <w:rStyle w:val="not-translated-para"/>
          <w:sz w:val="16"/>
          <w:szCs w:val="16"/>
        </w:rPr>
        <w:t>.</w:t>
      </w:r>
    </w:p>
    <w:p w:rsidR="00000000" w:rsidRDefault="00A52409">
      <w:pPr>
        <w:spacing w:after="74" w:line="230" w:lineRule="auto"/>
        <w:ind w:left="362" w:hanging="362"/>
      </w:pPr>
      <w:r>
        <w:rPr>
          <w:rStyle w:val="not-translated-para"/>
          <w:sz w:val="16"/>
          <w:szCs w:val="16"/>
        </w:rPr>
        <w:t>[36] N. Mehrabi, F. Morstatter, N. Saxena, K. Lerman, and A. Galstyan, “A survey on bias and fairness in m</w:t>
      </w:r>
      <w:r>
        <w:rPr>
          <w:rStyle w:val="not-translated-para"/>
          <w:sz w:val="16"/>
          <w:szCs w:val="16"/>
        </w:rPr>
        <w:t>achine learning,” in CoRR, 2019, p. arXiv:1908.09635</w:t>
      </w:r>
      <w:r>
        <w:rPr>
          <w:rStyle w:val="not-translated-para"/>
          <w:sz w:val="16"/>
          <w:szCs w:val="16"/>
        </w:rPr>
        <w:t>.</w:t>
      </w:r>
    </w:p>
    <w:p w:rsidR="00000000" w:rsidRDefault="00A52409">
      <w:pPr>
        <w:spacing w:after="75" w:line="230" w:lineRule="auto"/>
        <w:ind w:left="362" w:hanging="362"/>
      </w:pPr>
      <w:r>
        <w:rPr>
          <w:rStyle w:val="not-translated-para"/>
          <w:sz w:val="16"/>
          <w:szCs w:val="16"/>
        </w:rPr>
        <w:t>[37] L. Lyu, H. Yu, and Q. Yang, “Threats to federated learning: A survey,” arXiv preprint arXiv:2003.02133, 2020</w:t>
      </w:r>
      <w:r>
        <w:rPr>
          <w:rStyle w:val="not-translated-para"/>
          <w:sz w:val="16"/>
          <w:szCs w:val="16"/>
        </w:rPr>
        <w:t>.</w:t>
      </w:r>
    </w:p>
    <w:p w:rsidR="00000000" w:rsidRDefault="00A52409">
      <w:pPr>
        <w:spacing w:after="74" w:line="230" w:lineRule="auto"/>
        <w:ind w:left="362" w:hanging="362"/>
      </w:pPr>
      <w:r>
        <w:rPr>
          <w:rStyle w:val="not-translated-para"/>
          <w:sz w:val="16"/>
          <w:szCs w:val="16"/>
        </w:rPr>
        <w:t>[38] X. Zhang, S. Ji, and T. Wang, “Differentially private releasing via deep generativ</w:t>
      </w:r>
      <w:r>
        <w:rPr>
          <w:rStyle w:val="not-translated-para"/>
          <w:sz w:val="16"/>
          <w:szCs w:val="16"/>
        </w:rPr>
        <w:t>e model,” arXiv preprint arXiv:1801.01594, 2018</w:t>
      </w:r>
      <w:r>
        <w:rPr>
          <w:rStyle w:val="not-translated-para"/>
          <w:sz w:val="16"/>
          <w:szCs w:val="16"/>
        </w:rPr>
        <w:t>.</w:t>
      </w:r>
    </w:p>
    <w:p w:rsidR="00000000" w:rsidRDefault="00A52409">
      <w:pPr>
        <w:spacing w:after="76" w:line="230" w:lineRule="auto"/>
        <w:ind w:left="362" w:hanging="362"/>
      </w:pPr>
      <w:r>
        <w:rPr>
          <w:rStyle w:val="not-translated-para"/>
          <w:sz w:val="16"/>
          <w:szCs w:val="16"/>
        </w:rPr>
        <w:t>[39] N. Papernot, M. Abadi, U. Erlingsson, I. Goodfellow, and K. Talwar, “Semi-supervised knowledge transfer for deep learning from private training data,” arXiv preprint arXiv:1610.05755, 2016</w:t>
      </w:r>
      <w:r>
        <w:rPr>
          <w:rStyle w:val="not-translated-para"/>
          <w:sz w:val="16"/>
          <w:szCs w:val="16"/>
        </w:rPr>
        <w:t>.</w:t>
      </w:r>
    </w:p>
    <w:p w:rsidR="00000000" w:rsidRDefault="00A52409">
      <w:pPr>
        <w:spacing w:after="78" w:line="230" w:lineRule="auto"/>
        <w:ind w:left="362" w:hanging="362"/>
      </w:pPr>
      <w:r>
        <w:rPr>
          <w:rStyle w:val="not-translated-para"/>
          <w:sz w:val="16"/>
          <w:szCs w:val="16"/>
        </w:rPr>
        <w:t>[40] M. Arjo</w:t>
      </w:r>
      <w:r>
        <w:rPr>
          <w:rStyle w:val="not-translated-para"/>
          <w:sz w:val="16"/>
          <w:szCs w:val="16"/>
        </w:rPr>
        <w:t>vsky, S. Chintala, and L. Bottou, “Wasserstein gan,” arXiv preprint arXiv:1701.07875, 2017</w:t>
      </w:r>
      <w:r>
        <w:rPr>
          <w:rStyle w:val="not-translated-para"/>
          <w:sz w:val="16"/>
          <w:szCs w:val="16"/>
        </w:rPr>
        <w:t>.</w:t>
      </w:r>
    </w:p>
    <w:p w:rsidR="00000000" w:rsidRDefault="00A52409">
      <w:pPr>
        <w:spacing w:after="75" w:line="230" w:lineRule="auto"/>
        <w:ind w:left="362" w:hanging="362"/>
      </w:pPr>
      <w:r>
        <w:rPr>
          <w:rStyle w:val="not-translated-para"/>
          <w:sz w:val="16"/>
          <w:szCs w:val="16"/>
        </w:rPr>
        <w:t>[41] C. Castelluccia, E. Mykletun, and G. Tsudik, “Efficient aggregation of encrypted data in wireless sensor networks,” in Second Annual International Conference o</w:t>
      </w:r>
      <w:r>
        <w:rPr>
          <w:rStyle w:val="not-translated-para"/>
          <w:sz w:val="16"/>
          <w:szCs w:val="16"/>
        </w:rPr>
        <w:t>n Mobile and Ubiquitous Systems: Networking and Services, 2005. IEEE, 2005, pp. 109–117</w:t>
      </w:r>
      <w:r>
        <w:rPr>
          <w:rStyle w:val="not-translated-para"/>
          <w:sz w:val="16"/>
          <w:szCs w:val="16"/>
        </w:rPr>
        <w:t>.</w:t>
      </w:r>
    </w:p>
    <w:p w:rsidR="00000000" w:rsidRDefault="00A52409">
      <w:pPr>
        <w:spacing w:after="74" w:line="230" w:lineRule="auto"/>
        <w:ind w:left="362" w:hanging="362"/>
      </w:pPr>
      <w:r>
        <w:rPr>
          <w:rStyle w:val="not-translated-para"/>
          <w:sz w:val="16"/>
          <w:szCs w:val="16"/>
        </w:rPr>
        <w:t xml:space="preserve">[42] L. Lyu, K. Nandakumar, B. Rubinstein, J. Jin, J. Bedo, and M. Palaniswami, “PPFA: Privacy preserving fog-enabled aggregation in smart grid,” IEEE Transactions on </w:t>
      </w:r>
      <w:r>
        <w:rPr>
          <w:rStyle w:val="not-translated-para"/>
          <w:sz w:val="16"/>
          <w:szCs w:val="16"/>
        </w:rPr>
        <w:t>Industrial Informatics, vol. 14, no. 8, pp. 3733–3744, 2018</w:t>
      </w:r>
      <w:r>
        <w:rPr>
          <w:rStyle w:val="not-translated-para"/>
          <w:sz w:val="16"/>
          <w:szCs w:val="16"/>
        </w:rPr>
        <w:t>.</w:t>
      </w:r>
    </w:p>
    <w:p w:rsidR="00000000" w:rsidRDefault="00A52409">
      <w:pPr>
        <w:spacing w:after="73" w:line="230" w:lineRule="auto"/>
        <w:ind w:left="362" w:hanging="362"/>
      </w:pPr>
      <w:r>
        <w:rPr>
          <w:rStyle w:val="not-translated-para"/>
          <w:sz w:val="16"/>
          <w:szCs w:val="16"/>
        </w:rPr>
        <w:t>[43] C. De Canniere and B. Preneel, “Trivium,” in New Stream Cipher Designs. Springer, 2008, pp. 244–266</w:t>
      </w:r>
      <w:r>
        <w:rPr>
          <w:rStyle w:val="not-translated-para"/>
          <w:sz w:val="16"/>
          <w:szCs w:val="16"/>
        </w:rPr>
        <w:t>.</w:t>
      </w:r>
    </w:p>
    <w:p w:rsidR="00000000" w:rsidRDefault="00A52409">
      <w:pPr>
        <w:spacing w:after="440" w:line="230" w:lineRule="auto"/>
        <w:ind w:left="362" w:hanging="362"/>
      </w:pPr>
      <w:r>
        <w:rPr>
          <w:rStyle w:val="not-translated-para"/>
          <w:sz w:val="16"/>
          <w:szCs w:val="16"/>
        </w:rPr>
        <w:t>[44] J. Callas, L. Donnerhacke, H. Finney, D. Shaw, and R. Thayer, “Openpgp message forma</w:t>
      </w:r>
      <w:r>
        <w:rPr>
          <w:rStyle w:val="not-translated-para"/>
          <w:sz w:val="16"/>
          <w:szCs w:val="16"/>
        </w:rPr>
        <w:t>t,” Tech. Rep., 2007</w:t>
      </w:r>
      <w:r>
        <w:rPr>
          <w:rStyle w:val="not-translated-para"/>
          <w:sz w:val="16"/>
          <w:szCs w:val="16"/>
        </w:rPr>
        <w:t>.</w:t>
      </w:r>
    </w:p>
    <w:p w:rsidR="00000000" w:rsidRDefault="00A52409">
      <w:pPr>
        <w:spacing w:after="320" w:line="220" w:lineRule="auto"/>
        <w:ind w:left="1637" w:hanging="10"/>
      </w:pPr>
      <w:r>
        <w:rPr>
          <w:noProof/>
        </w:rPr>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914400" cy="2152650"/>
            <wp:effectExtent l="0" t="0" r="0" b="0"/>
            <wp:wrapSquare wrapText="bothSides"/>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91440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Lingjuan Lyu</w:t>
      </w:r>
      <w:r>
        <w:rPr>
          <w:rStyle w:val="not-translated-para"/>
          <w:b/>
          <w:bCs/>
          <w:sz w:val="16"/>
          <w:szCs w:val="16"/>
        </w:rPr>
        <w:t xml:space="preserve"> </w:t>
      </w:r>
      <w:r>
        <w:rPr>
          <w:rStyle w:val="not-translated-para"/>
          <w:sz w:val="16"/>
          <w:szCs w:val="16"/>
        </w:rPr>
        <w:t>(IEEE M&amp;apos;</w:t>
      </w:r>
      <w:r>
        <w:rPr>
          <w:rStyle w:val="not-translated-para"/>
          <w:sz w:val="16"/>
          <w:szCs w:val="16"/>
        </w:rPr>
        <w:t>18) is currently a Research Fellow with The Department of Computer Science, National University of Singapore. She received Ph.D. degree from the University of Melbourne. Her current research interests span machine learning, privacy, fairness, and edge inte</w:t>
      </w:r>
      <w:r>
        <w:rPr>
          <w:rStyle w:val="not-translated-para"/>
          <w:sz w:val="16"/>
          <w:szCs w:val="16"/>
        </w:rPr>
        <w:t>lligence. Her work was supported by an IBM Ph.D. Fellowship</w:t>
      </w:r>
      <w:r>
        <w:rPr>
          <w:rStyle w:val="not-translated-para"/>
          <w:sz w:val="16"/>
          <w:szCs w:val="16"/>
        </w:rPr>
        <w:t>.</w:t>
      </w:r>
    </w:p>
    <w:p w:rsidR="00000000" w:rsidRDefault="00A52409">
      <w:pPr>
        <w:spacing w:after="20" w:line="220" w:lineRule="auto"/>
        <w:ind w:left="1637" w:hanging="10"/>
      </w:pPr>
      <w:r>
        <w:rPr>
          <w:rStyle w:val="not-translated-para"/>
          <w:b/>
          <w:bCs/>
          <w:sz w:val="16"/>
          <w:szCs w:val="16"/>
        </w:rPr>
        <w:t>Jiangshan Yu</w:t>
      </w:r>
      <w:r>
        <w:rPr>
          <w:rStyle w:val="not-translated-para"/>
          <w:b/>
          <w:bCs/>
          <w:sz w:val="16"/>
          <w:szCs w:val="16"/>
        </w:rPr>
        <w:t xml:space="preserve"> </w:t>
      </w:r>
      <w:r>
        <w:rPr>
          <w:rStyle w:val="not-translated-para"/>
          <w:sz w:val="16"/>
          <w:szCs w:val="16"/>
        </w:rPr>
        <w:t>received the Ph.D. degree from the University of Birmingham (UK) in 2016. He is currently Associate Director (Research) at Monash Blockchain Technology Centre at Monash University, A</w:t>
      </w:r>
      <w:r>
        <w:rPr>
          <w:rStyle w:val="not-translated-para"/>
          <w:sz w:val="16"/>
          <w:szCs w:val="16"/>
        </w:rPr>
        <w:t>ustralia. Previously, he was a research associate at SnT, University of Luxembourg (LU). The focus of his research has been on design and analysis of cryptographic protocols, cryptographic key management, blockchain consensus, and ledger-based applications</w:t>
      </w:r>
      <w:r>
        <w:rPr>
          <w:rStyle w:val="not-translated-para"/>
          <w:sz w:val="16"/>
          <w:szCs w:val="16"/>
        </w:rPr>
        <w:t>. In particular, Jiangshan&amp;apos;s recent re</w:t>
      </w:r>
      <w:r>
        <w:rPr>
          <w:rStyle w:val="not-translated-para"/>
          <w:sz w:val="16"/>
          <w:szCs w:val="16"/>
        </w:rPr>
        <w:t>-</w:t>
      </w:r>
    </w:p>
    <w:p w:rsidR="00000000" w:rsidRDefault="00A52409">
      <w:pPr>
        <w:spacing w:after="157" w:line="220" w:lineRule="auto"/>
        <w:ind w:left="10" w:hanging="10"/>
      </w:pPr>
      <w:r>
        <w:rPr>
          <w:rStyle w:val="not-translated-para"/>
          <w:sz w:val="16"/>
          <w:szCs w:val="16"/>
        </w:rPr>
        <w:t>search challenges the soundness of the foundational security models and design principles of existing blockchain systems, where the blockchain ecosystem of hundreds of billions of dollars is based upon. He won numerous prestigious awards, including Dean&amp;ap</w:t>
      </w:r>
      <w:r>
        <w:rPr>
          <w:rStyle w:val="not-translated-para"/>
          <w:sz w:val="16"/>
          <w:szCs w:val="16"/>
        </w:rPr>
        <w:t>os;s Research Impact Award (2019) and the Chinese Government Award for Outstanding Scholar Abroad (1% worldwide, 2016)</w:t>
      </w:r>
      <w:r>
        <w:rPr>
          <w:rStyle w:val="not-translated-para"/>
          <w:sz w:val="16"/>
          <w:szCs w:val="16"/>
        </w:rPr>
        <w:t>.</w:t>
      </w:r>
    </w:p>
    <w:p w:rsidR="00000000" w:rsidRDefault="00A52409">
      <w:pPr>
        <w:spacing w:after="20" w:line="220" w:lineRule="auto"/>
        <w:ind w:left="1637" w:hanging="10"/>
      </w:pP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914400" cy="771525"/>
            <wp:effectExtent l="0" t="0" r="0" b="9525"/>
            <wp:wrapSquare wrapText="bothSides"/>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Karthik Nandakumar</w:t>
      </w:r>
      <w:r>
        <w:rPr>
          <w:rStyle w:val="not-translated-para"/>
          <w:b/>
          <w:bCs/>
          <w:sz w:val="16"/>
          <w:szCs w:val="16"/>
        </w:rPr>
        <w:t xml:space="preserve"> </w:t>
      </w:r>
      <w:r>
        <w:rPr>
          <w:rStyle w:val="not-translated-para"/>
          <w:sz w:val="16"/>
          <w:szCs w:val="16"/>
        </w:rPr>
        <w:t>(IEEE SM&amp;apos;02) is a Research Staff Member at IBM Research, Singapore. Prior to joining IBM in 2014, he was a Scie</w:t>
      </w:r>
      <w:r>
        <w:rPr>
          <w:rStyle w:val="not-translated-para"/>
          <w:sz w:val="16"/>
          <w:szCs w:val="16"/>
        </w:rPr>
        <w:t>ntist at Institute for Infocomm Research, A*STAR, Singapore for more than six years. He received his B.E. degree (2002) from Anna University, Chennai, India, M.S. degrees in Computer Science (2005) and Statistics (2007), and Ph.D. degree in Computer Scienc</w:t>
      </w:r>
      <w:r>
        <w:rPr>
          <w:rStyle w:val="not-translated-para"/>
          <w:sz w:val="16"/>
          <w:szCs w:val="16"/>
        </w:rPr>
        <w:t>e (2008) fro</w:t>
      </w:r>
      <w:r>
        <w:rPr>
          <w:rStyle w:val="not-translated-para"/>
          <w:sz w:val="16"/>
          <w:szCs w:val="16"/>
        </w:rPr>
        <w:t>m</w:t>
      </w:r>
    </w:p>
    <w:p w:rsidR="00000000" w:rsidRDefault="00A52409">
      <w:pPr>
        <w:spacing w:after="20" w:line="220" w:lineRule="auto"/>
        <w:ind w:left="1637" w:hanging="10"/>
      </w:pPr>
      <w:r>
        <w:rPr>
          <w:rStyle w:val="not-translated-para"/>
          <w:sz w:val="16"/>
          <w:szCs w:val="16"/>
        </w:rPr>
        <w:t>Michigan State University, and M.Sc. degree i</w:t>
      </w:r>
      <w:r>
        <w:rPr>
          <w:rStyle w:val="not-translated-para"/>
          <w:sz w:val="16"/>
          <w:szCs w:val="16"/>
        </w:rPr>
        <w:t>n</w:t>
      </w:r>
    </w:p>
    <w:p w:rsidR="00000000" w:rsidRDefault="00A52409">
      <w:pPr>
        <w:spacing w:after="20" w:line="220" w:lineRule="auto"/>
        <w:ind w:left="1637" w:hanging="10"/>
      </w:pPr>
      <w:r>
        <w:rPr>
          <w:rStyle w:val="not-translated-para"/>
          <w:sz w:val="16"/>
          <w:szCs w:val="16"/>
        </w:rPr>
        <w:t>Management of Technology (2012) from Na</w:t>
      </w:r>
      <w:r>
        <w:rPr>
          <w:rStyle w:val="not-translated-para"/>
          <w:sz w:val="16"/>
          <w:szCs w:val="16"/>
        </w:rPr>
        <w:t>-</w:t>
      </w:r>
    </w:p>
    <w:p w:rsidR="00000000" w:rsidRDefault="00A52409">
      <w:pPr>
        <w:spacing w:after="20" w:line="220" w:lineRule="auto"/>
        <w:ind w:left="10" w:hanging="10"/>
      </w:pPr>
      <w:r>
        <w:rPr>
          <w:rStyle w:val="not-translated-para"/>
          <w:sz w:val="16"/>
          <w:szCs w:val="16"/>
        </w:rPr>
        <w:t>tional University of Singapore. His research interests include computer vision, statistical pattern recognition, biometric authentication, image processin</w:t>
      </w:r>
      <w:r>
        <w:rPr>
          <w:rStyle w:val="not-translated-para"/>
          <w:sz w:val="16"/>
          <w:szCs w:val="16"/>
        </w:rPr>
        <w:t>g, machine learning and blockchain</w:t>
      </w:r>
      <w:r>
        <w:rPr>
          <w:rStyle w:val="not-translated-para"/>
          <w:sz w:val="16"/>
          <w:szCs w:val="16"/>
        </w:rPr>
        <w:t>.</w:t>
      </w:r>
    </w:p>
    <w:p w:rsidR="00000000" w:rsidRDefault="00A52409">
      <w:pPr>
        <w:spacing w:after="490" w:line="220" w:lineRule="auto"/>
        <w:ind w:left="1637" w:hanging="10"/>
      </w:pPr>
      <w:r>
        <w:rPr>
          <w:noProof/>
        </w:rPr>
        <w:drawing>
          <wp:anchor distT="0" distB="0" distL="114300" distR="114300" simplePos="0" relativeHeight="251670528" behindDoc="0" locked="0" layoutInCell="1" allowOverlap="0">
            <wp:simplePos x="0" y="0"/>
            <wp:positionH relativeFrom="column">
              <wp:align>left</wp:align>
            </wp:positionH>
            <wp:positionV relativeFrom="line">
              <wp:posOffset>0</wp:posOffset>
            </wp:positionV>
            <wp:extent cx="914400" cy="885825"/>
            <wp:effectExtent l="0" t="0" r="0" b="9525"/>
            <wp:wrapSquare wrapText="bothSides"/>
            <wp:docPr id="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91440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Yitong Li</w:t>
      </w:r>
      <w:r>
        <w:rPr>
          <w:rStyle w:val="not-translated-para"/>
          <w:b/>
          <w:bCs/>
          <w:sz w:val="16"/>
          <w:szCs w:val="16"/>
        </w:rPr>
        <w:t xml:space="preserve"> </w:t>
      </w:r>
      <w:r>
        <w:rPr>
          <w:rStyle w:val="not-translated-para"/>
          <w:sz w:val="16"/>
          <w:szCs w:val="16"/>
        </w:rPr>
        <w:t>is currently a Ph.D student in School of Computing and Information Systems, the University of Melbourne. He received B.S. degree from Shanghai Jiao Tong University. His research interests cover privacy and adv</w:t>
      </w:r>
      <w:r>
        <w:rPr>
          <w:rStyle w:val="not-translated-para"/>
          <w:sz w:val="16"/>
          <w:szCs w:val="16"/>
        </w:rPr>
        <w:t>ersarial learning with NLP applications. He has publications in ACL, EMNLP, NAACL, etc</w:t>
      </w:r>
      <w:r>
        <w:rPr>
          <w:rStyle w:val="not-translated-para"/>
          <w:sz w:val="16"/>
          <w:szCs w:val="16"/>
        </w:rPr>
        <w:t>.</w:t>
      </w:r>
    </w:p>
    <w:p w:rsidR="00000000" w:rsidRDefault="00A52409">
      <w:pPr>
        <w:spacing w:after="310" w:line="220" w:lineRule="auto"/>
        <w:ind w:left="1637" w:hanging="10"/>
      </w:pPr>
      <w:r>
        <w:rPr>
          <w:noProof/>
        </w:rPr>
        <w:drawing>
          <wp:anchor distT="0" distB="0" distL="114300" distR="114300" simplePos="0" relativeHeight="251671552" behindDoc="0" locked="0" layoutInCell="1" allowOverlap="0">
            <wp:simplePos x="0" y="0"/>
            <wp:positionH relativeFrom="column">
              <wp:align>left</wp:align>
            </wp:positionH>
            <wp:positionV relativeFrom="line">
              <wp:posOffset>0</wp:posOffset>
            </wp:positionV>
            <wp:extent cx="876300" cy="2200275"/>
            <wp:effectExtent l="0" t="0" r="0" b="9525"/>
            <wp:wrapSquare wrapText="bothSides"/>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87630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Xingjun Ma</w:t>
      </w:r>
      <w:r>
        <w:rPr>
          <w:rStyle w:val="not-translated-para"/>
          <w:b/>
          <w:bCs/>
          <w:sz w:val="16"/>
          <w:szCs w:val="16"/>
        </w:rPr>
        <w:t xml:space="preserve"> </w:t>
      </w:r>
      <w:r>
        <w:rPr>
          <w:rStyle w:val="not-translated-para"/>
          <w:sz w:val="16"/>
          <w:szCs w:val="16"/>
        </w:rPr>
        <w:t>is currently a Research Fellow of the University of Melbourne. He received Ph.D. degree from the University of Melbourne, and M.E. degree from Tsinghua Univ</w:t>
      </w:r>
      <w:r>
        <w:rPr>
          <w:rStyle w:val="not-translated-para"/>
          <w:sz w:val="16"/>
          <w:szCs w:val="16"/>
        </w:rPr>
        <w:t>ersity. His research interests cover adversarial machine learning and robust supervised/weakly-supervised learning. He has publications in ICML, ICLR, CVPR, IJCAI, AAAI, ICCV, etc</w:t>
      </w:r>
      <w:r>
        <w:rPr>
          <w:rStyle w:val="not-translated-para"/>
          <w:sz w:val="16"/>
          <w:szCs w:val="16"/>
        </w:rPr>
        <w:t>.</w:t>
      </w:r>
    </w:p>
    <w:p w:rsidR="00000000" w:rsidRDefault="00A52409">
      <w:pPr>
        <w:spacing w:after="20" w:line="220" w:lineRule="auto"/>
        <w:ind w:left="1637" w:hanging="10"/>
      </w:pPr>
      <w:r>
        <w:rPr>
          <w:rStyle w:val="not-translated-para"/>
          <w:b/>
          <w:bCs/>
          <w:sz w:val="16"/>
          <w:szCs w:val="16"/>
        </w:rPr>
        <w:t>Jiong Jin</w:t>
      </w:r>
      <w:r>
        <w:rPr>
          <w:rStyle w:val="not-translated-para"/>
          <w:b/>
          <w:bCs/>
          <w:sz w:val="16"/>
          <w:szCs w:val="16"/>
        </w:rPr>
        <w:t xml:space="preserve"> </w:t>
      </w:r>
      <w:r>
        <w:rPr>
          <w:rStyle w:val="not-translated-para"/>
          <w:sz w:val="16"/>
          <w:szCs w:val="16"/>
        </w:rPr>
        <w:t>(IEEE M&amp;apos;11) received the B.E. degree with First Class Honour</w:t>
      </w:r>
      <w:r>
        <w:rPr>
          <w:rStyle w:val="not-translated-para"/>
          <w:sz w:val="16"/>
          <w:szCs w:val="16"/>
        </w:rPr>
        <w:t>s in Computer Engineering from Nanyang Technological University, Singapore, in 2006, and the Ph.D. degree in Electrical and Electronic Engineering (EEE) from the University of Melbourne, Australia, in 2011. From 2011 to 2013, he was a Research Fellow in th</w:t>
      </w:r>
      <w:r>
        <w:rPr>
          <w:rStyle w:val="not-translated-para"/>
          <w:sz w:val="16"/>
          <w:szCs w:val="16"/>
        </w:rPr>
        <w:t>e Department of EEE at the University of Melbourne. He is currently a Senior Lecturer in the School of Software and Electrical Engineering</w:t>
      </w:r>
      <w:r>
        <w:rPr>
          <w:rStyle w:val="not-translated-para"/>
          <w:sz w:val="16"/>
          <w:szCs w:val="16"/>
        </w:rPr>
        <w:t>,</w:t>
      </w:r>
    </w:p>
    <w:p w:rsidR="00000000" w:rsidRDefault="00A52409">
      <w:pPr>
        <w:spacing w:after="158" w:line="220" w:lineRule="auto"/>
        <w:ind w:firstLine="1642"/>
      </w:pPr>
      <w:r>
        <w:rPr>
          <w:rStyle w:val="not-translated-para"/>
          <w:sz w:val="16"/>
          <w:szCs w:val="16"/>
        </w:rPr>
        <w:t>Faculty of Science, Engineering and Technology, Swinburne University of Technology, Melbourne, Australia. His resear</w:t>
      </w:r>
      <w:r>
        <w:rPr>
          <w:rStyle w:val="not-translated-para"/>
          <w:sz w:val="16"/>
          <w:szCs w:val="16"/>
        </w:rPr>
        <w:t>ch interests include network design and optimization, edge computing and distributed systems, robotics and automation, and cyber-physical systems and Internet of Things as well as their applications in smart manufacturing, smart transportation and smart ci</w:t>
      </w:r>
      <w:r>
        <w:rPr>
          <w:rStyle w:val="not-translated-para"/>
          <w:sz w:val="16"/>
          <w:szCs w:val="16"/>
        </w:rPr>
        <w:t>ties</w:t>
      </w:r>
      <w:r>
        <w:rPr>
          <w:rStyle w:val="not-translated-para"/>
          <w:sz w:val="16"/>
          <w:szCs w:val="16"/>
        </w:rPr>
        <w:t>.</w:t>
      </w:r>
    </w:p>
    <w:p w:rsidR="00000000" w:rsidRDefault="00A52409">
      <w:pPr>
        <w:spacing w:after="20" w:line="220" w:lineRule="auto"/>
        <w:ind w:left="1637" w:hanging="10"/>
      </w:pPr>
      <w:r>
        <w:rPr>
          <w:noProof/>
        </w:rPr>
        <w:drawing>
          <wp:anchor distT="0" distB="0" distL="114300" distR="114300" simplePos="0" relativeHeight="251672576" behindDoc="0" locked="0" layoutInCell="1" allowOverlap="0">
            <wp:simplePos x="0" y="0"/>
            <wp:positionH relativeFrom="column">
              <wp:align>left</wp:align>
            </wp:positionH>
            <wp:positionV relativeFrom="line">
              <wp:posOffset>0</wp:posOffset>
            </wp:positionV>
            <wp:extent cx="885825" cy="1143000"/>
            <wp:effectExtent l="0" t="0" r="9525" b="0"/>
            <wp:wrapSquare wrapText="bothSides"/>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Han Yu</w:t>
      </w:r>
      <w:r>
        <w:rPr>
          <w:rStyle w:val="not-translated-para"/>
          <w:b/>
          <w:bCs/>
          <w:sz w:val="16"/>
          <w:szCs w:val="16"/>
        </w:rPr>
        <w:t xml:space="preserve"> </w:t>
      </w:r>
      <w:r>
        <w:rPr>
          <w:rStyle w:val="not-translated-para"/>
          <w:sz w:val="16"/>
          <w:szCs w:val="16"/>
        </w:rPr>
        <w:t>received his B.Eng. (Hons) degree and Ph.D. degree from the School of Compute</w:t>
      </w:r>
      <w:r>
        <w:rPr>
          <w:rStyle w:val="not-translated-para"/>
          <w:sz w:val="16"/>
          <w:szCs w:val="16"/>
        </w:rPr>
        <w:t>r</w:t>
      </w:r>
    </w:p>
    <w:p w:rsidR="00000000" w:rsidRDefault="00A52409">
      <w:pPr>
        <w:spacing w:after="20" w:line="220" w:lineRule="auto"/>
        <w:ind w:firstLine="0"/>
        <w:jc w:val="left"/>
      </w:pPr>
      <w:r>
        <w:rPr>
          <w:sz w:val="22"/>
          <w:szCs w:val="22"/>
        </w:rPr>
        <w:t>                                    </w:t>
      </w:r>
      <w:r>
        <w:rPr>
          <w:sz w:val="22"/>
          <w:szCs w:val="22"/>
        </w:rPr>
        <w:t xml:space="preserve"> </w:t>
      </w:r>
      <w:r>
        <w:rPr>
          <w:rStyle w:val="not-translated-para"/>
          <w:sz w:val="16"/>
          <w:szCs w:val="16"/>
        </w:rPr>
        <w:t>Science and Engineering (SCSE), Nanyan</w:t>
      </w:r>
      <w:r>
        <w:rPr>
          <w:rStyle w:val="not-translated-para"/>
          <w:sz w:val="16"/>
          <w:szCs w:val="16"/>
        </w:rPr>
        <w:t>g</w:t>
      </w:r>
    </w:p>
    <w:p w:rsidR="00000000" w:rsidRDefault="00A52409">
      <w:pPr>
        <w:spacing w:after="20" w:line="220" w:lineRule="auto"/>
        <w:ind w:left="1637" w:hanging="10"/>
      </w:pPr>
      <w:r>
        <w:rPr>
          <w:rStyle w:val="not-translated-para"/>
          <w:sz w:val="16"/>
          <w:szCs w:val="16"/>
        </w:rPr>
        <w:t>Technological University (NTU), Singapore i</w:t>
      </w:r>
      <w:r>
        <w:rPr>
          <w:rStyle w:val="not-translated-para"/>
          <w:sz w:val="16"/>
          <w:szCs w:val="16"/>
        </w:rPr>
        <w:t>n</w:t>
      </w:r>
    </w:p>
    <w:p w:rsidR="00000000" w:rsidRDefault="00A52409">
      <w:pPr>
        <w:spacing w:after="20" w:line="220" w:lineRule="auto"/>
        <w:ind w:left="1637" w:hanging="10"/>
      </w:pPr>
      <w:r>
        <w:rPr>
          <w:rStyle w:val="not-translated-para"/>
          <w:sz w:val="16"/>
          <w:szCs w:val="16"/>
        </w:rPr>
        <w:t>2007 and 2014, respectively. He is curren</w:t>
      </w:r>
      <w:r>
        <w:rPr>
          <w:rStyle w:val="not-translated-para"/>
          <w:sz w:val="16"/>
          <w:szCs w:val="16"/>
        </w:rPr>
        <w:t xml:space="preserve">tly </w:t>
      </w:r>
      <w:r>
        <w:rPr>
          <w:rStyle w:val="not-translated-para"/>
          <w:sz w:val="16"/>
          <w:szCs w:val="16"/>
        </w:rPr>
        <w:t>a</w:t>
      </w:r>
    </w:p>
    <w:p w:rsidR="00000000" w:rsidRDefault="00A52409">
      <w:pPr>
        <w:spacing w:after="20" w:line="220" w:lineRule="auto"/>
        <w:ind w:left="1637" w:hanging="10"/>
      </w:pPr>
      <w:r>
        <w:rPr>
          <w:rStyle w:val="not-translated-para"/>
          <w:sz w:val="16"/>
          <w:szCs w:val="16"/>
        </w:rPr>
        <w:t>Nanyang Assistant Professor (NAP) at SCSE</w:t>
      </w:r>
      <w:r>
        <w:rPr>
          <w:rStyle w:val="not-translated-para"/>
          <w:sz w:val="16"/>
          <w:szCs w:val="16"/>
        </w:rPr>
        <w:t>,</w:t>
      </w:r>
    </w:p>
    <w:p w:rsidR="00000000" w:rsidRDefault="00A52409">
      <w:pPr>
        <w:spacing w:after="20" w:line="220" w:lineRule="auto"/>
        <w:ind w:left="1637" w:hanging="10"/>
      </w:pPr>
      <w:r>
        <w:rPr>
          <w:rStyle w:val="not-translated-para"/>
          <w:sz w:val="16"/>
          <w:szCs w:val="16"/>
        </w:rPr>
        <w:t>NTU. From 2015 to 2018, he held the prestigiou</w:t>
      </w:r>
      <w:r>
        <w:rPr>
          <w:rStyle w:val="not-translated-para"/>
          <w:sz w:val="16"/>
          <w:szCs w:val="16"/>
        </w:rPr>
        <w:t>s</w:t>
      </w:r>
    </w:p>
    <w:p w:rsidR="00000000" w:rsidRDefault="00A52409">
      <w:pPr>
        <w:spacing w:after="20" w:line="220" w:lineRule="auto"/>
        <w:ind w:left="1637" w:hanging="10"/>
      </w:pPr>
      <w:r>
        <w:rPr>
          <w:rStyle w:val="not-translated-para"/>
          <w:sz w:val="16"/>
          <w:szCs w:val="16"/>
        </w:rPr>
        <w:t>Lee Kuan Yew Post-Doctoral Fellowship (LK</w:t>
      </w:r>
      <w:r>
        <w:rPr>
          <w:rStyle w:val="not-translated-para"/>
          <w:sz w:val="16"/>
          <w:szCs w:val="16"/>
        </w:rPr>
        <w:t>Y</w:t>
      </w:r>
    </w:p>
    <w:p w:rsidR="00000000" w:rsidRDefault="00A52409">
      <w:pPr>
        <w:spacing w:after="20" w:line="220" w:lineRule="auto"/>
        <w:ind w:left="1637" w:hanging="10"/>
      </w:pPr>
      <w:r>
        <w:rPr>
          <w:rStyle w:val="not-translated-para"/>
          <w:sz w:val="16"/>
          <w:szCs w:val="16"/>
        </w:rPr>
        <w:t>PDF) at the Joint NTU-UBC Research Centre of Excellence in Active Living for the Elderly (LILY)</w:t>
      </w:r>
      <w:r>
        <w:rPr>
          <w:rStyle w:val="not-translated-para"/>
          <w:sz w:val="16"/>
          <w:szCs w:val="16"/>
        </w:rPr>
        <w:t>.</w:t>
      </w:r>
    </w:p>
    <w:p w:rsidR="00000000" w:rsidRDefault="00A52409">
      <w:pPr>
        <w:spacing w:after="20" w:line="220" w:lineRule="auto"/>
        <w:ind w:left="1637" w:hanging="10"/>
      </w:pPr>
      <w:r>
        <w:rPr>
          <w:rStyle w:val="not-translated-para"/>
          <w:sz w:val="16"/>
          <w:szCs w:val="16"/>
        </w:rPr>
        <w:t>His research focuse</w:t>
      </w:r>
      <w:r>
        <w:rPr>
          <w:rStyle w:val="not-translated-para"/>
          <w:sz w:val="16"/>
          <w:szCs w:val="16"/>
        </w:rPr>
        <w:t>s on the ethics of artificia</w:t>
      </w:r>
      <w:r>
        <w:rPr>
          <w:rStyle w:val="not-translated-para"/>
          <w:sz w:val="16"/>
          <w:szCs w:val="16"/>
        </w:rPr>
        <w:t>l</w:t>
      </w:r>
    </w:p>
    <w:p w:rsidR="00000000" w:rsidRDefault="00A52409">
      <w:pPr>
        <w:spacing w:after="158" w:line="220" w:lineRule="auto"/>
        <w:ind w:left="10" w:hanging="10"/>
      </w:pPr>
      <w:r>
        <w:rPr>
          <w:rStyle w:val="not-translated-para"/>
          <w:sz w:val="16"/>
          <w:szCs w:val="16"/>
        </w:rPr>
        <w:t>intelligence and federated learning. He co-authored the book “Federated Learning” - the first monograph on the topic of federated learning</w:t>
      </w:r>
      <w:r>
        <w:rPr>
          <w:rStyle w:val="not-translated-para"/>
          <w:sz w:val="16"/>
          <w:szCs w:val="16"/>
        </w:rPr>
        <w:t>.</w:t>
      </w:r>
    </w:p>
    <w:p w:rsidR="00000000" w:rsidRDefault="00A52409">
      <w:pPr>
        <w:spacing w:after="20" w:line="220" w:lineRule="auto"/>
        <w:ind w:left="1637" w:hanging="10"/>
      </w:pPr>
      <w:r>
        <w:rPr>
          <w:noProof/>
        </w:rPr>
        <w:drawing>
          <wp:anchor distT="0" distB="0" distL="114300" distR="114300" simplePos="0" relativeHeight="251673600" behindDoc="0" locked="0" layoutInCell="1" allowOverlap="0">
            <wp:simplePos x="0" y="0"/>
            <wp:positionH relativeFrom="column">
              <wp:align>left</wp:align>
            </wp:positionH>
            <wp:positionV relativeFrom="line">
              <wp:posOffset>0</wp:posOffset>
            </wp:positionV>
            <wp:extent cx="914400" cy="762000"/>
            <wp:effectExtent l="0" t="0" r="0" b="0"/>
            <wp:wrapSquare wrapText="bothSides"/>
            <wp:docPr id="3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9144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Kee Siong Ng</w:t>
      </w:r>
      <w:r>
        <w:rPr>
          <w:rStyle w:val="not-translated-para"/>
          <w:b/>
          <w:bCs/>
          <w:sz w:val="16"/>
          <w:szCs w:val="16"/>
        </w:rPr>
        <w:t xml:space="preserve"> </w:t>
      </w:r>
      <w:r>
        <w:rPr>
          <w:rStyle w:val="not-translated-para"/>
          <w:sz w:val="16"/>
          <w:szCs w:val="16"/>
        </w:rPr>
        <w:t>is an Associate Professor in the newly formed Software Innovation Institute at the Australian National University (ANU), and one of the first two Translational Fellows appointed through ANU&amp;apos;s Entrepreneurial Academic Scheme. He received his PhD degree</w:t>
      </w:r>
      <w:r>
        <w:rPr>
          <w:rStyle w:val="not-translated-para"/>
          <w:sz w:val="16"/>
          <w:szCs w:val="16"/>
        </w:rPr>
        <w:t xml:space="preserve"> from the ANU and has more than 15 years of experience in industry and government</w:t>
      </w:r>
      <w:r>
        <w:rPr>
          <w:rStyle w:val="not-translated-para"/>
          <w:sz w:val="16"/>
          <w:szCs w:val="16"/>
        </w:rPr>
        <w:t>.</w:t>
      </w:r>
    </w:p>
    <w:sectPr w:rsidR="00000000">
      <w:pgSz w:w="12240" w:h="15840"/>
      <w:pgMar w:top="811" w:right="960" w:bottom="381" w:left="96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3468"/>
    <w:rsid w:val="00253468"/>
    <w:rsid w:val="00A52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5:chartTrackingRefBased/>
  <w15:docId w15:val="{57749744-3B74-429F-9AF7-503C0286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firstLine="275"/>
      <w:jc w:val="both"/>
    </w:pPr>
    <w:rPr>
      <w:rFonts w:ascii="Calibri" w:eastAsia="宋体" w:hAnsi="Calibri" w:cs="宋体"/>
      <w:color w:val="000000"/>
      <w:sz w:val="19"/>
      <w:szCs w:val="19"/>
    </w:rPr>
  </w:style>
  <w:style w:type="paragraph" w:styleId="1">
    <w:name w:val="heading 1"/>
    <w:basedOn w:val="a"/>
    <w:link w:val="10"/>
    <w:uiPriority w:val="9"/>
    <w:qFormat/>
    <w:pPr>
      <w:keepNext/>
      <w:spacing w:after="12" w:line="256" w:lineRule="auto"/>
      <w:ind w:left="16" w:hanging="10"/>
      <w:jc w:val="left"/>
      <w:outlineLvl w:val="0"/>
    </w:pPr>
    <w:rPr>
      <w:b/>
      <w:bCs/>
      <w:kern w:val="36"/>
      <w:sz w:val="18"/>
      <w:szCs w:val="18"/>
    </w:rPr>
  </w:style>
  <w:style w:type="paragraph" w:styleId="2">
    <w:name w:val="heading 2"/>
    <w:basedOn w:val="a"/>
    <w:link w:val="20"/>
    <w:uiPriority w:val="9"/>
    <w:qFormat/>
    <w:pPr>
      <w:keepNext/>
      <w:spacing w:after="67" w:line="256" w:lineRule="auto"/>
      <w:ind w:left="10" w:hanging="10"/>
      <w:jc w:val="left"/>
      <w:outlineLvl w:val="1"/>
    </w:pPr>
    <w:rPr>
      <w:b/>
      <w:bCs/>
    </w:rPr>
  </w:style>
  <w:style w:type="paragraph" w:styleId="3">
    <w:name w:val="heading 3"/>
    <w:basedOn w:val="a"/>
    <w:link w:val="30"/>
    <w:uiPriority w:val="9"/>
    <w:qFormat/>
    <w:pPr>
      <w:keepNext/>
      <w:spacing w:after="30" w:line="256" w:lineRule="auto"/>
      <w:ind w:left="10"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b/>
      <w:bCs/>
      <w:color w:val="000000"/>
    </w:rPr>
  </w:style>
  <w:style w:type="character" w:customStyle="1" w:styleId="20">
    <w:name w:val="标题 2 字符"/>
    <w:basedOn w:val="a0"/>
    <w:link w:val="2"/>
    <w:uiPriority w:val="9"/>
    <w:semiHidden/>
    <w:rPr>
      <w:rFonts w:ascii="Calibri" w:hAnsi="Calibri" w:hint="default"/>
      <w:b/>
      <w:bCs/>
      <w:color w:val="000000"/>
    </w:rPr>
  </w:style>
  <w:style w:type="character" w:customStyle="1" w:styleId="30">
    <w:name w:val="标题 3 字符"/>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olor w:val="auto"/>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6298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7847880_7856183\7847880.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7847880_7856183\7847880.pdf.files\image021.gif" TargetMode="External"/><Relationship Id="rId21" Type="http://schemas.openxmlformats.org/officeDocument/2006/relationships/image" Target="file:///D:\document\convert_tasks\transweb\7847880_7856183\7847880.pdf.files\image010.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7847880_7856183\7847880.pdf.files\image025.gif" TargetMode="External"/><Relationship Id="rId50" Type="http://schemas.openxmlformats.org/officeDocument/2006/relationships/image" Target="media/image24.gif"/><Relationship Id="rId55" Type="http://schemas.openxmlformats.org/officeDocument/2006/relationships/image" Target="file:///D:\document\convert_tasks\transweb\7847880_7856183\7847880.pdf.files\image029.gif" TargetMode="External"/><Relationship Id="rId63" Type="http://schemas.openxmlformats.org/officeDocument/2006/relationships/image" Target="file:///D:\document\convert_tasks\transweb\7847880_7856183\7847880.pdf.files\image037.gif" TargetMode="External"/><Relationship Id="rId68" Type="http://schemas.openxmlformats.org/officeDocument/2006/relationships/image" Target="media/image33.gif"/><Relationship Id="rId76" Type="http://schemas.openxmlformats.org/officeDocument/2006/relationships/image" Target="media/image37.gif"/><Relationship Id="rId84" Type="http://schemas.openxmlformats.org/officeDocument/2006/relationships/image" Target="media/image41.jpeg"/><Relationship Id="rId89" Type="http://schemas.openxmlformats.org/officeDocument/2006/relationships/image" Target="file:///D:\document\convert_tasks\transweb\7847880_7856183\7847880.pdf.files\image056.jpg" TargetMode="External"/><Relationship Id="rId7" Type="http://schemas.openxmlformats.org/officeDocument/2006/relationships/image" Target="file:///D:\document\convert_tasks\transweb\7847880_7856183\7847880.pdf.files\image002.gif" TargetMode="External"/><Relationship Id="rId71" Type="http://schemas.openxmlformats.org/officeDocument/2006/relationships/image" Target="file:///D:\document\convert_tasks\transweb\7847880_7856183\7847880.pdf.files\image042.gif"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7847880_7856183\7847880.pdf.files\image014.gif" TargetMode="External"/><Relationship Id="rId11" Type="http://schemas.openxmlformats.org/officeDocument/2006/relationships/image" Target="file:///D:\document\convert_tasks\transweb\7847880_7856183\7847880.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7847880_7856183\7847880.pdf.files\image020.gif" TargetMode="External"/><Relationship Id="rId40" Type="http://schemas.openxmlformats.org/officeDocument/2006/relationships/image" Target="media/image19.gif"/><Relationship Id="rId45" Type="http://schemas.openxmlformats.org/officeDocument/2006/relationships/image" Target="file:///D:\document\convert_tasks\transweb\7847880_7856183\7847880.pdf.files\image024.gif" TargetMode="External"/><Relationship Id="rId53" Type="http://schemas.openxmlformats.org/officeDocument/2006/relationships/image" Target="file:///D:\document\convert_tasks\transweb\7847880_7856183\7847880.pdf.files\image028.gif" TargetMode="External"/><Relationship Id="rId58" Type="http://schemas.openxmlformats.org/officeDocument/2006/relationships/image" Target="media/image28.gif"/><Relationship Id="rId66" Type="http://schemas.openxmlformats.org/officeDocument/2006/relationships/image" Target="media/image32.gif"/><Relationship Id="rId74" Type="http://schemas.openxmlformats.org/officeDocument/2006/relationships/image" Target="media/image36.gif"/><Relationship Id="rId79" Type="http://schemas.openxmlformats.org/officeDocument/2006/relationships/image" Target="file:///D:\document\convert_tasks\transweb\7847880_7856183\7847880.pdf.files\image050.gif" TargetMode="External"/><Relationship Id="rId87" Type="http://schemas.openxmlformats.org/officeDocument/2006/relationships/image" Target="file:///D:\document\convert_tasks\transweb\7847880_7856183\7847880.pdf.files\image055.gif" TargetMode="External"/><Relationship Id="rId5" Type="http://schemas.openxmlformats.org/officeDocument/2006/relationships/image" Target="file:///D:\document\convert_tasks\transweb\7847880_7856183\7847880.pdf.files\image001.gif" TargetMode="External"/><Relationship Id="rId61" Type="http://schemas.openxmlformats.org/officeDocument/2006/relationships/image" Target="file:///D:\document\convert_tasks\transweb\7847880_7856183\7847880.pdf.files\image036.gif" TargetMode="External"/><Relationship Id="rId82" Type="http://schemas.openxmlformats.org/officeDocument/2006/relationships/image" Target="media/image40.jpeg"/><Relationship Id="rId90" Type="http://schemas.openxmlformats.org/officeDocument/2006/relationships/image" Target="media/image44.jpeg"/><Relationship Id="rId19" Type="http://schemas.openxmlformats.org/officeDocument/2006/relationships/image" Target="file:///D:\document\convert_tasks\transweb\7847880_7856183\7847880.pdf.files\image009.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7847880_7856183\7847880.pdf.files\image013.gif" TargetMode="External"/><Relationship Id="rId30" Type="http://schemas.openxmlformats.org/officeDocument/2006/relationships/image" Target="media/image14.gif"/><Relationship Id="rId35" Type="http://schemas.openxmlformats.org/officeDocument/2006/relationships/image" Target="file:///D:\document\convert_tasks\transweb\7847880_7856183\7847880.pdf.files\image019.gif" TargetMode="External"/><Relationship Id="rId43" Type="http://schemas.openxmlformats.org/officeDocument/2006/relationships/image" Target="file:///D:\document\convert_tasks\transweb\7847880_7856183\7847880.pdf.files\image023.gif" TargetMode="External"/><Relationship Id="rId48" Type="http://schemas.openxmlformats.org/officeDocument/2006/relationships/image" Target="media/image23.gif"/><Relationship Id="rId56" Type="http://schemas.openxmlformats.org/officeDocument/2006/relationships/image" Target="media/image27.jpeg"/><Relationship Id="rId64" Type="http://schemas.openxmlformats.org/officeDocument/2006/relationships/image" Target="media/image31.gif"/><Relationship Id="rId69" Type="http://schemas.openxmlformats.org/officeDocument/2006/relationships/image" Target="file:///D:\document\convert_tasks\transweb\7847880_7856183\7847880.pdf.files\image041.gif" TargetMode="External"/><Relationship Id="rId77" Type="http://schemas.openxmlformats.org/officeDocument/2006/relationships/image" Target="file:///D:\document\convert_tasks\transweb\7847880_7856183\7847880.pdf.files\image048.gif" TargetMode="External"/><Relationship Id="rId8" Type="http://schemas.openxmlformats.org/officeDocument/2006/relationships/image" Target="media/image3.gif"/><Relationship Id="rId51" Type="http://schemas.openxmlformats.org/officeDocument/2006/relationships/image" Target="file:///D:\document\convert_tasks\transweb\7847880_7856183\7847880.pdf.files\image027.gif" TargetMode="External"/><Relationship Id="rId72" Type="http://schemas.openxmlformats.org/officeDocument/2006/relationships/image" Target="media/image35.gif"/><Relationship Id="rId80" Type="http://schemas.openxmlformats.org/officeDocument/2006/relationships/image" Target="media/image39.gif"/><Relationship Id="rId85" Type="http://schemas.openxmlformats.org/officeDocument/2006/relationships/image" Target="file:///D:\document\convert_tasks\transweb\7847880_7856183\7847880.pdf.files\image054.jpg"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7847880_7856183\7847880.pdf.files\image008.gif" TargetMode="External"/><Relationship Id="rId25" Type="http://schemas.openxmlformats.org/officeDocument/2006/relationships/image" Target="file:///D:\document\convert_tasks\transweb\7847880_7856183\7847880.pdf.files\image012.gif" TargetMode="External"/><Relationship Id="rId33" Type="http://schemas.openxmlformats.org/officeDocument/2006/relationships/image" Target="file:///D:\document\convert_tasks\transweb\7847880_7856183\7847880.pdf.files\image017.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7847880_7856183\7847880.pdf.files\image033.gif" TargetMode="External"/><Relationship Id="rId67" Type="http://schemas.openxmlformats.org/officeDocument/2006/relationships/image" Target="file:///D:\document\convert_tasks\transweb\7847880_7856183\7847880.pdf.files\image040.gif" TargetMode="External"/><Relationship Id="rId20" Type="http://schemas.openxmlformats.org/officeDocument/2006/relationships/image" Target="media/image9.gif"/><Relationship Id="rId41" Type="http://schemas.openxmlformats.org/officeDocument/2006/relationships/image" Target="file:///D:\document\convert_tasks\transweb\7847880_7856183\7847880.pdf.files\image022.gif"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7847880_7856183\7847880.pdf.files\image044.gif" TargetMode="External"/><Relationship Id="rId83" Type="http://schemas.openxmlformats.org/officeDocument/2006/relationships/image" Target="file:///D:\document\convert_tasks\transweb\7847880_7856183\7847880.pdf.files\image053.jpg" TargetMode="External"/><Relationship Id="rId88" Type="http://schemas.openxmlformats.org/officeDocument/2006/relationships/image" Target="media/image43.jpeg"/><Relationship Id="rId91" Type="http://schemas.openxmlformats.org/officeDocument/2006/relationships/image" Target="file:///D:\document\convert_tasks\transweb\7847880_7856183\7847880.pdf.files\image057.jpg" TargetMode="Externa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7847880_7856183\7847880.pdf.files\image006.gif" TargetMode="External"/><Relationship Id="rId23" Type="http://schemas.openxmlformats.org/officeDocument/2006/relationships/image" Target="file:///D:\document\convert_tasks\transweb\7847880_7856183\7847880.pdf.files\image011.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7847880_7856183\7847880.pdf.files\image026.gif" TargetMode="External"/><Relationship Id="rId57" Type="http://schemas.openxmlformats.org/officeDocument/2006/relationships/image" Target="file:///D:\document\convert_tasks\transweb\7847880_7856183\7847880.pdf.files\image031.jpg" TargetMode="External"/><Relationship Id="rId10" Type="http://schemas.openxmlformats.org/officeDocument/2006/relationships/image" Target="media/image4.gif"/><Relationship Id="rId31" Type="http://schemas.openxmlformats.org/officeDocument/2006/relationships/image" Target="file:///D:\document\convert_tasks\transweb\7847880_7856183\7847880.pdf.files\image015.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7847880_7856183\7847880.pdf.files\image039.gif" TargetMode="External"/><Relationship Id="rId73" Type="http://schemas.openxmlformats.org/officeDocument/2006/relationships/image" Target="file:///D:\document\convert_tasks\transweb\7847880_7856183\7847880.pdf.files\image043.gif" TargetMode="External"/><Relationship Id="rId78" Type="http://schemas.openxmlformats.org/officeDocument/2006/relationships/image" Target="media/image38.gif"/><Relationship Id="rId81" Type="http://schemas.openxmlformats.org/officeDocument/2006/relationships/image" Target="file:///D:\document\convert_tasks\transweb\7847880_7856183\7847880.pdf.files\image052.gif" TargetMode="External"/><Relationship Id="rId86" Type="http://schemas.openxmlformats.org/officeDocument/2006/relationships/image" Target="media/image42.gif"/><Relationship Id="rId4" Type="http://schemas.openxmlformats.org/officeDocument/2006/relationships/image" Target="media/image1.gif"/><Relationship Id="rId9" Type="http://schemas.openxmlformats.org/officeDocument/2006/relationships/image" Target="file:///D:\document\convert_tasks\transweb\7847880_7856183\7847880.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10507</Words>
  <Characters>59894</Characters>
  <Application>Microsoft Office Word</Application>
  <DocSecurity>0</DocSecurity>
  <Lines>499</Lines>
  <Paragraphs>140</Paragraphs>
  <ScaleCrop>false</ScaleCrop>
  <Company/>
  <LinksUpToDate>false</LinksUpToDate>
  <CharactersWithSpaces>70261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Fair and Privacy-Preserving Federated Deep Models</dc:title>
  <dc:subject/>
  <dc:creator>翻译 百度</dc:creator>
  <cp:keywords/>
  <dc:description/>
  <cp:lastModifiedBy>翻译 百度</cp:lastModifiedBy>
  <cp:revision>3</cp:revision>
  <dcterms:created xsi:type="dcterms:W3CDTF">2020-09-30T00:01:00Z</dcterms:created>
  <dcterms:modified xsi:type="dcterms:W3CDTF">2020-09-30T00:01:00Z</dcterms:modified>
</cp:coreProperties>
</file>