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drawing>
          <wp:inline distT="0" distB="0" distL="0" distR="0">
            <wp:extent cx="1809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66700"/>
                    </a:xfrm>
                    <a:prstGeom prst="rect">
                      <a:avLst/>
                    </a:prstGeom>
                  </pic:spPr>
                </pic:pic>
              </a:graphicData>
            </a:graphic>
          </wp:inline>
        </w:drawing>
      </w:r>
    </w:p>
    <w:p>
      <w:pPr>
        <w:spacing w:after="80"/>
      </w:pPr>
      <w:r>
        <w:rPr>
          <w:rFonts w:ascii="Sora" w:cs="Noto Sans SC" w:eastAsia="Noto Sans SC" w:hAnsi="Sora"/>
          <w:b/>
          <w:bCs/>
          <w:color w:val="15181C"/>
          <w:sz w:val="40"/>
          <w:szCs w:val="40"/>
        </w:rPr>
        <w:t xml:space="preserve">Proposed partnership terms</w:t>
      </w:r>
    </w:p>
    <w:p>
      <w:pPr>
        <w:spacing w:after="60"/>
      </w:pPr>
      <w:r>
        <w:rPr>
          <w:rFonts w:ascii="Sora" w:cs="Noto Sans SC" w:eastAsia="Noto Sans SC" w:hAnsi="Sora"/>
          <w:color w:val="F26B1D"/>
          <w:sz w:val="20"/>
          <w:szCs w:val="20"/>
        </w:rPr>
        <w:t xml:space="preserve">Zumee vehicle advertising · for drivers and businesses to read and acknowledge</w:t>
      </w:r>
    </w:p>
    <w:p>
      <w:pPr>
        <w:spacing w:after="200"/>
      </w:pPr>
      <w:r>
        <w:rPr>
          <w:rFonts w:ascii="Sora" w:cs="Noto Sans SC" w:eastAsia="Noto Sans SC" w:hAnsi="Sora"/>
          <w:color w:val="5A5450"/>
          <w:sz w:val="18"/>
          <w:szCs w:val="18"/>
        </w:rPr>
        <w:t xml:space="preserve">Version v0.1 · 17 September 2026</w:t>
      </w:r>
    </w:p>
    <w:tbl>
      <w:tblPr>
        <w:tblW w:type="dxa" w:w="9640"/>
        <w:tblBorders>
          <w:top w:val="single" w:color="F26B1D" w:sz="12"/>
          <w:left w:val="none" w:color="FFFFFF" w:sz="0"/>
          <w:bottom w:val="none" w:color="FFFFFF" w:sz="0"/>
          <w:right w:val="none" w:color="FFFFFF" w:sz="0"/>
          <w:insideH w:val="none" w:color="FFFFFF" w:sz="0"/>
          <w:insideV w:val="none" w:color="FFFFFF" w:sz="0"/>
        </w:tblBorders>
      </w:tblPr>
      <w:tblGrid>
        <w:gridCol w:w="9640"/>
      </w:tblGrid>
      <w:tr>
        <w:tc>
          <w:tcPr>
            <w:tcW w:type="dxa" w:w="9640"/>
            <w:shd w:fill="FFF7EF" w:color="auto" w:val="clear"/>
            <w:tcMar>
              <w:top w:type="dxa" w:w="160"/>
              <w:left w:type="dxa" w:w="220"/>
              <w:bottom w:type="dxa" w:w="160"/>
              <w:right w:type="dxa" w:w="220"/>
            </w:tcMar>
          </w:tcPr>
          <w:p>
            <w:pPr>
              <w:spacing w:after="60" w:line="336"/>
            </w:pPr>
            <w:r>
              <w:rPr>
                <w:rFonts w:ascii="Noto Sans SC" w:cs="Noto Sans SC" w:eastAsia="Noto Sans SC" w:hAnsi="Noto Sans SC"/>
                <w:color w:val="5A5450"/>
                <w:sz w:val="20"/>
                <w:szCs w:val="20"/>
              </w:rPr>
              <w:t xml:space="preserve">These proposed principles are for drivers and brands to review and discuss. They are not an effective service contract. Before a campaign begins, the operating entity, quote, insurance and responsibilities will be confirmed in a separate agreement accepted by both parties. Registration does not mean acceptance of these proposed terms.</w:t>
            </w:r>
          </w:p>
        </w:tc>
      </w:tr>
    </w:tbl>
    <w:p>
      <w:pPr>
        <w:spacing w:after="120" w:line="336"/>
      </w:pPr>
      <w:r>
        <w:rPr>
          <w:rFonts w:ascii="Noto Sans SC" w:cs="Noto Sans SC" w:eastAsia="Noto Sans SC" w:hAnsi="Noto Sans SC"/>
          <w:color w:val="15181C"/>
          <w:sz w:val="21"/>
          <w:szCs w:val="21"/>
        </w:rPr>
        <w:t xml:space="preserve"/>
      </w:r>
    </w:p>
    <w:p>
      <w:pPr>
        <w:pStyle w:val="Heading2"/>
        <w:spacing w:after="120" w:before="260"/>
      </w:pPr>
      <w:r>
        <w:rPr>
          <w:rFonts w:ascii="Sora" w:cs="Noto Sans SC" w:eastAsia="Noto Sans SC" w:hAnsi="Sora"/>
          <w:b/>
          <w:bCs/>
          <w:color w:val="15181C"/>
          <w:sz w:val="25"/>
          <w:szCs w:val="25"/>
        </w:rPr>
        <w:t xml:space="preserve">1. Registration and matching</w:t>
      </w:r>
    </w:p>
    <w:p>
      <w:pPr>
        <w:spacing w:after="160" w:line="336"/>
      </w:pPr>
      <w:r>
        <w:rPr>
          <w:rFonts w:ascii="Noto Sans SC" w:cs="Noto Sans SC" w:eastAsia="Noto Sans SC" w:hAnsi="Noto Sans SC"/>
          <w:color w:val="15181C"/>
          <w:sz w:val="21"/>
          <w:szCs w:val="21"/>
        </w:rPr>
        <w:t xml:space="preserve">Submitting details does not guarantee acceptance, earnings, vehicle availability or a campaign launch. Applications may be reviewed or declined based on location, vehicle condition, advertising category and capacity. A response within 24 hours is a service target, not a guarantee of matching or launch within that time.</w:t>
      </w:r>
    </w:p>
    <w:p>
      <w:pPr>
        <w:pStyle w:val="Heading2"/>
        <w:spacing w:after="120" w:before="260"/>
      </w:pPr>
      <w:r>
        <w:rPr>
          <w:rFonts w:ascii="Sora" w:cs="Noto Sans SC" w:eastAsia="Noto Sans SC" w:hAnsi="Sora"/>
          <w:b/>
          <w:bCs/>
          <w:color w:val="15181C"/>
          <w:sz w:val="25"/>
          <w:szCs w:val="25"/>
        </w:rPr>
        <w:t xml:space="preserve">2. Driver information and lawful vehicle use</w:t>
      </w:r>
    </w:p>
    <w:p>
      <w:pPr>
        <w:spacing w:after="160" w:line="336"/>
      </w:pPr>
      <w:r>
        <w:rPr>
          <w:rFonts w:ascii="Noto Sans SC" w:cs="Noto Sans SC" w:eastAsia="Noto Sans SC" w:hAnsi="Noto Sans SC"/>
          <w:color w:val="15181C"/>
          <w:sz w:val="21"/>
          <w:szCs w:val="21"/>
        </w:rPr>
        <w:t xml:space="preserve">Drivers must provide accurate information and promptly report changes to driving areas, vehicles or contact details. Before a campaign, drivers must hold the required driving licence and permission to use the vehicle and display advertising, and confirm relevant coverage requirements with their insurer. Exposure must never be pursued through unsafe driving or traffic violations.</w:t>
      </w:r>
    </w:p>
    <w:p>
      <w:pPr>
        <w:pStyle w:val="Heading2"/>
        <w:spacing w:after="120" w:before="260"/>
      </w:pPr>
      <w:r>
        <w:rPr>
          <w:rFonts w:ascii="Sora" w:cs="Noto Sans SC" w:eastAsia="Noto Sans SC" w:hAnsi="Sora"/>
          <w:b/>
          <w:bCs/>
          <w:color w:val="15181C"/>
          <w:sz w:val="25"/>
          <w:szCs w:val="25"/>
        </w:rPr>
        <w:t xml:space="preserve">3. Driver payment and display obligations</w:t>
      </w:r>
    </w:p>
    <w:p>
      <w:pPr>
        <w:spacing w:after="160" w:line="336"/>
      </w:pPr>
      <w:r>
        <w:rPr>
          <w:rFonts w:ascii="Noto Sans SC" w:cs="Noto Sans SC" w:eastAsia="Noto Sans SC" w:hAnsi="Noto Sans SC"/>
          <w:color w:val="15181C"/>
          <w:sz w:val="21"/>
          <w:szCs w:val="21"/>
        </w:rPr>
        <w:t xml:space="preserve">Compensation, placement, campaign days, verification and payment timing must be specified in the agreement. Drivers should keep the advertisement intact and visible as agreed and reasonably assist with photo verification. Interruptions or early removal must be reported promptly. Compensation for unfulfilled service may be adjusted as agreed, without unjustified withholding for completed service. Additional verification or data collection must be explained in advance. Standard campaigns do not require a location-tracking app; mileage is based on odometer photos. Drivers who opt into a verified-route tier agree to separate terms.</w:t>
      </w:r>
    </w:p>
    <w:p>
      <w:pPr>
        <w:pStyle w:val="Heading2"/>
        <w:spacing w:after="120" w:before="260"/>
      </w:pPr>
      <w:r>
        <w:rPr>
          <w:rFonts w:ascii="Sora" w:cs="Noto Sans SC" w:eastAsia="Noto Sans SC" w:hAnsi="Sora"/>
          <w:b/>
          <w:bCs/>
          <w:color w:val="15181C"/>
          <w:sz w:val="25"/>
          <w:szCs w:val="25"/>
        </w:rPr>
        <w:t xml:space="preserve">4. Brand content and intellectual property</w:t>
      </w:r>
    </w:p>
    <w:p>
      <w:pPr>
        <w:spacing w:after="160" w:line="336"/>
      </w:pPr>
      <w:r>
        <w:rPr>
          <w:rFonts w:ascii="Noto Sans SC" w:cs="Noto Sans SC" w:eastAsia="Noto Sans SC" w:hAnsi="Noto Sans SC"/>
          <w:color w:val="15181C"/>
          <w:sz w:val="21"/>
          <w:szCs w:val="21"/>
        </w:rPr>
        <w:t xml:space="preserve">Brands must provide truthful, lawful advertising and hold the rights to supplied logos, images and text. We may reject or suspend content suspected of being unlawful, infringing or unsuitable. Permission to reproduce, produce and display materials is limited to fulfilling the order; public case studies require separate consent. Proposed indemnity obligations cover legally established, reasonable third-party losses and handling costs caused by the brand's breach, excluding losses caused by our own fault.</w:t>
      </w:r>
    </w:p>
    <w:p>
      <w:pPr>
        <w:pStyle w:val="Heading2"/>
        <w:spacing w:after="120" w:before="260"/>
      </w:pPr>
      <w:r>
        <w:rPr>
          <w:rFonts w:ascii="Sora" w:cs="Noto Sans SC" w:eastAsia="Noto Sans SC" w:hAnsi="Sora"/>
          <w:b/>
          <w:bCs/>
          <w:color w:val="15181C"/>
          <w:sz w:val="25"/>
          <w:szCs w:val="25"/>
        </w:rPr>
        <w:t xml:space="preserve">5. Quotes, payment and start dates</w:t>
      </w:r>
    </w:p>
    <w:p>
      <w:pPr>
        <w:spacing w:after="160" w:line="336"/>
      </w:pPr>
      <w:r>
        <w:rPr>
          <w:rFonts w:ascii="Noto Sans SC" w:cs="Noto Sans SC" w:eastAsia="Noto Sans SC" w:hAnsi="Noto Sans SC"/>
          <w:color w:val="15181C"/>
          <w:sz w:val="21"/>
          <w:szCs w:val="21"/>
        </w:rPr>
        <w:t xml:space="preserve">Orders must specify currency, vehicle count, ad specifications, duration, service fees, production and installation costs, applicable taxes and the total price. Production and placement follow confirmation of the plan and payment terms. Campaign duration begins on the agreed actual display date. "A daily coffee" is a budget goal, not a fixed price promise. Non-payment may pause future service; renewals or additional charges require separate confirmation.</w:t>
      </w:r>
    </w:p>
    <w:p>
      <w:pPr>
        <w:pStyle w:val="Heading2"/>
        <w:spacing w:after="120" w:before="260"/>
      </w:pPr>
      <w:r>
        <w:rPr>
          <w:rFonts w:ascii="Sora" w:cs="Noto Sans SC" w:eastAsia="Noto Sans SC" w:hAnsi="Sora"/>
          <w:b/>
          <w:bCs/>
          <w:color w:val="15181C"/>
          <w:sz w:val="25"/>
          <w:szCs w:val="25"/>
        </w:rPr>
        <w:t xml:space="preserve">6. Changes, cancellation and refunds</w:t>
      </w:r>
    </w:p>
    <w:p>
      <w:pPr>
        <w:spacing w:after="160" w:line="336"/>
      </w:pPr>
      <w:r>
        <w:rPr>
          <w:rFonts w:ascii="Noto Sans SC" w:cs="Noto Sans SC" w:eastAsia="Noto Sans SC" w:hAnsi="Noto Sans SC"/>
          <w:color w:val="15181C"/>
          <w:sz w:val="21"/>
          <w:szCs w:val="21"/>
        </w:rPr>
        <w:t xml:space="preserve">Changes or cancellation may be requested before production. Approved, actually incurred and unrecoverable production or installation costs, plus completed services, may be deducted where lawful and agreed, with an itemized explanation. Remaining fees for unperformed services are refundable as agreed. If we cannot provide the service, we will agree on an alternative or refund the unfulfilled portion. Statutory cancellation and refund rights remain unaffected.</w:t>
      </w:r>
    </w:p>
    <w:p>
      <w:pPr>
        <w:pStyle w:val="Heading2"/>
        <w:spacing w:after="120" w:before="260"/>
      </w:pPr>
      <w:r>
        <w:rPr>
          <w:rFonts w:ascii="Sora" w:cs="Noto Sans SC" w:eastAsia="Noto Sans SC" w:hAnsi="Sora"/>
          <w:b/>
          <w:bCs/>
          <w:color w:val="15181C"/>
          <w:sz w:val="25"/>
          <w:szCs w:val="25"/>
        </w:rPr>
        <w:t xml:space="preserve">7. Installation, removal and vehicle damage</w:t>
      </w:r>
    </w:p>
    <w:p>
      <w:pPr>
        <w:spacing w:after="160" w:line="336"/>
      </w:pPr>
      <w:r>
        <w:rPr>
          <w:rFonts w:ascii="Noto Sans SC" w:cs="Noto Sans SC" w:eastAsia="Noto Sans SC" w:hAnsi="Noto Sans SC"/>
          <w:color w:val="15181C"/>
          <w:sz w:val="21"/>
          <w:szCs w:val="21"/>
        </w:rPr>
        <w:t xml:space="preserve">Paint condition must be documented before installation, with materials, placement and removal methods agreed. Older or repainted surfaces, deteriorating paint and improper handling can increase risk; no absolute damage-free promise is made. Drivers should promptly stop improper handling, preserve photographs and contact us if an issue arises. Responsibility depends on evidence, causation, applicable law and the agreement. Using an outside installer does not automatically exclude responsibilities we legally bear.</w:t>
      </w:r>
    </w:p>
    <w:p>
      <w:pPr>
        <w:pStyle w:val="Heading2"/>
        <w:spacing w:after="120" w:before="260"/>
      </w:pPr>
      <w:r>
        <w:rPr>
          <w:rFonts w:ascii="Sora" w:cs="Noto Sans SC" w:eastAsia="Noto Sans SC" w:hAnsi="Sora"/>
          <w:b/>
          <w:bCs/>
          <w:color w:val="15181C"/>
          <w:sz w:val="25"/>
          <w:szCs w:val="25"/>
        </w:rPr>
        <w:t xml:space="preserve">8. Results and campaign interruptions</w:t>
      </w:r>
    </w:p>
    <w:p>
      <w:pPr>
        <w:spacing w:after="160" w:line="336"/>
      </w:pPr>
      <w:r>
        <w:rPr>
          <w:rFonts w:ascii="Noto Sans SC" w:cs="Noto Sans SC" w:eastAsia="Noto Sans SC" w:hAnsi="Noto Sans SC"/>
          <w:color w:val="15181C"/>
          <w:sz w:val="21"/>
          <w:szCs w:val="21"/>
        </w:rPr>
        <w:t xml:space="preserve">Unless an agreement expressly specifies verifiable metrics, no impressions, clicks, visits, leads or sales are guaranteed. Repairs, weather and other interruptions should be communicated promptly. Comparable replacement vehicles, extensions or fee adjustments may be arranged under the agreement. Material changes require customer confirmation and do not remove refund obligations for services not provided.</w:t>
      </w:r>
    </w:p>
    <w:p>
      <w:pPr>
        <w:pStyle w:val="Heading2"/>
        <w:spacing w:after="120" w:before="260"/>
      </w:pPr>
      <w:r>
        <w:rPr>
          <w:rFonts w:ascii="Sora" w:cs="Noto Sans SC" w:eastAsia="Noto Sans SC" w:hAnsi="Sora"/>
          <w:b/>
          <w:bCs/>
          <w:color w:val="15181C"/>
          <w:sz w:val="25"/>
          <w:szCs w:val="25"/>
        </w:rPr>
        <w:t xml:space="preserve">9. Personal information and contact</w:t>
      </w:r>
    </w:p>
    <w:p>
      <w:pPr>
        <w:spacing w:after="160" w:line="336"/>
      </w:pPr>
      <w:r>
        <w:rPr>
          <w:rFonts w:ascii="Noto Sans SC" w:cs="Noto Sans SC" w:eastAsia="Noto Sans SC" w:hAnsi="Noto Sans SC"/>
          <w:color w:val="15181C"/>
          <w:sz w:val="21"/>
          <w:szCs w:val="21"/>
        </w:rPr>
        <w:t xml:space="preserve">Registration details are intended for contact, matching and order management. Necessary information is shared only with personnel or providers needed to deliver the service. Disclosure of a driver's contact details to a brand, additional marketing or other purposes requires appropriate notice and consent. A privacy contact, retention periods and procedures for access, correction and deletion requests will be added before commercial launch.</w:t>
      </w:r>
    </w:p>
    <w:p>
      <w:pPr>
        <w:pStyle w:val="Heading2"/>
        <w:spacing w:after="120" w:before="260"/>
      </w:pPr>
      <w:r>
        <w:rPr>
          <w:rFonts w:ascii="Sora" w:cs="Noto Sans SC" w:eastAsia="Noto Sans SC" w:hAnsi="Sora"/>
          <w:b/>
          <w:bCs/>
          <w:color w:val="15181C"/>
          <w:sz w:val="25"/>
          <w:szCs w:val="25"/>
        </w:rPr>
        <w:t xml:space="preserve">10. Liability and disputes</w:t>
      </w:r>
    </w:p>
    <w:p>
      <w:pPr>
        <w:spacing w:after="160" w:line="336"/>
      </w:pPr>
      <w:r>
        <w:rPr>
          <w:rFonts w:ascii="Noto Sans SC" w:cs="Noto Sans SC" w:eastAsia="Noto Sans SC" w:hAnsi="Noto Sans SC"/>
          <w:color w:val="15181C"/>
          <w:sz w:val="21"/>
          <w:szCs w:val="21"/>
        </w:rPr>
        <w:t xml:space="preserve">Subject to applicable law, a proposed agreement may cap ordinary order-related contractual claims at the service fees paid for the disputed order and exclude indirect losses that may lawfully be excluded. A lawyer must review these provisions against the actual business and insurance arrangements. Fraud, gross negligence, personal injury, non-excludable liability and statutory rights are not excluded. Parties may first seek a negotiated resolution while retaining lawful remedies. British Columbia and applicable Canadian law would generally apply. Changes do not retroactively alter confirmed orders; material changes require mutual agreement.</w:t>
      </w:r>
    </w:p>
    <w:p>
      <w:pPr>
        <w:spacing w:after="120" w:line="336"/>
      </w:pPr>
      <w:r>
        <w:rPr>
          <w:rFonts w:ascii="Noto Sans SC" w:cs="Noto Sans SC" w:eastAsia="Noto Sans SC" w:hAnsi="Noto Sans SC"/>
          <w:color w:val="15181C"/>
          <w:sz w:val="21"/>
          <w:szCs w:val="21"/>
        </w:rPr>
        <w:t xml:space="preserve"/>
      </w:r>
    </w:p>
    <w:tbl>
      <w:tblPr>
        <w:tblW w:type="dxa" w:w="9640"/>
        <w:tblBorders>
          <w:top w:val="single" w:color="F26B1D" w:sz="12"/>
          <w:left w:val="none" w:color="FFFFFF" w:sz="0"/>
          <w:bottom w:val="none" w:color="FFFFFF" w:sz="0"/>
          <w:right w:val="none" w:color="FFFFFF" w:sz="0"/>
          <w:insideH w:val="none" w:color="FFFFFF" w:sz="0"/>
          <w:insideV w:val="none" w:color="FFFFFF" w:sz="0"/>
        </w:tblBorders>
      </w:tblPr>
      <w:tblGrid>
        <w:gridCol w:w="9640"/>
      </w:tblGrid>
      <w:tr>
        <w:tc>
          <w:tcPr>
            <w:tcW w:type="dxa" w:w="9640"/>
            <w:shd w:fill="FFF7EF" w:color="auto" w:val="clear"/>
            <w:tcMar>
              <w:top w:type="dxa" w:w="160"/>
              <w:left w:type="dxa" w:w="220"/>
              <w:bottom w:type="dxa" w:w="160"/>
              <w:right w:type="dxa" w:w="220"/>
            </w:tcMar>
          </w:tcPr>
          <w:p>
            <w:pPr>
              <w:spacing w:after="60" w:line="336"/>
            </w:pPr>
            <w:r>
              <w:rPr>
                <w:rFonts w:ascii="Noto Sans SC" w:cs="Noto Sans SC" w:eastAsia="Noto Sans SC" w:hAnsi="Noto Sans SC"/>
                <w:color w:val="5A5450"/>
                <w:sz w:val="20"/>
                <w:szCs w:val="20"/>
              </w:rPr>
              <w:t xml:space="preserve">These terms are a working draft. A British Columbia lawyer should review them and prepare agreements suited to the actual business before payments are accepted or campaigns begin.</w:t>
            </w:r>
          </w:p>
        </w:tc>
      </w:tr>
    </w:tbl>
    <w:p>
      <w:r>
        <w:br w:type="page"/>
      </w:r>
    </w:p>
    <w:p>
      <w:pPr>
        <w:pStyle w:val="Heading1"/>
        <w:spacing w:after="160" w:before="360"/>
      </w:pPr>
      <w:r>
        <w:rPr>
          <w:rFonts w:ascii="Sora" w:cs="Noto Sans SC" w:eastAsia="Noto Sans SC" w:hAnsi="Sora"/>
          <w:b/>
          <w:bCs/>
          <w:color w:val="15181C"/>
          <w:sz w:val="32"/>
          <w:szCs w:val="32"/>
        </w:rPr>
        <w:t xml:space="preserve">Acknowledgement</w:t>
      </w:r>
    </w:p>
    <w:p>
      <w:pPr>
        <w:spacing w:after="140" w:line="336"/>
      </w:pPr>
      <w:r>
        <w:rPr>
          <w:rFonts w:ascii="Noto Sans SC" w:cs="Noto Sans SC" w:eastAsia="Noto Sans SC" w:hAnsi="Noto Sans SC"/>
          <w:color w:val="5A5450"/>
          <w:sz w:val="20"/>
          <w:szCs w:val="20"/>
        </w:rPr>
        <w:t xml:space="preserve">This page only confirms that the signatory has read and understood the draft terms above. It is not a service contract. Any partnership is governed by the separately signed agreement, quote and order; if they conflict, the agreement prevails.</w:t>
      </w:r>
    </w:p>
    <w:p>
      <w:pPr>
        <w:spacing w:after="200" w:line="336"/>
      </w:pPr>
      <w:r>
        <w:rPr>
          <w:rFonts w:ascii="Noto Sans SC" w:cs="Noto Sans SC" w:eastAsia="Noto Sans SC" w:hAnsi="Noto Sans SC"/>
          <w:color w:val="15181C"/>
          <w:sz w:val="21"/>
          <w:szCs w:val="21"/>
        </w:rPr>
        <w:t xml:space="preserve">Signing as:   ☐ Driver      ☐ Business</w:t>
      </w:r>
    </w:p>
    <w:tbl>
      <w:tblPr>
        <w:tblW w:type="dxa" w:w="9640"/>
        <w:tblBorders>
          <w:top w:val="single" w:color="E6DED5" w:sz="6"/>
          <w:left w:val="single" w:color="E6DED5" w:sz="6"/>
          <w:bottom w:val="single" w:color="E6DED5" w:sz="6"/>
          <w:right w:val="single" w:color="E6DED5" w:sz="6"/>
          <w:insideH w:val="single" w:color="E6DED5" w:sz="6"/>
          <w:insideV w:val="single" w:color="E6DED5" w:sz="6"/>
        </w:tblBorders>
      </w:tblPr>
      <w:tblGrid>
        <w:gridCol w:w="2200"/>
        <w:gridCol w:w="3720"/>
        <w:gridCol w:w="3720"/>
      </w:tblGrid>
      <w:tr>
        <w:trPr>
          <w:tblHeader/>
        </w:trPr>
        <w:tc>
          <w:tcPr>
            <w:tcW w:type="dxa" w:w="2200"/>
            <w:shd w:fill="FFF7EF" w:color="auto" w:val="clear"/>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shd w:fill="FFF7EF" w:color="auto" w:val="clear"/>
            <w:tcMar>
              <w:top w:type="dxa" w:w="140"/>
              <w:left w:type="dxa" w:w="160"/>
              <w:bottom w:type="dxa" w:w="140"/>
              <w:right w:type="dxa" w:w="160"/>
            </w:tcMar>
            <w:vAlign w:val="center"/>
          </w:tcPr>
          <w:p>
            <w:r>
              <w:rPr>
                <w:rFonts w:ascii="Sora" w:cs="Noto Sans SC" w:eastAsia="Noto Sans SC" w:hAnsi="Sora"/>
                <w:b/>
                <w:bCs/>
                <w:color w:val="15181C"/>
                <w:sz w:val="20"/>
                <w:szCs w:val="20"/>
              </w:rPr>
              <w:t xml:space="preserve">Party A (Platform)</w:t>
            </w:r>
          </w:p>
        </w:tc>
        <w:tc>
          <w:tcPr>
            <w:tcW w:type="dxa" w:w="3720"/>
            <w:shd w:fill="FFF7EF" w:color="auto" w:val="clear"/>
            <w:tcMar>
              <w:top w:type="dxa" w:w="140"/>
              <w:left w:type="dxa" w:w="160"/>
              <w:bottom w:type="dxa" w:w="140"/>
              <w:right w:type="dxa" w:w="160"/>
            </w:tcMar>
            <w:vAlign w:val="center"/>
          </w:tcPr>
          <w:p>
            <w:r>
              <w:rPr>
                <w:rFonts w:ascii="Sora" w:cs="Noto Sans SC" w:eastAsia="Noto Sans SC" w:hAnsi="Sora"/>
                <w:b/>
                <w:bCs/>
                <w:color w:val="15181C"/>
                <w:sz w:val="20"/>
                <w:szCs w:val="20"/>
              </w:rPr>
              <w:t xml:space="preserve">Party B (Driver / Business)</w:t>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Company / name</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Zumee (operating entity to be registered)</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Phone</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Email</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Signature</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r>
        <w:trPr>
          <w:trHeight w:val="640" w:hRule="atLeast"/>
        </w:trPr>
        <w:tc>
          <w:tcPr>
            <w:tcW w:type="dxa" w:w="2200"/>
            <w:tcMar>
              <w:top w:type="dxa" w:w="140"/>
              <w:left w:type="dxa" w:w="160"/>
              <w:bottom w:type="dxa" w:w="140"/>
              <w:right w:type="dxa" w:w="160"/>
            </w:tcMar>
            <w:vAlign w:val="center"/>
          </w:tcPr>
          <w:p>
            <w:r>
              <w:rPr>
                <w:rFonts w:ascii="Sora" w:cs="Noto Sans SC" w:eastAsia="Noto Sans SC" w:hAnsi="Sora"/>
                <w:b/>
                <w:bCs/>
                <w:color w:val="15181C"/>
                <w:sz w:val="20"/>
                <w:szCs w:val="20"/>
              </w:rPr>
              <w:t xml:space="preserve">Date</w:t>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c>
          <w:tcPr>
            <w:tcW w:type="dxa" w:w="3720"/>
            <w:tcMar>
              <w:top w:type="dxa" w:w="140"/>
              <w:left w:type="dxa" w:w="160"/>
              <w:bottom w:type="dxa" w:w="140"/>
              <w:right w:type="dxa" w:w="160"/>
            </w:tcMar>
            <w:vAlign w:val="center"/>
          </w:tcPr>
          <w:p>
            <w:r>
              <w:rPr>
                <w:rFonts w:ascii="Noto Sans SC" w:cs="Noto Sans SC" w:eastAsia="Noto Sans SC" w:hAnsi="Noto Sans SC"/>
                <w:color w:val="15181C"/>
                <w:sz w:val="20"/>
                <w:szCs w:val="20"/>
              </w:rPr>
              <w:t xml:space="preserve"/>
            </w:r>
          </w:p>
        </w:tc>
      </w:tr>
    </w:tbl>
    <w:sectPr>
      <w:headerReference w:type="default" r:id="rId7"/>
      <w:footerReference w:type="default" r:id="rId8"/>
      <w:pgSz w:w="12240" w:h="15840" w:orient="portrait"/>
      <w:pgMar w:top="1300" w:right="1300" w:bottom="1200" w:left="1300"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ED5" w:sz="6" w:space="6"/>
      </w:pBdr>
      <w:tabs>
        <w:tab w:val="right" w:pos="9640"/>
      </w:tabs>
      <w:spacing w:before="120"/>
    </w:pPr>
    <w:r>
      <w:rPr>
        <w:rFonts w:ascii="Sora" w:cs="Noto Sans SC" w:eastAsia="Noto Sans SC" w:hAnsi="Sora"/>
        <w:color w:val="5A5450"/>
        <w:sz w:val="16"/>
        <w:szCs w:val="16"/>
      </w:rPr>
      <w:t xml:space="preserve">Zumee · zumee.org · Vancouver, BC</w:t>
    </w:r>
    <w:r>
      <w:rPr>
        <w:rFonts w:ascii="Sora" w:cs="Noto Sans SC" w:eastAsia="Noto Sans SC" w:hAnsi="Sora"/>
        <w:color w:val="5A5450"/>
        <w:sz w:val="16"/>
        <w:szCs w:val="16"/>
      </w:rPr>
      <w:t xml:space="preserve">	Page </w:t>
    </w:r>
    <w:r>
      <w:rPr>
        <w:rFonts w:ascii="Sora" w:cs="Noto Sans SC" w:eastAsia="Noto Sans SC" w:hAnsi="Sora"/>
        <w:color w:val="5A5450"/>
        <w:sz w:val="16"/>
        <w:szCs w:val="16"/>
      </w:rPr>
      <w:fldChar w:fldCharType="begin"/>
      <w:instrText xml:space="preserve">PAGE</w:instrText>
      <w:fldChar w:fldCharType="separate"/>
      <w:fldChar w:fldCharType="end"/>
    </w:r>
    <w:r>
      <w:rPr>
        <w:rFonts w:ascii="Sora" w:cs="Noto Sans SC" w:eastAsia="Noto Sans SC" w:hAnsi="Sora"/>
        <w:color w:val="5A5450"/>
        <w:sz w:val="16"/>
        <w:szCs w:val="16"/>
      </w:rPr>
      <w:t xml:space="preserve"> of </w:t>
    </w:r>
    <w:r>
      <w:rPr>
        <w:rFonts w:ascii="Sora" w:cs="Noto Sans SC" w:eastAsia="Noto Sans SC" w:hAnsi="Sora"/>
        <w:color w:val="5A5450"/>
        <w:sz w:val="16"/>
        <w:szCs w:val="16"/>
      </w:rPr>
      <w:fldChar w:fldCharType="begin"/>
      <w:instrText xml:space="preserve">NUMPAGES</w:instrText>
      <w:fldChar w:fldCharType="separate"/>
      <w:fldChar w:fldCharType="end"/>
    </w:r>
    <w:r>
      <w:rPr>
        <w:rFonts w:ascii="Sora" w:cs="Noto Sans SC" w:eastAsia="Noto Sans SC" w:hAnsi="Sora"/>
        <w:color w:val="5A545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ED5" w:sz="6" w:space="6"/>
      </w:pBdr>
      <w:tabs>
        <w:tab w:val="right" w:pos="9640"/>
      </w:tabs>
      <w:spacing w:after="120"/>
    </w:pPr>
    <w:r>
      <w:drawing>
        <wp:inline distT="0" distB="0" distL="0" distR="0">
          <wp:extent cx="106680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61925"/>
                  </a:xfrm>
                  <a:prstGeom prst="rect">
                    <a:avLst/>
                  </a:prstGeom>
                </pic:spPr>
              </pic:pic>
            </a:graphicData>
          </a:graphic>
        </wp:inline>
      </w:drawing>
    </w:r>
    <w:r>
      <w:rPr>
        <w:rFonts w:ascii="Sora" w:cs="Noto Sans SC" w:eastAsia="Noto Sans SC" w:hAnsi="Sora"/>
        <w:color w:val="5A5450"/>
        <w:sz w:val="16"/>
        <w:szCs w:val="16"/>
      </w:rPr>
      <w:t xml:space="preserve">	Proposed partnership terms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color w:val="F26B1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SC" w:cs="Noto Sans SC" w:eastAsia="Noto Sans SC" w:hAnsi="Noto Sans SC"/>
        <w:color w:val="1518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2bb3b36693ee1af69fcbbe19a40c1d837c43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c2bb3b36693ee1af69fcbbe19a40c1d837c43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partnership terms</dc:title>
  <dc:creator>Zumee</dc:creator>
  <cp:lastModifiedBy>Un-named</cp:lastModifiedBy>
  <cp:revision>1</cp:revision>
  <dcterms:created xsi:type="dcterms:W3CDTF">2026-09-17T01:45:36.208Z</dcterms:created>
  <dcterms:modified xsi:type="dcterms:W3CDTF">2026-09-17T01:45:36.208Z</dcterms:modified>
</cp:coreProperties>
</file>

<file path=docProps/custom.xml><?xml version="1.0" encoding="utf-8"?>
<Properties xmlns="http://schemas.openxmlformats.org/officeDocument/2006/custom-properties" xmlns:vt="http://schemas.openxmlformats.org/officeDocument/2006/docPropsVTypes"/>
</file>