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报表操作文档</w:t>
      </w:r>
    </w:p>
    <w:p>
      <w:pPr>
        <w:pStyle w:val="1"/>
        <w:spacing w:before="380" w:after="140" w:line="288" w:lineRule="auto"/>
        <w:ind w:left="0"/>
        <w:jc w:val="left"/>
        <w:outlineLvl w:val="0"/>
      </w:pPr>
      <w:r>
        <w:rPr>
          <w:rFonts w:eastAsia="等线" w:ascii="Arial" w:cs="Arial" w:hAnsi="Arial"/>
          <w:color w:val="3370ff"/>
          <w:sz w:val="36"/>
        </w:rPr>
        <w:t xml:space="preserve">1. </w:t>
      </w:r>
      <w:r>
        <w:rPr>
          <w:rFonts w:eastAsia="等线" w:ascii="Arial" w:cs="Arial" w:hAnsi="Arial"/>
          <w:b w:val="true"/>
          <w:sz w:val="36"/>
        </w:rPr>
        <w:t>系统登录</w:t>
      </w:r>
    </w:p>
    <w:p>
      <w:pPr>
        <w:numPr>
          <w:numId w:val="1"/>
        </w:numPr>
        <w:spacing w:before="120" w:after="120" w:line="288" w:lineRule="auto"/>
        <w:ind w:left="453"/>
        <w:jc w:val="left"/>
      </w:pPr>
      <w:r>
        <w:rPr>
          <w:rFonts w:eastAsia="等线" w:ascii="Arial" w:cs="Arial" w:hAnsi="Arial"/>
          <w:sz w:val="22"/>
        </w:rPr>
        <w:t xml:space="preserve">PC端登录网址：  </w:t>
      </w:r>
      <w:r>
        <w:rPr>
          <w:rFonts w:eastAsia="等线" w:ascii="Arial" w:cs="Arial" w:hAnsi="Arial"/>
          <w:sz w:val="22"/>
        </w:rPr>
        <w:t>https://data.huaxizi.cn/webroot/decision/login</w:t>
      </w:r>
      <w:r>
        <w:rPr>
          <w:rFonts w:eastAsia="等线" w:ascii="Arial" w:cs="Arial" w:hAnsi="Arial"/>
          <w:sz w:val="22"/>
        </w:rPr>
        <w:t xml:space="preserve">  </w:t>
      </w:r>
    </w:p>
    <w:p>
      <w:pPr>
        <w:numPr>
          <w:numId w:val="2"/>
        </w:numPr>
        <w:spacing w:before="120" w:after="120" w:line="288" w:lineRule="auto"/>
        <w:ind w:left="453"/>
        <w:jc w:val="left"/>
      </w:pPr>
      <w:r>
        <w:rPr>
          <w:rFonts w:eastAsia="等线" w:ascii="Arial" w:cs="Arial" w:hAnsi="Arial"/>
          <w:sz w:val="22"/>
        </w:rPr>
        <w:t>账号密码：花西子商业智能系统的账号密码，未有账号的用户需要先申请账号。</w:t>
      </w:r>
    </w:p>
    <w:p>
      <w:pPr>
        <w:numPr>
          <w:numId w:val="3"/>
        </w:numPr>
        <w:spacing w:before="120" w:after="120" w:line="288" w:lineRule="auto"/>
        <w:ind w:left="453"/>
        <w:jc w:val="left"/>
      </w:pPr>
      <w:r>
        <w:rPr>
          <w:rFonts w:eastAsia="等线" w:ascii="Arial" w:cs="Arial" w:hAnsi="Arial"/>
          <w:sz w:val="22"/>
        </w:rPr>
        <w:t>登录界面：在如下登录界面输入账号和密码。</w:t>
      </w:r>
      <w:r>
        <w:rPr>
          <w:rFonts w:eastAsia="等线" w:ascii="Arial" w:cs="Arial" w:hAnsi="Arial"/>
          <w:sz w:val="22"/>
        </w:rPr>
        <w:t>勾选保持登陆状态。</w:t>
      </w:r>
    </w:p>
    <w:p>
      <w:pPr>
        <w:spacing w:before="120" w:after="120" w:line="288" w:lineRule="auto"/>
        <w:ind w:left="453"/>
        <w:jc w:val="left"/>
      </w:pPr>
      <w:r>
        <w:drawing>
          <wp:inline distT="0" distR="0" distB="0" distL="0">
            <wp:extent cx="5257800" cy="2438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438400"/>
                    </a:xfrm>
                    <a:prstGeom prst="rect">
                      <a:avLst/>
                    </a:prstGeom>
                  </pic:spPr>
                </pic:pic>
              </a:graphicData>
            </a:graphic>
          </wp:inline>
        </w:drawing>
      </w:r>
    </w:p>
    <w:p>
      <w:pPr>
        <w:pStyle w:val="1"/>
        <w:spacing w:before="380" w:after="140" w:line="288" w:lineRule="auto"/>
        <w:ind w:left="0"/>
        <w:jc w:val="left"/>
        <w:outlineLvl w:val="0"/>
      </w:pPr>
      <w:r>
        <w:rPr>
          <w:rFonts w:eastAsia="等线" w:ascii="Arial" w:cs="Arial" w:hAnsi="Arial"/>
          <w:color w:val="3370ff"/>
          <w:sz w:val="36"/>
        </w:rPr>
        <w:t xml:space="preserve">2. </w:t>
      </w:r>
      <w:r>
        <w:rPr>
          <w:rFonts w:eastAsia="等线" w:ascii="Arial" w:cs="Arial" w:hAnsi="Arial"/>
          <w:b w:val="true"/>
          <w:sz w:val="36"/>
        </w:rPr>
        <w:t>报表目录</w:t>
      </w:r>
    </w:p>
    <w:p>
      <w:pPr>
        <w:numPr>
          <w:numId w:val="4"/>
        </w:numPr>
        <w:spacing w:before="120" w:after="120" w:line="288" w:lineRule="auto"/>
        <w:ind w:left="453"/>
        <w:jc w:val="left"/>
      </w:pPr>
      <w:r>
        <w:rPr>
          <w:rFonts w:eastAsia="等线" w:ascii="Arial" w:cs="Arial" w:hAnsi="Arial"/>
          <w:sz w:val="22"/>
        </w:rPr>
        <w:t>日报所在目录：业财一体化/测试目录/经营日报/公司经营看板-日报</w:t>
      </w:r>
    </w:p>
    <w:p>
      <w:pPr>
        <w:numPr>
          <w:numId w:val="5"/>
        </w:numPr>
        <w:spacing w:before="120" w:after="120" w:line="288" w:lineRule="auto"/>
        <w:ind w:left="453"/>
        <w:jc w:val="left"/>
      </w:pPr>
      <w:r>
        <w:rPr>
          <w:rFonts w:eastAsia="等线" w:ascii="Arial" w:cs="Arial" w:hAnsi="Arial"/>
          <w:sz w:val="22"/>
        </w:rPr>
        <w:t>月报所在目录：业财一体化/测试目录/经营月报/公司经营看板-月报</w:t>
      </w:r>
    </w:p>
    <w:p>
      <w:pPr>
        <w:pStyle w:val="1"/>
        <w:spacing w:before="380" w:after="140" w:line="288" w:lineRule="auto"/>
        <w:ind w:left="0"/>
        <w:jc w:val="left"/>
        <w:outlineLvl w:val="0"/>
      </w:pPr>
      <w:r>
        <w:rPr>
          <w:rFonts w:eastAsia="等线" w:ascii="Arial" w:cs="Arial" w:hAnsi="Arial"/>
          <w:color w:val="3370ff"/>
          <w:sz w:val="36"/>
        </w:rPr>
        <w:t xml:space="preserve">3. </w:t>
      </w:r>
      <w:r>
        <w:rPr>
          <w:rFonts w:eastAsia="等线" w:ascii="Arial" w:cs="Arial" w:hAnsi="Arial"/>
          <w:b w:val="true"/>
          <w:sz w:val="36"/>
        </w:rPr>
        <w:t>日报操作说明</w:t>
      </w:r>
    </w:p>
    <w:p>
      <w:pPr>
        <w:pStyle w:val="2"/>
        <w:spacing w:before="320" w:after="120" w:line="288" w:lineRule="auto"/>
        <w:ind w:left="0"/>
        <w:jc w:val="left"/>
        <w:outlineLvl w:val="1"/>
      </w:pPr>
      <w:r>
        <w:rPr>
          <w:rFonts w:eastAsia="等线" w:ascii="Arial" w:cs="Arial" w:hAnsi="Arial"/>
          <w:b w:val="true"/>
          <w:sz w:val="32"/>
        </w:rPr>
        <w:t xml:space="preserve">     </w:t>
      </w:r>
      <w:r>
        <w:rPr>
          <w:rFonts w:eastAsia="等线" w:ascii="Arial" w:cs="Arial" w:hAnsi="Arial"/>
          <w:b w:val="true"/>
          <w:color w:val="245bdb"/>
          <w:sz w:val="32"/>
        </w:rPr>
        <w:t xml:space="preserve">3.1 </w:t>
      </w:r>
      <w:r>
        <w:rPr>
          <w:rFonts w:eastAsia="等线" w:ascii="Arial" w:cs="Arial" w:hAnsi="Arial"/>
          <w:b w:val="true"/>
          <w:sz w:val="32"/>
        </w:rPr>
        <w:t>全局控件说明</w:t>
      </w:r>
    </w:p>
    <w:p>
      <w:pPr>
        <w:numPr>
          <w:numId w:val="6"/>
        </w:numPr>
        <w:spacing w:before="120" w:after="120" w:line="288" w:lineRule="auto"/>
        <w:ind w:left="453"/>
        <w:jc w:val="left"/>
      </w:pPr>
      <w:r>
        <w:rPr>
          <w:rFonts w:eastAsia="等线" w:ascii="Arial" w:cs="Arial" w:hAnsi="Arial"/>
          <w:sz w:val="22"/>
        </w:rPr>
        <w:t>品牌筛选器：控制整个日报看板的品牌数据范围。</w:t>
      </w:r>
    </w:p>
    <w:p>
      <w:pPr>
        <w:numPr>
          <w:numId w:val="7"/>
        </w:numPr>
        <w:spacing w:before="120" w:after="120" w:line="288" w:lineRule="auto"/>
        <w:ind w:left="453"/>
        <w:jc w:val="left"/>
      </w:pPr>
      <w:r>
        <w:rPr>
          <w:rFonts w:eastAsia="等线" w:ascii="Arial" w:cs="Arial" w:hAnsi="Arial"/>
          <w:sz w:val="22"/>
        </w:rPr>
        <w:t>报告日期筛选器：控制整个日报看板的最新业务日期。</w:t>
      </w:r>
    </w:p>
    <w:p>
      <w:pPr>
        <w:spacing w:before="120" w:after="120" w:line="288" w:lineRule="auto"/>
        <w:ind w:left="0"/>
        <w:jc w:val="left"/>
      </w:pPr>
      <w:r>
        <w:rPr>
          <w:rFonts w:eastAsia="等线" w:ascii="Arial" w:cs="Arial" w:hAnsi="Arial"/>
          <w:sz w:val="22"/>
        </w:rPr>
        <w:t xml:space="preserve">     筛选器如下图所示：</w:t>
      </w:r>
    </w:p>
    <w:p>
      <w:pPr>
        <w:spacing w:before="120" w:after="120" w:line="288" w:lineRule="auto"/>
        <w:ind w:left="0"/>
        <w:jc w:val="center"/>
      </w:pPr>
      <w:r>
        <w:drawing>
          <wp:inline distT="0" distR="0" distB="0" distL="0">
            <wp:extent cx="5257800" cy="304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04800"/>
                    </a:xfrm>
                    <a:prstGeom prst="rect">
                      <a:avLst/>
                    </a:prstGeom>
                  </pic:spPr>
                </pic:pic>
              </a:graphicData>
            </a:graphic>
          </wp:inline>
        </w:drawing>
      </w:r>
    </w:p>
    <w:p>
      <w:pPr>
        <w:pStyle w:val="2"/>
        <w:spacing w:before="320" w:after="120" w:line="288" w:lineRule="auto"/>
        <w:ind w:left="0"/>
        <w:jc w:val="left"/>
        <w:outlineLvl w:val="1"/>
      </w:pPr>
      <w:r>
        <w:rPr>
          <w:rFonts w:eastAsia="等线" w:ascii="Arial" w:cs="Arial" w:hAnsi="Arial"/>
          <w:b w:val="true"/>
          <w:sz w:val="32"/>
        </w:rPr>
        <w:t xml:space="preserve">    </w:t>
      </w:r>
      <w:r>
        <w:rPr>
          <w:rFonts w:eastAsia="等线" w:ascii="Arial" w:cs="Arial" w:hAnsi="Arial"/>
          <w:b w:val="true"/>
          <w:color w:val="245bdb"/>
          <w:sz w:val="32"/>
        </w:rPr>
        <w:t>3.2</w:t>
      </w:r>
      <w:r>
        <w:rPr>
          <w:rFonts w:eastAsia="等线" w:ascii="Arial" w:cs="Arial" w:hAnsi="Arial"/>
          <w:b w:val="true"/>
          <w:sz w:val="32"/>
        </w:rPr>
        <w:t xml:space="preserve"> 局部控件说明</w:t>
      </w:r>
    </w:p>
    <w:p>
      <w:pPr>
        <w:pStyle w:val="3"/>
        <w:spacing w:before="300" w:after="120" w:line="288" w:lineRule="auto"/>
        <w:ind w:left="453"/>
        <w:jc w:val="left"/>
        <w:outlineLvl w:val="2"/>
      </w:pPr>
      <w:r>
        <w:rPr>
          <w:rFonts w:eastAsia="等线" w:ascii="Arial" w:cs="Arial" w:hAnsi="Arial"/>
          <w:b w:val="true"/>
          <w:sz w:val="30"/>
        </w:rPr>
        <w:t>3.2.1 经营概览</w:t>
      </w:r>
    </w:p>
    <w:p>
      <w:pPr>
        <w:numPr>
          <w:numId w:val="8"/>
        </w:numPr>
        <w:spacing w:before="120" w:after="120" w:line="288" w:lineRule="auto"/>
        <w:ind w:left="453"/>
        <w:jc w:val="left"/>
      </w:pPr>
      <w:r>
        <w:rPr>
          <w:rFonts w:eastAsia="等线" w:ascii="Arial" w:cs="Arial" w:hAnsi="Arial"/>
          <w:sz w:val="22"/>
        </w:rPr>
        <w:t>经营概览界面如下：</w:t>
      </w:r>
    </w:p>
    <w:p>
      <w:pPr>
        <w:spacing w:before="120" w:after="120" w:line="288" w:lineRule="auto"/>
        <w:ind w:left="453"/>
        <w:jc w:val="center"/>
      </w:pPr>
      <w:r>
        <w:drawing>
          <wp:inline distT="0" distR="0" distB="0" distL="0">
            <wp:extent cx="5257800" cy="27336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733675"/>
                    </a:xfrm>
                    <a:prstGeom prst="rect">
                      <a:avLst/>
                    </a:prstGeom>
                  </pic:spPr>
                </pic:pic>
              </a:graphicData>
            </a:graphic>
          </wp:inline>
        </w:drawing>
      </w:r>
    </w:p>
    <w:p>
      <w:pPr>
        <w:numPr>
          <w:numId w:val="9"/>
        </w:numPr>
        <w:spacing w:before="120" w:after="120" w:line="288" w:lineRule="auto"/>
        <w:ind w:left="453"/>
        <w:jc w:val="left"/>
      </w:pPr>
      <w:r>
        <w:rPr>
          <w:rFonts w:eastAsia="等线" w:ascii="Arial" w:cs="Arial" w:hAnsi="Arial"/>
          <w:sz w:val="22"/>
        </w:rPr>
        <w:t>左上方的MTD、QTD、YTD代表不同统计期间的累计值，具体操作如下</w:t>
      </w:r>
    </w:p>
    <w:p>
      <w:pPr>
        <w:numPr>
          <w:numId w:val="10"/>
        </w:numPr>
        <w:spacing w:before="120" w:after="120" w:line="288" w:lineRule="auto"/>
        <w:ind w:left="907"/>
        <w:jc w:val="left"/>
      </w:pPr>
      <w:r>
        <w:rPr>
          <w:rFonts w:eastAsia="等线" w:ascii="Arial" w:cs="Arial" w:hAnsi="Arial"/>
          <w:sz w:val="22"/>
        </w:rPr>
        <w:t>点击</w:t>
      </w:r>
      <w:r>
        <w:rPr>
          <w:rFonts w:eastAsia="等线" w:ascii="Arial" w:cs="Arial" w:hAnsi="Arial"/>
          <w:sz w:val="22"/>
        </w:rPr>
        <w:t>MTD</w:t>
      </w:r>
      <w:r>
        <w:rPr>
          <w:rFonts w:eastAsia="等线" w:ascii="Arial" w:cs="Arial" w:hAnsi="Arial"/>
          <w:sz w:val="22"/>
        </w:rPr>
        <w:t>时，指标卡展示月累计数据，右侧的柱状图展示月累计和月目标的完成情况。</w:t>
      </w:r>
    </w:p>
    <w:p>
      <w:pPr>
        <w:numPr>
          <w:numId w:val="11"/>
        </w:numPr>
        <w:spacing w:before="120" w:after="120" w:line="288" w:lineRule="auto"/>
        <w:ind w:left="907"/>
        <w:jc w:val="left"/>
      </w:pPr>
      <w:r>
        <w:rPr>
          <w:rFonts w:eastAsia="等线" w:ascii="Arial" w:cs="Arial" w:hAnsi="Arial"/>
          <w:sz w:val="22"/>
        </w:rPr>
        <w:t>点击QTD时，指标卡展示季度累计数据，右侧的柱状图展示季度累计和季度目标的完成情况。</w:t>
      </w:r>
    </w:p>
    <w:p>
      <w:pPr>
        <w:numPr>
          <w:numId w:val="12"/>
        </w:numPr>
        <w:spacing w:before="120" w:after="120" w:line="288" w:lineRule="auto"/>
        <w:ind w:left="907"/>
        <w:jc w:val="left"/>
      </w:pPr>
      <w:r>
        <w:rPr>
          <w:rFonts w:eastAsia="等线" w:ascii="Arial" w:cs="Arial" w:hAnsi="Arial"/>
          <w:sz w:val="22"/>
        </w:rPr>
        <w:t>点击YTD时，指标卡展示年累计数据，右侧的柱状图展示年累计和年目标的完成情况。</w:t>
      </w:r>
    </w:p>
    <w:p>
      <w:pPr>
        <w:numPr>
          <w:numId w:val="13"/>
        </w:numPr>
        <w:spacing w:before="120" w:after="120" w:line="288" w:lineRule="auto"/>
        <w:ind w:left="453"/>
        <w:jc w:val="left"/>
      </w:pPr>
      <w:r>
        <w:rPr>
          <w:rFonts w:eastAsia="等线" w:ascii="Arial" w:cs="Arial" w:hAnsi="Arial"/>
          <w:sz w:val="22"/>
        </w:rPr>
        <w:t>点击指标卡右上方的小图标，可显示指标的注释说明。</w:t>
      </w:r>
    </w:p>
    <w:p>
      <w:pPr>
        <w:pStyle w:val="3"/>
        <w:spacing w:before="300" w:after="120" w:line="288" w:lineRule="auto"/>
        <w:ind w:left="453"/>
        <w:jc w:val="left"/>
        <w:outlineLvl w:val="2"/>
      </w:pPr>
      <w:r>
        <w:rPr>
          <w:rFonts w:eastAsia="等线" w:ascii="Arial" w:cs="Arial" w:hAnsi="Arial"/>
          <w:b w:val="true"/>
          <w:sz w:val="30"/>
        </w:rPr>
        <w:t>3.2.2  目标达成分析</w:t>
      </w:r>
    </w:p>
    <w:p>
      <w:pPr>
        <w:numPr>
          <w:numId w:val="14"/>
        </w:numPr>
        <w:spacing w:before="120" w:after="120" w:line="288" w:lineRule="auto"/>
        <w:ind w:left="453"/>
        <w:jc w:val="left"/>
      </w:pPr>
      <w:r>
        <w:rPr>
          <w:rFonts w:eastAsia="等线" w:ascii="Arial" w:cs="Arial" w:hAnsi="Arial"/>
          <w:sz w:val="22"/>
        </w:rPr>
        <w:t>目标达成分析界面如下：</w:t>
      </w:r>
    </w:p>
    <w:p>
      <w:pPr>
        <w:spacing w:before="120" w:after="120" w:line="288" w:lineRule="auto"/>
        <w:ind w:left="453"/>
        <w:jc w:val="center"/>
      </w:pPr>
      <w:r>
        <w:drawing>
          <wp:inline distT="0" distR="0" distB="0" distL="0">
            <wp:extent cx="5257800" cy="18383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838325"/>
                    </a:xfrm>
                    <a:prstGeom prst="rect">
                      <a:avLst/>
                    </a:prstGeom>
                  </pic:spPr>
                </pic:pic>
              </a:graphicData>
            </a:graphic>
          </wp:inline>
        </w:drawing>
      </w:r>
    </w:p>
    <w:p>
      <w:pPr>
        <w:numPr>
          <w:numId w:val="15"/>
        </w:numPr>
        <w:spacing w:before="120" w:after="120" w:line="288" w:lineRule="auto"/>
        <w:ind w:left="453"/>
        <w:jc w:val="left"/>
      </w:pPr>
      <w:r>
        <w:rPr>
          <w:rFonts w:eastAsia="等线" w:ascii="Arial" w:cs="Arial" w:hAnsi="Arial"/>
          <w:sz w:val="22"/>
        </w:rPr>
        <w:t>点击渠道按钮，下方列表展示该渠道下的数据。</w:t>
      </w:r>
    </w:p>
    <w:p>
      <w:pPr>
        <w:numPr>
          <w:numId w:val="16"/>
        </w:numPr>
        <w:spacing w:before="120" w:after="120" w:line="288" w:lineRule="auto"/>
        <w:ind w:left="453"/>
        <w:jc w:val="left"/>
      </w:pPr>
      <w:r>
        <w:rPr>
          <w:rFonts w:eastAsia="等线" w:ascii="Arial" w:cs="Arial" w:hAnsi="Arial"/>
          <w:sz w:val="22"/>
        </w:rPr>
        <w:t>点击下载按钮，可下载当前显示的列表数据。</w:t>
      </w:r>
    </w:p>
    <w:p>
      <w:pPr>
        <w:pStyle w:val="3"/>
        <w:spacing w:before="300" w:after="120" w:line="288" w:lineRule="auto"/>
        <w:ind w:left="453"/>
        <w:jc w:val="left"/>
        <w:outlineLvl w:val="2"/>
      </w:pPr>
      <w:r>
        <w:rPr>
          <w:rFonts w:eastAsia="等线" w:ascii="Arial" w:cs="Arial" w:hAnsi="Arial"/>
          <w:b w:val="true"/>
          <w:sz w:val="30"/>
        </w:rPr>
        <w:t>3.2.3 市场概览</w:t>
      </w:r>
    </w:p>
    <w:p>
      <w:pPr>
        <w:numPr>
          <w:numId w:val="17"/>
        </w:numPr>
        <w:spacing w:before="120" w:after="120" w:line="288" w:lineRule="auto"/>
        <w:ind w:left="453"/>
        <w:jc w:val="left"/>
      </w:pPr>
      <w:r>
        <w:rPr>
          <w:rFonts w:eastAsia="等线" w:ascii="Arial" w:cs="Arial" w:hAnsi="Arial"/>
          <w:sz w:val="22"/>
        </w:rPr>
        <w:t>市场概览界面如下：</w:t>
      </w:r>
    </w:p>
    <w:p>
      <w:pPr>
        <w:spacing w:before="120" w:after="120" w:line="288" w:lineRule="auto"/>
        <w:ind w:left="453"/>
        <w:jc w:val="center"/>
      </w:pPr>
      <w:r>
        <w:drawing>
          <wp:inline distT="0" distR="0" distB="0" distL="0">
            <wp:extent cx="5257800" cy="25622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62225"/>
                    </a:xfrm>
                    <a:prstGeom prst="rect">
                      <a:avLst/>
                    </a:prstGeom>
                  </pic:spPr>
                </pic:pic>
              </a:graphicData>
            </a:graphic>
          </wp:inline>
        </w:drawing>
      </w:r>
    </w:p>
    <w:p>
      <w:pPr>
        <w:spacing w:before="120" w:after="120" w:line="288" w:lineRule="auto"/>
        <w:ind w:left="453"/>
        <w:jc w:val="center"/>
      </w:pPr>
      <w:r>
        <w:drawing>
          <wp:inline distT="0" distR="0" distB="0" distL="0">
            <wp:extent cx="5257800" cy="14859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485900"/>
                    </a:xfrm>
                    <a:prstGeom prst="rect">
                      <a:avLst/>
                    </a:prstGeom>
                  </pic:spPr>
                </pic:pic>
              </a:graphicData>
            </a:graphic>
          </wp:inline>
        </w:drawing>
      </w:r>
    </w:p>
    <w:p>
      <w:pPr>
        <w:numPr>
          <w:numId w:val="18"/>
        </w:numPr>
        <w:spacing w:before="120" w:after="120" w:line="288" w:lineRule="auto"/>
        <w:ind w:left="453"/>
        <w:jc w:val="left"/>
      </w:pPr>
      <w:r>
        <w:rPr>
          <w:rFonts w:eastAsia="等线" w:ascii="Arial" w:cs="Arial" w:hAnsi="Arial"/>
          <w:sz w:val="22"/>
        </w:rPr>
        <w:t>行业一级品类、行业二级品类、行业三级品类筛选器可控制市场概览的品类筛选。</w:t>
      </w:r>
    </w:p>
    <w:p>
      <w:pPr>
        <w:numPr>
          <w:numId w:val="19"/>
        </w:numPr>
        <w:spacing w:before="120" w:after="120" w:line="288" w:lineRule="auto"/>
        <w:ind w:left="453"/>
        <w:jc w:val="left"/>
      </w:pPr>
      <w:r>
        <w:rPr>
          <w:rFonts w:eastAsia="等线" w:ascii="Arial" w:cs="Arial" w:hAnsi="Arial"/>
          <w:sz w:val="22"/>
        </w:rPr>
        <w:t>点击指标卡，可联动底下的市场大盘趋势和排名表，查看相应平台的数据。</w:t>
      </w:r>
    </w:p>
    <w:p>
      <w:pPr>
        <w:numPr>
          <w:numId w:val="20"/>
        </w:numPr>
        <w:spacing w:before="120" w:after="120" w:line="288" w:lineRule="auto"/>
        <w:ind w:left="453"/>
        <w:jc w:val="left"/>
      </w:pPr>
      <w:r>
        <w:rPr>
          <w:rFonts w:eastAsia="等线" w:ascii="Arial" w:cs="Arial" w:hAnsi="Arial"/>
          <w:sz w:val="22"/>
        </w:rPr>
        <w:t>市场大盘趋势图：点击图例可只展示指定系列的数据，如下图所示：</w:t>
      </w:r>
    </w:p>
    <w:p>
      <w:pPr>
        <w:spacing w:before="120" w:after="120" w:line="288" w:lineRule="auto"/>
        <w:ind w:left="453"/>
        <w:jc w:val="center"/>
      </w:pPr>
      <w:r>
        <w:drawing>
          <wp:inline distT="0" distR="0" distB="0" distL="0">
            <wp:extent cx="5257800" cy="15430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543050"/>
                    </a:xfrm>
                    <a:prstGeom prst="rect">
                      <a:avLst/>
                    </a:prstGeom>
                  </pic:spPr>
                </pic:pic>
              </a:graphicData>
            </a:graphic>
          </wp:inline>
        </w:drawing>
      </w:r>
    </w:p>
    <w:p>
      <w:pPr>
        <w:pStyle w:val="3"/>
        <w:spacing w:before="300" w:after="120" w:line="288" w:lineRule="auto"/>
        <w:ind w:left="453"/>
        <w:jc w:val="left"/>
        <w:outlineLvl w:val="2"/>
      </w:pPr>
      <w:r>
        <w:rPr>
          <w:rFonts w:eastAsia="等线" w:ascii="Arial" w:cs="Arial" w:hAnsi="Arial"/>
          <w:b w:val="true"/>
          <w:sz w:val="30"/>
        </w:rPr>
        <w:t>3.2.4 费用进度分析</w:t>
      </w:r>
    </w:p>
    <w:p>
      <w:pPr>
        <w:numPr>
          <w:numId w:val="21"/>
        </w:numPr>
        <w:spacing w:before="120" w:after="120" w:line="288" w:lineRule="auto"/>
        <w:ind w:left="453"/>
        <w:jc w:val="left"/>
      </w:pPr>
      <w:r>
        <w:rPr>
          <w:rFonts w:eastAsia="等线" w:ascii="Arial" w:cs="Arial" w:hAnsi="Arial"/>
          <w:sz w:val="22"/>
        </w:rPr>
        <w:t>费用进度分析界面如下：</w:t>
      </w:r>
    </w:p>
    <w:p>
      <w:pPr>
        <w:spacing w:before="120" w:after="120" w:line="288" w:lineRule="auto"/>
        <w:ind w:left="453"/>
        <w:jc w:val="center"/>
      </w:pPr>
      <w:r>
        <w:drawing>
          <wp:inline distT="0" distR="0" distB="0" distL="0">
            <wp:extent cx="5257800" cy="18859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1885950"/>
                    </a:xfrm>
                    <a:prstGeom prst="rect">
                      <a:avLst/>
                    </a:prstGeom>
                  </pic:spPr>
                </pic:pic>
              </a:graphicData>
            </a:graphic>
          </wp:inline>
        </w:drawing>
      </w:r>
    </w:p>
    <w:p>
      <w:pPr>
        <w:numPr>
          <w:numId w:val="22"/>
        </w:numPr>
        <w:spacing w:before="120" w:after="120" w:line="288" w:lineRule="auto"/>
        <w:ind w:left="453"/>
        <w:jc w:val="left"/>
      </w:pPr>
      <w:r>
        <w:rPr>
          <w:rFonts w:eastAsia="等线" w:ascii="Arial" w:cs="Arial" w:hAnsi="Arial"/>
          <w:sz w:val="22"/>
        </w:rPr>
        <w:t>点击</w:t>
      </w:r>
      <w:r>
        <w:rPr>
          <w:rFonts w:eastAsia="等线" w:ascii="Arial" w:cs="Arial" w:hAnsi="Arial"/>
          <w:sz w:val="22"/>
        </w:rPr>
        <w:t>MTD</w:t>
      </w:r>
      <w:r>
        <w:rPr>
          <w:rFonts w:eastAsia="等线" w:ascii="Arial" w:cs="Arial" w:hAnsi="Arial"/>
          <w:sz w:val="22"/>
        </w:rPr>
        <w:t>营销费用分类图中柱子，可联动右侧的MTD一级费用，查看指定费用分类下的一级费用数据，如点击加热，可展示加热下的一级费用数据表现。</w:t>
      </w:r>
    </w:p>
    <w:p>
      <w:pPr>
        <w:numPr>
          <w:numId w:val="23"/>
        </w:numPr>
        <w:spacing w:before="120" w:after="120" w:line="288" w:lineRule="auto"/>
        <w:ind w:left="453"/>
        <w:jc w:val="left"/>
      </w:pPr>
      <w:r>
        <w:rPr>
          <w:rFonts w:eastAsia="等线" w:ascii="Arial" w:cs="Arial" w:hAnsi="Arial"/>
          <w:sz w:val="22"/>
        </w:rPr>
        <w:t>点击左上方的取消联动，可清除</w:t>
      </w:r>
      <w:r>
        <w:rPr>
          <w:rFonts w:eastAsia="等线" w:ascii="Arial" w:cs="Arial" w:hAnsi="Arial"/>
          <w:sz w:val="22"/>
        </w:rPr>
        <w:t>MTD</w:t>
      </w:r>
      <w:r>
        <w:rPr>
          <w:rFonts w:eastAsia="等线" w:ascii="Arial" w:cs="Arial" w:hAnsi="Arial"/>
          <w:sz w:val="22"/>
        </w:rPr>
        <w:t>营销费用分类和MTD一级费用之间的联动关系，MTD一级费用只展示所有一级费用的数据情况。</w:t>
      </w:r>
    </w:p>
    <w:p>
      <w:pPr>
        <w:pStyle w:val="3"/>
        <w:spacing w:before="300" w:after="120" w:line="288" w:lineRule="auto"/>
        <w:ind w:left="453"/>
        <w:jc w:val="left"/>
        <w:outlineLvl w:val="2"/>
      </w:pPr>
      <w:r>
        <w:rPr>
          <w:rFonts w:eastAsia="等线" w:ascii="Arial" w:cs="Arial" w:hAnsi="Arial"/>
          <w:b w:val="true"/>
          <w:sz w:val="30"/>
        </w:rPr>
        <w:t>3.2.5 报表总览</w:t>
      </w:r>
    </w:p>
    <w:p>
      <w:pPr>
        <w:numPr>
          <w:numId w:val="24"/>
        </w:numPr>
        <w:spacing w:before="120" w:after="120" w:line="288" w:lineRule="auto"/>
        <w:ind w:left="453"/>
        <w:jc w:val="left"/>
      </w:pPr>
      <w:r>
        <w:rPr>
          <w:rFonts w:eastAsia="等线" w:ascii="Arial" w:cs="Arial" w:hAnsi="Arial"/>
          <w:sz w:val="22"/>
        </w:rPr>
        <w:t>报表总览界面如下：</w:t>
      </w:r>
    </w:p>
    <w:p>
      <w:pPr>
        <w:spacing w:before="120" w:after="120" w:line="288" w:lineRule="auto"/>
        <w:ind w:left="453"/>
        <w:jc w:val="center"/>
      </w:pPr>
      <w:r>
        <w:drawing>
          <wp:inline distT="0" distR="0" distB="0" distL="0">
            <wp:extent cx="5257800" cy="23717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371725"/>
                    </a:xfrm>
                    <a:prstGeom prst="rect">
                      <a:avLst/>
                    </a:prstGeom>
                  </pic:spPr>
                </pic:pic>
              </a:graphicData>
            </a:graphic>
          </wp:inline>
        </w:drawing>
      </w:r>
    </w:p>
    <w:p>
      <w:pPr>
        <w:numPr>
          <w:numId w:val="25"/>
        </w:numPr>
        <w:spacing w:before="120" w:after="120" w:line="288" w:lineRule="auto"/>
        <w:ind w:left="453"/>
        <w:jc w:val="left"/>
      </w:pPr>
      <w:r>
        <w:rPr>
          <w:rFonts w:eastAsia="等线" w:ascii="Arial" w:cs="Arial" w:hAnsi="Arial"/>
          <w:sz w:val="22"/>
        </w:rPr>
        <w:t>左上角的店铺明细表和品类明细表按钮可切换展示不同维度的列表。</w:t>
      </w:r>
    </w:p>
    <w:p>
      <w:pPr>
        <w:numPr>
          <w:numId w:val="26"/>
        </w:numPr>
        <w:spacing w:before="120" w:after="120" w:line="288" w:lineRule="auto"/>
        <w:ind w:left="453"/>
        <w:jc w:val="left"/>
      </w:pPr>
      <w:r>
        <w:rPr>
          <w:rFonts w:eastAsia="等线" w:ascii="Arial" w:cs="Arial" w:hAnsi="Arial"/>
          <w:sz w:val="22"/>
        </w:rPr>
        <w:t>一键展开：点击按钮可展示每个店铺下各个业务单元的数据。</w:t>
      </w:r>
    </w:p>
    <w:p>
      <w:pPr>
        <w:numPr>
          <w:numId w:val="27"/>
        </w:numPr>
        <w:spacing w:before="120" w:after="120" w:line="288" w:lineRule="auto"/>
        <w:ind w:left="453"/>
        <w:jc w:val="left"/>
      </w:pPr>
      <w:r>
        <w:rPr>
          <w:rFonts w:eastAsia="等线" w:ascii="Arial" w:cs="Arial" w:hAnsi="Arial"/>
          <w:sz w:val="22"/>
        </w:rPr>
        <w:t>一键收起：点击按钮，可隐藏展示的业务单元的数据，只展示店铺汇总数据。</w:t>
      </w:r>
    </w:p>
    <w:p>
      <w:pPr>
        <w:numPr>
          <w:numId w:val="28"/>
        </w:numPr>
        <w:spacing w:before="120" w:after="120" w:line="288" w:lineRule="auto"/>
        <w:ind w:left="453"/>
        <w:jc w:val="left"/>
      </w:pPr>
      <w:r>
        <w:rPr>
          <w:rFonts w:eastAsia="等线" w:ascii="Arial" w:cs="Arial" w:hAnsi="Arial"/>
          <w:sz w:val="22"/>
        </w:rPr>
        <w:t>点击表头指定的店铺，可展示该店铺下的业务单元数据。</w:t>
      </w:r>
    </w:p>
    <w:p>
      <w:pPr>
        <w:spacing w:before="120" w:after="120" w:line="288" w:lineRule="auto"/>
        <w:ind w:left="453"/>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14"/>
      <w:headerReference w:type="first" r:id="rId15"/>
      <w:headerReference w:type="even"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耿江华 8743"/>
          <v:fill opacity="0.3"/>
        </v:shape>
      </w:pict>
    </w:r>
  </w:p>
</w:hdr>
</file>

<file path=word/header2.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2" o:spid="_x0000_s1026"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header3.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v:shapetype>
        <v:shape id="PowerPlusWaterMarkObject3" o:spid="_x0000_s1027" type="#_x0000_t136" style="position:absolute;margin-left:0;margin-top:0;width:415pt;height:207.5pt;z-index:-251654144;mso-wrap-edited:f;mso-position-horizontal:center;mso-position-horizontal-relative:margin;mso-position-vertical:center;mso-position-vertical-relative:margin"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amp;quot;Cambria&amp;quot;;font-size:1pt" string=" 耿江华 8743"/>
        </v:shape>
      </w:pict>
    </w:r>
  </w:p>
</w:hdr>
</file>

<file path=word/numbering.xml><?xml version="1.0" encoding="utf-8"?>
<w:numbering xmlns:w="http://schemas.openxmlformats.org/wordprocessingml/2006/main">
  <w:abstractNum w:abstractNumId="23943">
    <w:lvl>
      <w:start w:val="1"/>
      <w:numFmt w:val="lowerLetter"/>
      <w:suff w:val="tab"/>
      <w:lvlText w:val="%1."/>
      <w:rPr>
        <w:color w:val="3370ff"/>
      </w:rPr>
    </w:lvl>
  </w:abstractNum>
  <w:abstractNum w:abstractNumId="23944">
    <w:lvl>
      <w:start w:val="2"/>
      <w:numFmt w:val="lowerLetter"/>
      <w:suff w:val="tab"/>
      <w:lvlText w:val="%1."/>
      <w:rPr>
        <w:color w:val="3370ff"/>
      </w:rPr>
    </w:lvl>
  </w:abstractNum>
  <w:abstractNum w:abstractNumId="23945">
    <w:lvl>
      <w:start w:val="3"/>
      <w:numFmt w:val="lowerLetter"/>
      <w:suff w:val="tab"/>
      <w:lvlText w:val="%1."/>
      <w:rPr>
        <w:color w:val="3370ff"/>
      </w:rPr>
    </w:lvl>
  </w:abstractNum>
  <w:abstractNum w:abstractNumId="23946">
    <w:lvl>
      <w:start w:val="1"/>
      <w:numFmt w:val="lowerLetter"/>
      <w:suff w:val="tab"/>
      <w:lvlText w:val="%1."/>
      <w:rPr>
        <w:color w:val="3370ff"/>
      </w:rPr>
    </w:lvl>
  </w:abstractNum>
  <w:abstractNum w:abstractNumId="23947">
    <w:lvl>
      <w:start w:val="2"/>
      <w:numFmt w:val="lowerLetter"/>
      <w:suff w:val="tab"/>
      <w:lvlText w:val="%1."/>
      <w:rPr>
        <w:color w:val="3370ff"/>
      </w:rPr>
    </w:lvl>
  </w:abstractNum>
  <w:abstractNum w:abstractNumId="23948">
    <w:lvl>
      <w:start w:val="1"/>
      <w:numFmt w:val="lowerLetter"/>
      <w:suff w:val="tab"/>
      <w:lvlText w:val="%1."/>
      <w:rPr>
        <w:color w:val="3370ff"/>
      </w:rPr>
    </w:lvl>
  </w:abstractNum>
  <w:abstractNum w:abstractNumId="23949">
    <w:lvl>
      <w:start w:val="2"/>
      <w:numFmt w:val="lowerLetter"/>
      <w:suff w:val="tab"/>
      <w:lvlText w:val="%1."/>
      <w:rPr>
        <w:color w:val="3370ff"/>
      </w:rPr>
    </w:lvl>
  </w:abstractNum>
  <w:abstractNum w:abstractNumId="23950">
    <w:lvl>
      <w:start w:val="1"/>
      <w:numFmt w:val="lowerLetter"/>
      <w:suff w:val="tab"/>
      <w:lvlText w:val="%1."/>
      <w:rPr>
        <w:color w:val="3370ff"/>
      </w:rPr>
    </w:lvl>
  </w:abstractNum>
  <w:abstractNum w:abstractNumId="23951">
    <w:lvl>
      <w:start w:val="2"/>
      <w:numFmt w:val="lowerLetter"/>
      <w:suff w:val="tab"/>
      <w:lvlText w:val="%1."/>
      <w:rPr>
        <w:color w:val="3370ff"/>
      </w:rPr>
    </w:lvl>
  </w:abstractNum>
  <w:abstractNum w:abstractNumId="23952">
    <w:lvl>
      <w:numFmt w:val="bullet"/>
      <w:suff w:val="tab"/>
      <w:lvlText w:val="▪"/>
      <w:rPr>
        <w:color w:val="3370ff"/>
        <w:sz w:val="11"/>
      </w:rPr>
    </w:lvl>
  </w:abstractNum>
  <w:abstractNum w:abstractNumId="23953">
    <w:lvl>
      <w:numFmt w:val="bullet"/>
      <w:suff w:val="tab"/>
      <w:lvlText w:val="▪"/>
      <w:rPr>
        <w:color w:val="3370ff"/>
        <w:sz w:val="11"/>
      </w:rPr>
    </w:lvl>
  </w:abstractNum>
  <w:abstractNum w:abstractNumId="23954">
    <w:lvl>
      <w:numFmt w:val="bullet"/>
      <w:suff w:val="tab"/>
      <w:lvlText w:val="▪"/>
      <w:rPr>
        <w:color w:val="3370ff"/>
        <w:sz w:val="11"/>
      </w:rPr>
    </w:lvl>
  </w:abstractNum>
  <w:abstractNum w:abstractNumId="23955">
    <w:lvl>
      <w:start w:val="3"/>
      <w:numFmt w:val="lowerLetter"/>
      <w:suff w:val="tab"/>
      <w:lvlText w:val="%1."/>
      <w:rPr>
        <w:color w:val="3370ff"/>
      </w:rPr>
    </w:lvl>
  </w:abstractNum>
  <w:abstractNum w:abstractNumId="23956">
    <w:lvl>
      <w:start w:val="1"/>
      <w:numFmt w:val="lowerLetter"/>
      <w:suff w:val="tab"/>
      <w:lvlText w:val="%1."/>
      <w:rPr>
        <w:color w:val="3370ff"/>
      </w:rPr>
    </w:lvl>
  </w:abstractNum>
  <w:abstractNum w:abstractNumId="23957">
    <w:lvl>
      <w:start w:val="2"/>
      <w:numFmt w:val="lowerLetter"/>
      <w:suff w:val="tab"/>
      <w:lvlText w:val="%1."/>
      <w:rPr>
        <w:color w:val="3370ff"/>
      </w:rPr>
    </w:lvl>
  </w:abstractNum>
  <w:abstractNum w:abstractNumId="23958">
    <w:lvl>
      <w:start w:val="3"/>
      <w:numFmt w:val="lowerLetter"/>
      <w:suff w:val="tab"/>
      <w:lvlText w:val="%1."/>
      <w:rPr>
        <w:color w:val="3370ff"/>
      </w:rPr>
    </w:lvl>
  </w:abstractNum>
  <w:abstractNum w:abstractNumId="23959">
    <w:lvl>
      <w:start w:val="1"/>
      <w:numFmt w:val="lowerLetter"/>
      <w:suff w:val="tab"/>
      <w:lvlText w:val="%1."/>
      <w:rPr>
        <w:color w:val="3370ff"/>
      </w:rPr>
    </w:lvl>
  </w:abstractNum>
  <w:abstractNum w:abstractNumId="23960">
    <w:lvl>
      <w:start w:val="2"/>
      <w:numFmt w:val="lowerLetter"/>
      <w:suff w:val="tab"/>
      <w:lvlText w:val="%1."/>
      <w:rPr>
        <w:color w:val="3370ff"/>
      </w:rPr>
    </w:lvl>
  </w:abstractNum>
  <w:abstractNum w:abstractNumId="23961">
    <w:lvl>
      <w:start w:val="3"/>
      <w:numFmt w:val="lowerLetter"/>
      <w:suff w:val="tab"/>
      <w:lvlText w:val="%1."/>
      <w:rPr>
        <w:color w:val="3370ff"/>
      </w:rPr>
    </w:lvl>
  </w:abstractNum>
  <w:abstractNum w:abstractNumId="23962">
    <w:lvl>
      <w:start w:val="4"/>
      <w:numFmt w:val="lowerLetter"/>
      <w:suff w:val="tab"/>
      <w:lvlText w:val="%1."/>
      <w:rPr>
        <w:color w:val="3370ff"/>
      </w:rPr>
    </w:lvl>
  </w:abstractNum>
  <w:abstractNum w:abstractNumId="23963">
    <w:lvl>
      <w:start w:val="1"/>
      <w:numFmt w:val="lowerLetter"/>
      <w:suff w:val="tab"/>
      <w:lvlText w:val="%1."/>
      <w:rPr>
        <w:color w:val="3370ff"/>
      </w:rPr>
    </w:lvl>
  </w:abstractNum>
  <w:abstractNum w:abstractNumId="23964">
    <w:lvl>
      <w:start w:val="2"/>
      <w:numFmt w:val="lowerLetter"/>
      <w:suff w:val="tab"/>
      <w:lvlText w:val="%1."/>
      <w:rPr>
        <w:color w:val="3370ff"/>
      </w:rPr>
    </w:lvl>
  </w:abstractNum>
  <w:abstractNum w:abstractNumId="23965">
    <w:lvl>
      <w:start w:val="3"/>
      <w:numFmt w:val="lowerLetter"/>
      <w:suff w:val="tab"/>
      <w:lvlText w:val="%1."/>
      <w:rPr>
        <w:color w:val="3370ff"/>
      </w:rPr>
    </w:lvl>
  </w:abstractNum>
  <w:abstractNum w:abstractNumId="23966">
    <w:lvl>
      <w:start w:val="1"/>
      <w:numFmt w:val="lowerLetter"/>
      <w:suff w:val="tab"/>
      <w:lvlText w:val="%1."/>
      <w:rPr>
        <w:color w:val="3370ff"/>
      </w:rPr>
    </w:lvl>
  </w:abstractNum>
  <w:abstractNum w:abstractNumId="23967">
    <w:lvl>
      <w:start w:val="2"/>
      <w:numFmt w:val="lowerLetter"/>
      <w:suff w:val="tab"/>
      <w:lvlText w:val="%1."/>
      <w:rPr>
        <w:color w:val="3370ff"/>
      </w:rPr>
    </w:lvl>
  </w:abstractNum>
  <w:abstractNum w:abstractNumId="23968">
    <w:lvl>
      <w:start w:val="3"/>
      <w:numFmt w:val="lowerLetter"/>
      <w:suff w:val="tab"/>
      <w:lvlText w:val="%1."/>
      <w:rPr>
        <w:color w:val="3370ff"/>
      </w:rPr>
    </w:lvl>
  </w:abstractNum>
  <w:abstractNum w:abstractNumId="23969">
    <w:lvl>
      <w:start w:val="4"/>
      <w:numFmt w:val="lowerLetter"/>
      <w:suff w:val="tab"/>
      <w:lvlText w:val="%1."/>
      <w:rPr>
        <w:color w:val="3370ff"/>
      </w:rPr>
    </w:lvl>
  </w:abstractNum>
  <w:abstractNum w:abstractNumId="23970">
    <w:lvl>
      <w:start w:val="5"/>
      <w:numFmt w:val="lowerLetter"/>
      <w:suff w:val="tab"/>
      <w:lvlText w:val="%1."/>
      <w:rPr>
        <w:color w:val="3370ff"/>
      </w:rPr>
    </w:lvl>
  </w:abstractNum>
  <w:num w:numId="1">
    <w:abstractNumId w:val="23943"/>
  </w:num>
  <w:num w:numId="2">
    <w:abstractNumId w:val="23944"/>
  </w:num>
  <w:num w:numId="3">
    <w:abstractNumId w:val="23945"/>
  </w:num>
  <w:num w:numId="4">
    <w:abstractNumId w:val="23946"/>
  </w:num>
  <w:num w:numId="5">
    <w:abstractNumId w:val="23947"/>
  </w:num>
  <w:num w:numId="6">
    <w:abstractNumId w:val="23948"/>
  </w:num>
  <w:num w:numId="7">
    <w:abstractNumId w:val="23949"/>
  </w:num>
  <w:num w:numId="8">
    <w:abstractNumId w:val="23950"/>
  </w:num>
  <w:num w:numId="9">
    <w:abstractNumId w:val="23951"/>
  </w:num>
  <w:num w:numId="10">
    <w:abstractNumId w:val="23952"/>
  </w:num>
  <w:num w:numId="11">
    <w:abstractNumId w:val="23953"/>
  </w:num>
  <w:num w:numId="12">
    <w:abstractNumId w:val="23954"/>
  </w:num>
  <w:num w:numId="13">
    <w:abstractNumId w:val="23955"/>
  </w:num>
  <w:num w:numId="14">
    <w:abstractNumId w:val="23956"/>
  </w:num>
  <w:num w:numId="15">
    <w:abstractNumId w:val="23957"/>
  </w:num>
  <w:num w:numId="16">
    <w:abstractNumId w:val="23958"/>
  </w:num>
  <w:num w:numId="17">
    <w:abstractNumId w:val="23959"/>
  </w:num>
  <w:num w:numId="18">
    <w:abstractNumId w:val="23960"/>
  </w:num>
  <w:num w:numId="19">
    <w:abstractNumId w:val="23961"/>
  </w:num>
  <w:num w:numId="20">
    <w:abstractNumId w:val="23962"/>
  </w:num>
  <w:num w:numId="21">
    <w:abstractNumId w:val="23963"/>
  </w:num>
  <w:num w:numId="22">
    <w:abstractNumId w:val="23964"/>
  </w:num>
  <w:num w:numId="23">
    <w:abstractNumId w:val="23965"/>
  </w:num>
  <w:num w:numId="24">
    <w:abstractNumId w:val="23966"/>
  </w:num>
  <w:num w:numId="25">
    <w:abstractNumId w:val="23967"/>
  </w:num>
  <w:num w:numId="26">
    <w:abstractNumId w:val="23968"/>
  </w:num>
  <w:num w:numId="27">
    <w:abstractNumId w:val="23969"/>
  </w:num>
  <w:num w:numId="28">
    <w:abstractNumId w:val="239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15" Target="header2.xml" Type="http://schemas.openxmlformats.org/officeDocument/2006/relationships/header"/><Relationship Id="rId16" Target="header3.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2023-12-01T03:41:44Z</dcterms:created>
  <dc:creator>Apache POI</dc:creator>
</cp:coreProperties>
</file>