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日报看板说明</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日报</w:t>
      </w:r>
      <w:r>
        <w:rPr>
          <w:rFonts w:eastAsia="等线" w:ascii="Arial" w:cs="Arial" w:hAnsi="Arial"/>
          <w:b w:val="true"/>
          <w:sz w:val="22"/>
        </w:rPr>
        <w:t>看板说明（</w:t>
      </w:r>
      <w:r>
        <w:rPr>
          <w:rFonts w:eastAsia="等线" w:ascii="Arial" w:cs="Arial" w:hAnsi="Arial"/>
          <w:b w:val="true"/>
          <w:sz w:val="22"/>
        </w:rPr>
        <w:t>“说明”生效日期：2023年8月31日</w:t>
      </w:r>
      <w:r>
        <w:rPr>
          <w:rFonts w:eastAsia="等线" w:ascii="Arial" w:cs="Arial" w:hAnsi="Arial"/>
          <w:b w:val="true"/>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基于平台数据生成时间：</w:t>
      </w:r>
      <w:r>
        <w:rPr>
          <w:rFonts w:eastAsia="等线" w:ascii="Arial" w:cs="Arial" w:hAnsi="Arial"/>
          <w:sz w:val="22"/>
        </w:rPr>
        <w:br/>
      </w:r>
      <w:r>
        <w:rPr>
          <w:rFonts w:eastAsia="等线" w:ascii="Arial" w:cs="Arial" w:hAnsi="Arial"/>
          <w:sz w:val="22"/>
        </w:rPr>
        <w:t>1，每天上午9点，</w:t>
      </w:r>
      <w:r>
        <w:rPr>
          <w:rFonts w:eastAsia="等线" w:ascii="Arial" w:cs="Arial" w:hAnsi="Arial"/>
          <w:sz w:val="22"/>
        </w:rPr>
        <w:t>“经营日报”</w:t>
      </w:r>
      <w:r>
        <w:rPr>
          <w:rFonts w:eastAsia="等线" w:ascii="Arial" w:cs="Arial" w:hAnsi="Arial"/>
          <w:sz w:val="22"/>
        </w:rPr>
        <w:t>输出渠道/品类/店铺维度的收入数据（退款前</w:t>
      </w:r>
      <w:r>
        <w:rPr>
          <w:rFonts w:eastAsia="等线" w:ascii="Arial" w:cs="Arial" w:hAnsi="Arial"/>
          <w:sz w:val="22"/>
        </w:rPr>
        <w:t>GMV</w:t>
      </w:r>
      <w:r>
        <w:rPr>
          <w:rFonts w:eastAsia="等线" w:ascii="Arial" w:cs="Arial" w:hAnsi="Arial"/>
          <w:sz w:val="22"/>
        </w:rPr>
        <w:t>，退款后GMV，财务净收入）。</w:t>
        <w:br/>
      </w:r>
      <w:r>
        <w:rPr>
          <w:rFonts w:eastAsia="等线" w:ascii="Arial" w:cs="Arial" w:hAnsi="Arial"/>
          <w:sz w:val="22"/>
        </w:rPr>
        <w:t>2，每天下午6点，</w:t>
      </w:r>
      <w:r>
        <w:rPr>
          <w:rFonts w:eastAsia="等线" w:ascii="Arial" w:cs="Arial" w:hAnsi="Arial"/>
          <w:sz w:val="22"/>
        </w:rPr>
        <w:t>“经营日报”</w:t>
      </w:r>
      <w:r>
        <w:rPr>
          <w:rFonts w:eastAsia="等线" w:ascii="Arial" w:cs="Arial" w:hAnsi="Arial"/>
          <w:sz w:val="22"/>
        </w:rPr>
        <w:t>补充输出其他维度的数据（店铺</w:t>
      </w:r>
      <w:r>
        <w:rPr>
          <w:rFonts w:eastAsia="等线" w:ascii="Arial" w:cs="Arial" w:hAnsi="Arial"/>
          <w:sz w:val="22"/>
        </w:rPr>
        <w:t>下钻到</w:t>
      </w:r>
      <w:r>
        <w:rPr>
          <w:rFonts w:eastAsia="等线" w:ascii="Arial" w:cs="Arial" w:hAnsi="Arial"/>
          <w:sz w:val="22"/>
        </w:rPr>
        <w:t>业务单元的收入数据，营销费用数据，市场大盘数据）。</w:t>
        <w:br/>
      </w:r>
    </w:p>
    <w:p>
      <w:pPr>
        <w:spacing w:before="120" w:after="120" w:line="288" w:lineRule="auto"/>
        <w:ind w:left="0"/>
        <w:jc w:val="left"/>
      </w:pPr>
      <w:r>
        <w:rPr>
          <w:rFonts w:eastAsia="等线" w:ascii="Arial" w:cs="Arial" w:hAnsi="Arial"/>
          <w:b w:val="true"/>
          <w:sz w:val="22"/>
        </w:rPr>
        <w:t>数据口径：</w:t>
      </w:r>
    </w:p>
    <w:p>
      <w:pPr>
        <w:spacing w:before="120" w:after="120" w:line="288" w:lineRule="auto"/>
        <w:ind w:left="0"/>
        <w:jc w:val="left"/>
      </w:pPr>
      <w:r>
        <w:rPr>
          <w:rFonts w:eastAsia="等线" w:ascii="Arial" w:cs="Arial" w:hAnsi="Arial"/>
          <w:sz w:val="22"/>
        </w:rPr>
        <w:t>数据开始时间</w:t>
      </w:r>
      <w:r>
        <w:rPr>
          <w:rFonts w:eastAsia="等线" w:ascii="Arial" w:cs="Arial" w:hAnsi="Arial"/>
          <w:sz w:val="22"/>
        </w:rPr>
        <w:t xml:space="preserve"> - </w:t>
      </w:r>
      <w:r>
        <w:rPr>
          <w:rFonts w:eastAsia="等线" w:ascii="Arial" w:cs="Arial" w:hAnsi="Arial"/>
          <w:sz w:val="22"/>
        </w:rPr>
        <w:t>2023年7月1号</w:t>
      </w:r>
      <w:r>
        <w:rPr>
          <w:rFonts w:eastAsia="等线" w:ascii="Arial" w:cs="Arial" w:hAnsi="Arial"/>
          <w:sz w:val="22"/>
        </w:rPr>
        <w:t>；数据</w:t>
      </w:r>
      <w:r>
        <w:rPr>
          <w:rFonts w:eastAsia="等线" w:ascii="Arial" w:cs="Arial" w:hAnsi="Arial"/>
          <w:sz w:val="22"/>
        </w:rPr>
        <w:t>范围</w:t>
      </w:r>
      <w:r>
        <w:rPr>
          <w:rFonts w:eastAsia="等线" w:ascii="Arial" w:cs="Arial" w:hAnsi="Arial"/>
          <w:sz w:val="22"/>
        </w:rPr>
        <w:t xml:space="preserve"> - </w:t>
      </w:r>
      <w:r>
        <w:rPr>
          <w:rFonts w:eastAsia="等线" w:ascii="Arial" w:cs="Arial" w:hAnsi="Arial"/>
          <w:sz w:val="22"/>
        </w:rPr>
        <w:t>花西子国内线上</w:t>
      </w:r>
      <w:r>
        <w:rPr>
          <w:rFonts w:eastAsia="等线" w:ascii="Arial" w:cs="Arial" w:hAnsi="Arial"/>
          <w:sz w:val="22"/>
        </w:rPr>
        <w:t>（一期）：</w:t>
      </w:r>
    </w:p>
    <w:p>
      <w:pPr>
        <w:spacing w:before="120" w:after="120" w:line="288" w:lineRule="auto"/>
        <w:ind w:left="0"/>
        <w:jc w:val="left"/>
      </w:pPr>
      <w:r>
        <w:rPr>
          <w:rFonts w:eastAsia="等线" w:ascii="Arial" w:cs="Arial" w:hAnsi="Arial"/>
          <w:sz w:val="22"/>
        </w:rPr>
        <w:t>1，</w:t>
      </w:r>
      <w:r>
        <w:rPr>
          <w:rFonts w:eastAsia="等线" w:ascii="Arial" w:cs="Arial" w:hAnsi="Arial"/>
          <w:sz w:val="22"/>
        </w:rPr>
        <w:t>GMV</w:t>
      </w:r>
      <w:r>
        <w:rPr>
          <w:rFonts w:eastAsia="等线" w:ascii="Arial" w:cs="Arial" w:hAnsi="Arial"/>
          <w:sz w:val="22"/>
        </w:rPr>
        <w:t>：取订单支付时间在报告日期的订单数据</w:t>
      </w:r>
      <w:r>
        <w:rPr>
          <w:rFonts w:eastAsia="等线" w:ascii="Arial" w:cs="Arial" w:hAnsi="Arial"/>
          <w:sz w:val="22"/>
        </w:rPr>
        <w:t>：</w:t>
      </w:r>
      <w:r>
        <w:rPr>
          <w:rFonts w:eastAsia="等线" w:ascii="Arial" w:cs="Arial" w:hAnsi="Arial"/>
          <w:sz w:val="22"/>
        </w:rPr>
        <w:t>平台订单支付后实时同步到</w:t>
      </w:r>
      <w:r>
        <w:rPr>
          <w:rFonts w:eastAsia="等线" w:ascii="Arial" w:cs="Arial" w:hAnsi="Arial"/>
          <w:sz w:val="22"/>
        </w:rPr>
        <w:t>OMS</w:t>
      </w:r>
      <w:r>
        <w:rPr>
          <w:rFonts w:eastAsia="等线" w:ascii="Arial" w:cs="Arial" w:hAnsi="Arial"/>
          <w:sz w:val="22"/>
        </w:rPr>
        <w:t>系统中（每分钟同步一次），从OMS系统中</w:t>
      </w:r>
      <w:r>
        <w:rPr>
          <w:rFonts w:eastAsia="等线" w:ascii="Arial" w:cs="Arial" w:hAnsi="Arial"/>
          <w:sz w:val="22"/>
        </w:rPr>
        <w:t>抓</w:t>
      </w:r>
      <w:r>
        <w:rPr>
          <w:rFonts w:eastAsia="等线" w:ascii="Arial" w:cs="Arial" w:hAnsi="Arial"/>
          <w:sz w:val="22"/>
        </w:rPr>
        <w:t>取</w:t>
      </w:r>
      <w:r>
        <w:rPr>
          <w:rFonts w:eastAsia="等线" w:ascii="Arial" w:cs="Arial" w:hAnsi="Arial"/>
          <w:sz w:val="22"/>
        </w:rPr>
        <w:t>（1）</w:t>
      </w:r>
      <w:r>
        <w:rPr>
          <w:rFonts w:eastAsia="等线" w:ascii="Arial" w:cs="Arial" w:hAnsi="Arial"/>
          <w:sz w:val="22"/>
        </w:rPr>
        <w:t>已转单订单</w:t>
      </w:r>
      <w:r>
        <w:rPr>
          <w:rFonts w:eastAsia="等线" w:ascii="Arial" w:cs="Arial" w:hAnsi="Arial"/>
          <w:sz w:val="22"/>
        </w:rPr>
        <w:t>（</w:t>
      </w:r>
      <w:r>
        <w:rPr>
          <w:rFonts w:eastAsia="等线" w:ascii="Arial" w:cs="Arial" w:hAnsi="Arial"/>
          <w:sz w:val="22"/>
        </w:rPr>
        <w:t>支付后进入订单处理流程</w:t>
      </w:r>
      <w:r>
        <w:rPr>
          <w:rFonts w:eastAsia="等线" w:ascii="Arial" w:cs="Arial" w:hAnsi="Arial"/>
          <w:sz w:val="22"/>
        </w:rPr>
        <w:t>）（2）</w:t>
      </w:r>
      <w:r>
        <w:rPr>
          <w:rFonts w:eastAsia="等线" w:ascii="Arial" w:cs="Arial" w:hAnsi="Arial"/>
          <w:sz w:val="22"/>
        </w:rPr>
        <w:t>未转单订单（支付后即退款）</w:t>
      </w:r>
      <w:r>
        <w:rPr>
          <w:rFonts w:eastAsia="等线" w:ascii="Arial" w:cs="Arial" w:hAnsi="Arial"/>
          <w:sz w:val="22"/>
        </w:rPr>
        <w:t>（3）京东自营GMV数据取自京东商智后台，无TO-C口径退款数据</w:t>
      </w:r>
      <w:r>
        <w:rPr>
          <w:rFonts w:eastAsia="等线" w:ascii="Arial" w:cs="Arial" w:hAnsi="Arial"/>
          <w:sz w:val="22"/>
        </w:rPr>
        <w:t>。</w:t>
      </w:r>
    </w:p>
    <w:p>
      <w:pPr>
        <w:spacing w:before="120" w:after="120" w:line="288" w:lineRule="auto"/>
        <w:ind w:left="0"/>
        <w:jc w:val="left"/>
      </w:pPr>
      <w:r>
        <w:rPr>
          <w:rFonts w:eastAsia="等线" w:ascii="Arial" w:cs="Arial" w:hAnsi="Arial"/>
          <w:sz w:val="22"/>
        </w:rPr>
        <w:t>2，退款：取退款时间在报告日期的售后数据（平台售后数据实时同步到</w:t>
      </w:r>
      <w:r>
        <w:rPr>
          <w:rFonts w:eastAsia="等线" w:ascii="Arial" w:cs="Arial" w:hAnsi="Arial"/>
          <w:sz w:val="22"/>
        </w:rPr>
        <w:t>OMS</w:t>
      </w:r>
      <w:r>
        <w:rPr>
          <w:rFonts w:eastAsia="等线" w:ascii="Arial" w:cs="Arial" w:hAnsi="Arial"/>
          <w:sz w:val="22"/>
        </w:rPr>
        <w:t>系统中（每分钟同步一次），从OMS系统中取售后数据）</w:t>
      </w:r>
      <w:r>
        <w:rPr>
          <w:rFonts w:eastAsia="等线" w:ascii="Arial" w:cs="Arial" w:hAnsi="Arial"/>
          <w:sz w:val="22"/>
        </w:rPr>
        <w:t>。包括</w:t>
      </w:r>
      <w:r>
        <w:rPr>
          <w:rFonts w:eastAsia="等线" w:ascii="Arial" w:cs="Arial" w:hAnsi="Arial"/>
          <w:sz w:val="22"/>
        </w:rPr>
        <w:t>以下</w:t>
      </w:r>
      <w:r>
        <w:rPr>
          <w:rFonts w:eastAsia="等线" w:ascii="Arial" w:cs="Arial" w:hAnsi="Arial"/>
          <w:sz w:val="22"/>
        </w:rPr>
        <w:t>退款：（1）</w:t>
      </w:r>
      <w:r>
        <w:rPr>
          <w:rFonts w:eastAsia="等线" w:ascii="Arial" w:cs="Arial" w:hAnsi="Arial"/>
          <w:sz w:val="22"/>
        </w:rPr>
        <w:t>订单取消（支付后即退款）</w:t>
      </w:r>
      <w:r>
        <w:rPr>
          <w:rFonts w:eastAsia="等线" w:ascii="Arial" w:cs="Arial" w:hAnsi="Arial"/>
          <w:sz w:val="22"/>
        </w:rPr>
        <w:t>；（2）</w:t>
      </w:r>
      <w:r>
        <w:rPr>
          <w:rFonts w:eastAsia="等线" w:ascii="Arial" w:cs="Arial" w:hAnsi="Arial"/>
          <w:sz w:val="22"/>
        </w:rPr>
        <w:t>零售退单（退货退款）</w:t>
      </w:r>
      <w:r>
        <w:rPr>
          <w:rFonts w:eastAsia="等线" w:ascii="Arial" w:cs="Arial" w:hAnsi="Arial"/>
          <w:sz w:val="22"/>
        </w:rPr>
        <w:t>；（3）</w:t>
      </w:r>
      <w:r>
        <w:rPr>
          <w:rFonts w:eastAsia="等线" w:ascii="Arial" w:cs="Arial" w:hAnsi="Arial"/>
          <w:sz w:val="22"/>
        </w:rPr>
        <w:t>线上仅退款</w:t>
      </w:r>
      <w:r>
        <w:rPr>
          <w:rFonts w:eastAsia="等线" w:ascii="Arial" w:cs="Arial" w:hAnsi="Arial"/>
          <w:sz w:val="22"/>
        </w:rPr>
        <w:t>；（4）</w:t>
      </w:r>
      <w:r>
        <w:rPr>
          <w:rFonts w:eastAsia="等线" w:ascii="Arial" w:cs="Arial" w:hAnsi="Arial"/>
          <w:sz w:val="22"/>
        </w:rPr>
        <w:t>线下手工退款（电商结算调整单）。</w:t>
        <w:br/>
      </w:r>
      <w:r>
        <w:rPr>
          <w:rFonts w:eastAsia="等线" w:ascii="Arial" w:cs="Arial" w:hAnsi="Arial"/>
          <w:sz w:val="22"/>
        </w:rPr>
        <w:t>3，财务净收入：取收入确认时间在报告日期的订单数据（</w:t>
      </w:r>
      <w:r>
        <w:rPr>
          <w:rFonts w:eastAsia="等线" w:ascii="Arial" w:cs="Arial" w:hAnsi="Arial"/>
          <w:sz w:val="22"/>
        </w:rPr>
        <w:t>=</w:t>
      </w:r>
      <w:r>
        <w:rPr>
          <w:rFonts w:eastAsia="等线" w:ascii="Arial" w:cs="Arial" w:hAnsi="Arial"/>
          <w:sz w:val="22"/>
        </w:rPr>
        <w:t>正向确认的收入-收入</w:t>
      </w:r>
      <w:r>
        <w:rPr>
          <w:rFonts w:eastAsia="等线" w:ascii="Arial" w:cs="Arial" w:hAnsi="Arial"/>
          <w:sz w:val="22"/>
        </w:rPr>
        <w:t>确认之后</w:t>
      </w:r>
      <w:r>
        <w:rPr>
          <w:rFonts w:eastAsia="等线" w:ascii="Arial" w:cs="Arial" w:hAnsi="Arial"/>
          <w:sz w:val="22"/>
        </w:rPr>
        <w:t>的退款，不含</w:t>
      </w:r>
      <w:r>
        <w:rPr>
          <w:rFonts w:eastAsia="等线" w:ascii="Arial" w:cs="Arial" w:hAnsi="Arial"/>
          <w:sz w:val="22"/>
        </w:rPr>
        <w:t>增值</w:t>
      </w:r>
      <w:r>
        <w:rPr>
          <w:rFonts w:eastAsia="等线" w:ascii="Arial" w:cs="Arial" w:hAnsi="Arial"/>
          <w:sz w:val="22"/>
        </w:rPr>
        <w:t>税）。（</w:t>
      </w:r>
      <w:r>
        <w:rPr>
          <w:rFonts w:eastAsia="等线" w:ascii="Arial" w:cs="Arial" w:hAnsi="Arial"/>
          <w:sz w:val="22"/>
        </w:rPr>
        <w:t>TO-</w:t>
      </w:r>
      <w:r>
        <w:rPr>
          <w:rFonts w:eastAsia="等线" w:ascii="Arial" w:cs="Arial" w:hAnsi="Arial"/>
          <w:sz w:val="22"/>
        </w:rPr>
        <w:t>C收入为订单签收时间，TO</w:t>
      </w:r>
      <w:r>
        <w:rPr>
          <w:rFonts w:eastAsia="等线" w:ascii="Arial" w:cs="Arial" w:hAnsi="Arial"/>
          <w:sz w:val="22"/>
        </w:rPr>
        <w:t>-</w:t>
      </w:r>
      <w:r>
        <w:rPr>
          <w:rFonts w:eastAsia="等线" w:ascii="Arial" w:cs="Arial" w:hAnsi="Arial"/>
          <w:sz w:val="22"/>
        </w:rPr>
        <w:t>B收入为订单发货时间（得物）或对账确认时间（唯品会，京东自营））</w:t>
      </w:r>
    </w:p>
    <w:p>
      <w:pPr>
        <w:spacing w:before="120" w:after="120" w:line="288" w:lineRule="auto"/>
        <w:ind w:left="0"/>
        <w:jc w:val="left"/>
      </w:pPr>
      <w:r>
        <w:rPr>
          <w:rFonts w:eastAsia="等线" w:ascii="Arial" w:cs="Arial" w:hAnsi="Arial"/>
          <w:sz w:val="22"/>
        </w:rPr>
        <w:t>4，营销费用：</w:t>
        <w:br/>
      </w:r>
      <w:r>
        <w:rPr>
          <w:rFonts w:eastAsia="等线" w:ascii="Arial" w:cs="Arial" w:hAnsi="Arial"/>
          <w:sz w:val="22"/>
        </w:rPr>
        <w:t>4.1 包括</w:t>
      </w:r>
      <w:r>
        <w:rPr>
          <w:rFonts w:eastAsia="等线" w:ascii="Arial" w:cs="Arial" w:hAnsi="Arial"/>
          <w:sz w:val="22"/>
        </w:rPr>
        <w:t xml:space="preserve">(1) </w:t>
      </w:r>
      <w:r>
        <w:rPr>
          <w:rFonts w:eastAsia="等线" w:ascii="Arial" w:cs="Arial" w:hAnsi="Arial"/>
          <w:sz w:val="22"/>
        </w:rPr>
        <w:t>投放类费用</w:t>
      </w:r>
      <w:r>
        <w:rPr>
          <w:rFonts w:eastAsia="等线" w:ascii="Arial" w:cs="Arial" w:hAnsi="Arial"/>
          <w:sz w:val="22"/>
        </w:rPr>
        <w:t xml:space="preserve">: </w:t>
      </w:r>
      <w:r>
        <w:rPr>
          <w:rFonts w:eastAsia="等线" w:ascii="Arial" w:cs="Arial" w:hAnsi="Arial"/>
          <w:sz w:val="22"/>
        </w:rPr>
        <w:t>取自在报告日期的各投放平台的费用消耗账单和资金扣款账单数据</w:t>
      </w:r>
      <w:r>
        <w:rPr>
          <w:rFonts w:eastAsia="等线" w:ascii="Arial" w:cs="Arial" w:hAnsi="Arial"/>
          <w:sz w:val="22"/>
        </w:rPr>
        <w:t xml:space="preserve">; (2) </w:t>
      </w:r>
      <w:r>
        <w:rPr>
          <w:rFonts w:eastAsia="等线" w:ascii="Arial" w:cs="Arial" w:hAnsi="Arial"/>
          <w:sz w:val="22"/>
        </w:rPr>
        <w:t>直播类费用</w:t>
      </w:r>
      <w:r>
        <w:rPr>
          <w:rFonts w:eastAsia="等线" w:ascii="Arial" w:cs="Arial" w:hAnsi="Arial"/>
          <w:sz w:val="22"/>
        </w:rPr>
        <w:t xml:space="preserve">: </w:t>
      </w:r>
      <w:r>
        <w:rPr>
          <w:rFonts w:eastAsia="等线" w:ascii="Arial" w:cs="Arial" w:hAnsi="Arial"/>
          <w:sz w:val="22"/>
        </w:rPr>
        <w:t>取自在报告日期各平台的直播订单预估佣金数据，线下佣金预估数据，坑位费确认单</w:t>
      </w:r>
      <w:r>
        <w:rPr>
          <w:rFonts w:eastAsia="等线" w:ascii="Arial" w:cs="Arial" w:hAnsi="Arial"/>
          <w:sz w:val="22"/>
        </w:rPr>
        <w:t xml:space="preserve">; (3) </w:t>
      </w:r>
      <w:r>
        <w:rPr>
          <w:rFonts w:eastAsia="等线" w:ascii="Arial" w:cs="Arial" w:hAnsi="Arial"/>
          <w:sz w:val="22"/>
        </w:rPr>
        <w:t>达人类费用</w:t>
      </w:r>
      <w:r>
        <w:rPr>
          <w:rFonts w:eastAsia="等线" w:ascii="Arial" w:cs="Arial" w:hAnsi="Arial"/>
          <w:sz w:val="22"/>
        </w:rPr>
        <w:t xml:space="preserve">: </w:t>
      </w:r>
      <w:r>
        <w:rPr>
          <w:rFonts w:eastAsia="等线" w:ascii="Arial" w:cs="Arial" w:hAnsi="Arial"/>
          <w:sz w:val="22"/>
        </w:rPr>
        <w:t>取自在报告日期的达人执行单（平台已完成发布）</w:t>
      </w:r>
      <w:r>
        <w:rPr>
          <w:rFonts w:eastAsia="等线" w:ascii="Arial" w:cs="Arial" w:hAnsi="Arial"/>
          <w:sz w:val="22"/>
        </w:rPr>
        <w:t xml:space="preserve">; (4) </w:t>
      </w:r>
      <w:r>
        <w:rPr>
          <w:rFonts w:eastAsia="等线" w:ascii="Arial" w:cs="Arial" w:hAnsi="Arial"/>
          <w:sz w:val="22"/>
        </w:rPr>
        <w:t>其他合同类费用</w:t>
      </w:r>
      <w:r>
        <w:rPr>
          <w:rFonts w:eastAsia="等线" w:ascii="Arial" w:cs="Arial" w:hAnsi="Arial"/>
          <w:sz w:val="22"/>
        </w:rPr>
        <w:t xml:space="preserve">: </w:t>
      </w:r>
      <w:r>
        <w:rPr>
          <w:rFonts w:eastAsia="等线" w:ascii="Arial" w:cs="Arial" w:hAnsi="Arial"/>
          <w:sz w:val="22"/>
        </w:rPr>
        <w:t>取自业财系统在报告日期审批完成的合同执行单。</w:t>
        <w:br/>
      </w:r>
      <w:r>
        <w:rPr>
          <w:rFonts w:eastAsia="等线" w:ascii="Arial" w:cs="Arial" w:hAnsi="Arial"/>
          <w:sz w:val="22"/>
          <w:shd w:fill="fff67a"/>
        </w:rPr>
        <w:t>4.2 不包括：平台扣点，内部领用及其他销售费用。</w:t>
      </w:r>
      <w:r>
        <w:rPr>
          <w:rFonts w:eastAsia="等线" w:ascii="Arial" w:cs="Arial" w:hAnsi="Arial"/>
          <w:sz w:val="22"/>
        </w:rPr>
        <w:br/>
      </w:r>
      <w:r>
        <w:rPr>
          <w:rFonts w:eastAsia="等线" w:ascii="Arial" w:cs="Arial" w:hAnsi="Arial"/>
          <w:sz w:val="22"/>
        </w:rPr>
        <w:t>4.3 以上营销费用按照每项费用确认时所归属的品牌，店铺，业务单元，品类，产品简称维度进行费用的直接归属及分摊（通用分摊标准为在报告日期的退款前</w:t>
      </w:r>
      <w:r>
        <w:rPr>
          <w:rFonts w:eastAsia="等线" w:ascii="Arial" w:cs="Arial" w:hAnsi="Arial"/>
          <w:sz w:val="22"/>
        </w:rPr>
        <w:t>GMV</w:t>
      </w:r>
      <w:r>
        <w:rPr>
          <w:rFonts w:eastAsia="等线" w:ascii="Arial" w:cs="Arial" w:hAnsi="Arial"/>
          <w:sz w:val="22"/>
        </w:rPr>
        <w:t>）。</w:t>
      </w:r>
    </w:p>
    <w:p>
      <w:pPr>
        <w:spacing w:before="120" w:after="120" w:line="288" w:lineRule="auto"/>
        <w:ind w:left="0"/>
        <w:jc w:val="left"/>
      </w:pPr>
      <w:r>
        <w:rPr>
          <w:rFonts w:eastAsia="等线" w:ascii="Arial" w:cs="Arial" w:hAnsi="Arial"/>
          <w:sz w:val="22"/>
        </w:rPr>
        <w:t>5，市场概览：数据来源于CMK，可参考行业品牌榜（报表）和 行业店铺榜（报表）。</w:t>
      </w:r>
    </w:p>
    <w:p>
      <w:pPr>
        <w:spacing w:before="120" w:after="120" w:line="288" w:lineRule="auto"/>
        <w:ind w:left="0"/>
        <w:jc w:val="left"/>
      </w:pPr>
      <w:r>
        <w:rPr>
          <w:rFonts w:eastAsia="等线" w:ascii="Arial" w:cs="Arial" w:hAnsi="Arial"/>
          <w:sz w:val="22"/>
        </w:rPr>
        <w:t>6，渠道</w:t>
      </w:r>
      <w:r>
        <w:rPr>
          <w:rFonts w:eastAsia="等线" w:ascii="Arial" w:cs="Arial" w:hAnsi="Arial"/>
          <w:sz w:val="22"/>
        </w:rPr>
        <w:t>GMV</w:t>
      </w:r>
      <w:r>
        <w:rPr>
          <w:rFonts w:eastAsia="等线" w:ascii="Arial" w:cs="Arial" w:hAnsi="Arial"/>
          <w:sz w:val="22"/>
        </w:rPr>
        <w:t xml:space="preserve"> - </w:t>
      </w:r>
      <w:r>
        <w:rPr>
          <w:rFonts w:eastAsia="等线" w:ascii="Arial" w:cs="Arial" w:hAnsi="Arial"/>
          <w:sz w:val="22"/>
        </w:rPr>
        <w:t>退款后GMV挑战目标和业务测算退款后GMV：数据来源于</w:t>
      </w:r>
      <w:r>
        <w:rPr>
          <w:rFonts w:eastAsia="等线" w:ascii="Arial" w:cs="Arial" w:hAnsi="Arial"/>
          <w:sz w:val="22"/>
        </w:rPr>
        <w:t>花西子品牌</w:t>
      </w:r>
      <w:r>
        <w:rPr>
          <w:rFonts w:eastAsia="等线" w:ascii="Arial" w:cs="Arial" w:hAnsi="Arial"/>
          <w:sz w:val="22"/>
        </w:rPr>
        <w:t>运营</w:t>
      </w:r>
      <w:r>
        <w:rPr>
          <w:rFonts w:eastAsia="等线" w:ascii="Arial" w:cs="Arial" w:hAnsi="Arial"/>
          <w:sz w:val="22"/>
        </w:rPr>
        <w:t>中心</w:t>
      </w:r>
      <w:r>
        <w:rPr>
          <w:rFonts w:eastAsia="等线" w:ascii="Arial" w:cs="Arial" w:hAnsi="Arial"/>
          <w:sz w:val="22"/>
        </w:rPr>
        <w:t>及CMK，可参考品牌渠道达成情况（报表）。</w:t>
      </w:r>
    </w:p>
    <w:p>
      <w:pPr>
        <w:spacing w:before="120" w:after="120" w:line="288" w:lineRule="auto"/>
        <w:ind w:left="0"/>
        <w:jc w:val="left"/>
      </w:pPr>
      <w:r>
        <w:rPr>
          <w:rFonts w:eastAsia="等线" w:ascii="Arial" w:cs="Arial" w:hAnsi="Arial"/>
          <w:sz w:val="22"/>
        </w:rPr>
        <w:t>7，品类</w:t>
      </w:r>
      <w:r>
        <w:rPr>
          <w:rFonts w:eastAsia="等线" w:ascii="Arial" w:cs="Arial" w:hAnsi="Arial"/>
          <w:sz w:val="22"/>
        </w:rPr>
        <w:t>GMV</w:t>
      </w:r>
      <w:r>
        <w:rPr>
          <w:rFonts w:eastAsia="等线" w:ascii="Arial" w:cs="Arial" w:hAnsi="Arial"/>
          <w:sz w:val="22"/>
        </w:rPr>
        <w:t xml:space="preserve"> - </w:t>
      </w:r>
      <w:r>
        <w:rPr>
          <w:rFonts w:eastAsia="等线" w:ascii="Arial" w:cs="Arial" w:hAnsi="Arial"/>
          <w:sz w:val="22"/>
        </w:rPr>
        <w:t>退款后GMV挑战目标：数据来源于运营及CMK，可参考品类策略报表-品类目标达成（根据2023年7月的各品类退款率（退款后GMV/退款前GMV）乘以 该报表中品类的退款前GMV目标计算得出）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指标说明：</w:t>
      </w:r>
    </w:p>
    <w:p>
      <w:pPr>
        <w:spacing w:before="120" w:after="120" w:line="288" w:lineRule="auto"/>
        <w:ind w:left="0"/>
        <w:jc w:val="left"/>
      </w:pPr>
      <w:r>
        <w:rPr>
          <w:rFonts w:eastAsia="等线" w:ascii="Arial" w:cs="Arial" w:hAnsi="Arial"/>
          <w:sz w:val="22"/>
        </w:rPr>
        <w:t>退款前</w:t>
      </w:r>
      <w:r>
        <w:rPr>
          <w:rFonts w:eastAsia="等线" w:ascii="Arial" w:cs="Arial" w:hAnsi="Arial"/>
          <w:sz w:val="22"/>
        </w:rPr>
        <w:t>GMV</w:t>
      </w:r>
      <w:r>
        <w:rPr>
          <w:rFonts w:eastAsia="等线" w:ascii="Arial" w:cs="Arial" w:hAnsi="Arial"/>
          <w:sz w:val="22"/>
        </w:rPr>
        <w:t>： 客户全额支付订单时商家实际收到的金额，包括客户实付金额，以及平台应返还的优惠金额</w:t>
      </w:r>
    </w:p>
    <w:p>
      <w:pPr>
        <w:spacing w:before="120" w:after="120" w:line="288" w:lineRule="auto"/>
        <w:ind w:left="0"/>
        <w:jc w:val="left"/>
      </w:pPr>
      <w:r>
        <w:rPr>
          <w:rFonts w:eastAsia="等线" w:ascii="Arial" w:cs="Arial" w:hAnsi="Arial"/>
          <w:sz w:val="22"/>
        </w:rPr>
        <w:t>退款金额：客户取消已全额支付的订单、退货退款、换货、仅退款（包括线上线下）场景的所有退款金额。</w:t>
      </w:r>
    </w:p>
    <w:p>
      <w:pPr>
        <w:spacing w:before="120" w:after="120" w:line="288" w:lineRule="auto"/>
        <w:ind w:left="0"/>
        <w:jc w:val="left"/>
      </w:pPr>
      <w:r>
        <w:rPr>
          <w:rFonts w:eastAsia="等线" w:ascii="Arial" w:cs="Arial" w:hAnsi="Arial"/>
          <w:sz w:val="22"/>
        </w:rPr>
        <w:t>退款后</w:t>
      </w:r>
      <w:r>
        <w:rPr>
          <w:rFonts w:eastAsia="等线" w:ascii="Arial" w:cs="Arial" w:hAnsi="Arial"/>
          <w:sz w:val="22"/>
        </w:rPr>
        <w:t>GMV</w:t>
      </w:r>
      <w:r>
        <w:rPr>
          <w:rFonts w:eastAsia="等线" w:ascii="Arial" w:cs="Arial" w:hAnsi="Arial"/>
          <w:sz w:val="22"/>
        </w:rPr>
        <w:t>：退款前GMV金额-退款金额</w:t>
      </w:r>
    </w:p>
    <w:p>
      <w:pPr>
        <w:spacing w:before="120" w:after="120" w:line="288" w:lineRule="auto"/>
        <w:ind w:left="0"/>
        <w:jc w:val="left"/>
      </w:pPr>
      <w:r>
        <w:rPr>
          <w:rFonts w:eastAsia="等线" w:ascii="Arial" w:cs="Arial" w:hAnsi="Arial"/>
          <w:sz w:val="22"/>
        </w:rPr>
        <w:t>退款前销量-</w:t>
      </w:r>
      <w:r>
        <w:rPr>
          <w:rFonts w:eastAsia="等线" w:ascii="Arial" w:cs="Arial" w:hAnsi="Arial"/>
          <w:sz w:val="22"/>
        </w:rPr>
        <w:t>GMV</w:t>
      </w:r>
      <w:r>
        <w:rPr>
          <w:rFonts w:eastAsia="等线" w:ascii="Arial" w:cs="Arial" w:hAnsi="Arial"/>
          <w:sz w:val="22"/>
        </w:rPr>
        <w:t>：已全额支付的，非赠品，销售产成品的退款前销量（件数）</w:t>
      </w:r>
    </w:p>
    <w:p>
      <w:pPr>
        <w:spacing w:before="120" w:after="120" w:line="288" w:lineRule="auto"/>
        <w:ind w:left="0"/>
        <w:jc w:val="left"/>
      </w:pPr>
      <w:r>
        <w:rPr>
          <w:rFonts w:eastAsia="等线" w:ascii="Arial" w:cs="Arial" w:hAnsi="Arial"/>
          <w:sz w:val="22"/>
        </w:rPr>
        <w:t>退款后销量-</w:t>
      </w:r>
      <w:r>
        <w:rPr>
          <w:rFonts w:eastAsia="等线" w:ascii="Arial" w:cs="Arial" w:hAnsi="Arial"/>
          <w:sz w:val="22"/>
        </w:rPr>
        <w:t>GMV</w:t>
      </w:r>
      <w:r>
        <w:rPr>
          <w:rFonts w:eastAsia="等线" w:ascii="Arial" w:cs="Arial" w:hAnsi="Arial"/>
          <w:sz w:val="22"/>
        </w:rPr>
        <w:t>：已全额支付的，非赠品，销售产成品的退款后销量（件数）</w:t>
        <w:br/>
        <w:t>件单价：退款后GMV/退款后销量-GMV</w:t>
        <w:br/>
      </w:r>
      <w:r>
        <w:rPr>
          <w:rFonts w:eastAsia="等线" w:ascii="Arial" w:cs="Arial" w:hAnsi="Arial"/>
          <w:sz w:val="22"/>
        </w:rPr>
        <w:t>业务测算退款后GMV：由业务及CMK根据平台数据测算的退款后GMV</w:t>
      </w:r>
    </w:p>
    <w:p>
      <w:pPr>
        <w:spacing w:before="120" w:after="120" w:line="288" w:lineRule="auto"/>
        <w:ind w:left="0"/>
        <w:jc w:val="left"/>
      </w:pPr>
      <w:r>
        <w:rPr>
          <w:rFonts w:eastAsia="等线" w:ascii="Arial" w:cs="Arial" w:hAnsi="Arial"/>
          <w:sz w:val="22"/>
        </w:rPr>
        <w:t>优惠前</w:t>
      </w:r>
      <w:r>
        <w:rPr>
          <w:rFonts w:eastAsia="等线" w:ascii="Arial" w:cs="Arial" w:hAnsi="Arial"/>
          <w:sz w:val="22"/>
        </w:rPr>
        <w:t>GMV</w:t>
      </w:r>
      <w:r>
        <w:rPr>
          <w:rFonts w:eastAsia="等线" w:ascii="Arial" w:cs="Arial" w:hAnsi="Arial"/>
          <w:sz w:val="22"/>
        </w:rPr>
        <w:t>：客户全额支付的订单中非赠品销售产成品的销量*</w:t>
      </w:r>
      <w:r>
        <w:rPr>
          <w:rFonts w:eastAsia="等线" w:ascii="Arial" w:cs="Arial" w:hAnsi="Arial"/>
          <w:sz w:val="22"/>
        </w:rPr>
        <w:t>SKU</w:t>
      </w:r>
      <w:r>
        <w:rPr>
          <w:rFonts w:eastAsia="等线" w:ascii="Arial" w:cs="Arial" w:hAnsi="Arial"/>
          <w:sz w:val="22"/>
        </w:rPr>
        <w:t>标准零售价</w:t>
      </w:r>
    </w:p>
    <w:p>
      <w:pPr>
        <w:spacing w:before="120" w:after="120" w:line="288" w:lineRule="auto"/>
        <w:ind w:left="0"/>
        <w:jc w:val="left"/>
      </w:pPr>
      <w:r>
        <w:rPr>
          <w:rFonts w:eastAsia="等线" w:ascii="Arial" w:cs="Arial" w:hAnsi="Arial"/>
          <w:sz w:val="22"/>
        </w:rPr>
        <w:t>商家折扣：优惠前</w:t>
      </w:r>
      <w:r>
        <w:rPr>
          <w:rFonts w:eastAsia="等线" w:ascii="Arial" w:cs="Arial" w:hAnsi="Arial"/>
          <w:sz w:val="22"/>
        </w:rPr>
        <w:t>GMV</w:t>
      </w:r>
      <w:r>
        <w:rPr>
          <w:rFonts w:eastAsia="等线" w:ascii="Arial" w:cs="Arial" w:hAnsi="Arial"/>
          <w:sz w:val="22"/>
        </w:rPr>
        <w:t>与退款前GMV的差值，包括积分抵扣、储值卡权益金、运营降价等商家承担的优惠金额</w:t>
      </w:r>
    </w:p>
    <w:p>
      <w:pPr>
        <w:spacing w:before="120" w:after="120" w:line="288" w:lineRule="auto"/>
        <w:ind w:left="0"/>
        <w:jc w:val="left"/>
      </w:pPr>
      <w:r>
        <w:rPr>
          <w:rFonts w:eastAsia="等线" w:ascii="Arial" w:cs="Arial" w:hAnsi="Arial"/>
          <w:sz w:val="22"/>
        </w:rPr>
        <w:t>赠品金额：已全额支付的订单中的赠品数量*该赠品</w:t>
      </w:r>
      <w:r>
        <w:rPr>
          <w:rFonts w:eastAsia="等线" w:ascii="Arial" w:cs="Arial" w:hAnsi="Arial"/>
          <w:sz w:val="22"/>
        </w:rPr>
        <w:t>SKU</w:t>
      </w:r>
      <w:r>
        <w:rPr>
          <w:rFonts w:eastAsia="等线" w:ascii="Arial" w:cs="Arial" w:hAnsi="Arial"/>
          <w:sz w:val="22"/>
        </w:rPr>
        <w:t>的标准</w:t>
      </w:r>
      <w:r>
        <w:rPr>
          <w:rFonts w:eastAsia="等线" w:ascii="Arial" w:cs="Arial" w:hAnsi="Arial"/>
          <w:sz w:val="22"/>
        </w:rPr>
        <w:t>零售</w:t>
      </w:r>
      <w:r>
        <w:rPr>
          <w:rFonts w:eastAsia="等线" w:ascii="Arial" w:cs="Arial" w:hAnsi="Arial"/>
          <w:sz w:val="22"/>
        </w:rPr>
        <w:t>价</w:t>
      </w:r>
    </w:p>
    <w:p>
      <w:pPr>
        <w:spacing w:before="120" w:after="120" w:line="288" w:lineRule="auto"/>
        <w:ind w:left="0"/>
        <w:jc w:val="left"/>
      </w:pPr>
      <w:r>
        <w:rPr>
          <w:rFonts w:eastAsia="等线" w:ascii="Arial" w:cs="Arial" w:hAnsi="Arial"/>
          <w:sz w:val="22"/>
        </w:rPr>
        <w:t>财务净收入：正向收入确认金额（税后）- 收入确认后的退款金额（税后）</w:t>
      </w:r>
    </w:p>
    <w:p>
      <w:pPr>
        <w:spacing w:before="120" w:after="120" w:line="288" w:lineRule="auto"/>
        <w:ind w:left="0"/>
        <w:jc w:val="left"/>
      </w:pPr>
      <w:r>
        <w:rPr>
          <w:rFonts w:eastAsia="等线" w:ascii="Arial" w:cs="Arial" w:hAnsi="Arial"/>
          <w:sz w:val="22"/>
        </w:rPr>
        <w:t xml:space="preserve">营销费用：根据营销费用的一级预算科目展开显示各项营销费用金额（含税） </w:t>
        <w:br/>
      </w:r>
      <w:r>
        <w:rPr>
          <w:rFonts w:eastAsia="等线" w:ascii="Arial" w:cs="Arial" w:hAnsi="Arial"/>
          <w:sz w:val="22"/>
        </w:rPr>
        <w:t xml:space="preserve">费比：营销费用（含税）/退款后GMV   </w:t>
      </w:r>
    </w:p>
    <w:p>
      <w:pPr>
        <w:spacing w:before="120" w:after="120" w:line="288" w:lineRule="auto"/>
        <w:ind w:left="0"/>
        <w:jc w:val="left"/>
      </w:pPr>
    </w:p>
    <w:p>
      <w:pPr>
        <w:spacing w:before="120" w:after="120" w:line="288" w:lineRule="auto"/>
        <w:ind w:left="0"/>
        <w:jc w:val="left"/>
      </w:pPr>
      <w:r>
        <w:rPr>
          <w:rFonts w:eastAsia="等线" w:ascii="Arial" w:cs="Arial" w:hAnsi="Arial"/>
          <w:sz w:val="22"/>
        </w:rPr>
        <w:t>RPA</w:t>
      </w:r>
      <w:r>
        <w:rPr>
          <w:rFonts w:eastAsia="等线" w:ascii="Arial" w:cs="Arial" w:hAnsi="Arial"/>
          <w:b w:val="true"/>
          <w:sz w:val="22"/>
        </w:rPr>
        <w:t>数据来源：</w:t>
      </w:r>
    </w:p>
    <w:p>
      <w:pPr>
        <w:spacing w:before="120" w:after="120" w:line="288" w:lineRule="auto"/>
        <w:ind w:left="0"/>
        <w:jc w:val="left"/>
      </w:pPr>
      <w:r>
        <w:rPr>
          <w:rFonts w:eastAsia="等线" w:ascii="Arial" w:cs="Arial" w:hAnsi="Arial"/>
          <w:b w:val="true"/>
          <w:sz w:val="22"/>
        </w:rPr>
        <w:t>直播类</w:t>
      </w:r>
      <w:r>
        <w:rPr>
          <w:rFonts w:eastAsia="等线" w:ascii="Arial" w:cs="Arial" w:hAnsi="Arial"/>
          <w:b w:val="true"/>
          <w:sz w:val="22"/>
        </w:rPr>
        <w:t>营销费用</w:t>
      </w:r>
      <w:r>
        <w:rPr>
          <w:rFonts w:eastAsia="等线" w:ascii="Arial" w:cs="Arial" w:hAnsi="Arial"/>
          <w:b w:val="true"/>
          <w:sz w:val="22"/>
        </w:rPr>
        <w:t>：</w:t>
      </w:r>
    </w:p>
    <w:p>
      <w:pPr>
        <w:spacing w:before="120" w:after="120" w:line="288" w:lineRule="auto"/>
        <w:ind w:left="0"/>
        <w:jc w:val="left"/>
      </w:pPr>
      <w:r>
        <w:rPr>
          <w:rFonts w:eastAsia="等线" w:ascii="Arial" w:cs="Arial" w:hAnsi="Arial"/>
          <w:sz w:val="22"/>
        </w:rPr>
        <w:t>淘宝客：路径：淘宝联盟-数据分析-CPS订单明细-成交订单明细-下载报表，路径：淘宝联盟-数据分析-CPS订单明细-维权退款订单明细-下载报表</w:t>
      </w:r>
    </w:p>
    <w:p>
      <w:pPr>
        <w:spacing w:before="120" w:after="120" w:line="288" w:lineRule="auto"/>
        <w:ind w:left="0"/>
        <w:jc w:val="left"/>
      </w:pPr>
      <w:r>
        <w:rPr>
          <w:rFonts w:eastAsia="等线" w:ascii="Arial" w:cs="Arial" w:hAnsi="Arial"/>
          <w:sz w:val="22"/>
        </w:rPr>
        <w:t>热浪引擎：路径：热浪引擎-个人中心-未出账订单-下载报表</w:t>
      </w:r>
    </w:p>
    <w:p>
      <w:pPr>
        <w:spacing w:before="120" w:after="120" w:line="288" w:lineRule="auto"/>
        <w:ind w:left="0"/>
        <w:jc w:val="left"/>
      </w:pPr>
      <w:r>
        <w:rPr>
          <w:rFonts w:eastAsia="等线" w:ascii="Arial" w:cs="Arial" w:hAnsi="Arial"/>
          <w:sz w:val="22"/>
        </w:rPr>
        <w:t>生意参谋：路径：淘宝直播-数据-直播业绩-直播订单明细-下载</w:t>
      </w:r>
    </w:p>
    <w:p>
      <w:pPr>
        <w:spacing w:before="120" w:after="120" w:line="288" w:lineRule="auto"/>
        <w:ind w:left="0"/>
        <w:jc w:val="left"/>
      </w:pPr>
      <w:r>
        <w:rPr>
          <w:rFonts w:eastAsia="等线" w:ascii="Arial" w:cs="Arial" w:hAnsi="Arial"/>
          <w:sz w:val="22"/>
        </w:rPr>
        <w:t>精选联盟：路径：抖音-巨量百应-精选联盟-看数据-精选联盟订单明细-导出数据</w:t>
      </w:r>
    </w:p>
    <w:p>
      <w:pPr>
        <w:spacing w:before="120" w:after="120" w:line="288" w:lineRule="auto"/>
        <w:ind w:left="0"/>
        <w:jc w:val="left"/>
      </w:pPr>
      <w:r>
        <w:rPr>
          <w:rFonts w:eastAsia="等线" w:ascii="Arial" w:cs="Arial" w:hAnsi="Arial"/>
          <w:sz w:val="22"/>
        </w:rPr>
        <w:t>快手-订单明细：路径：快手小店-订单-订单管理-订单查询-批量导出</w:t>
      </w:r>
    </w:p>
    <w:p>
      <w:pPr>
        <w:spacing w:before="120" w:after="120" w:line="288" w:lineRule="auto"/>
        <w:ind w:left="0" w:firstLine="0"/>
        <w:jc w:val="left"/>
      </w:pPr>
      <w:r>
        <w:rPr>
          <w:rFonts w:eastAsia="等线" w:ascii="Arial" w:cs="Arial" w:hAnsi="Arial"/>
          <w:sz w:val="22"/>
        </w:rPr>
        <w:t>唯品会-达人卖货-订单明细：路径：唯品会营销平台-投放管理-达人卖货-订单明细-导出</w:t>
      </w:r>
    </w:p>
    <w:p>
      <w:pPr>
        <w:spacing w:before="120" w:after="120" w:line="288" w:lineRule="auto"/>
        <w:ind w:left="0"/>
        <w:jc w:val="left"/>
      </w:pPr>
      <w:r>
        <w:rPr>
          <w:rFonts w:eastAsia="等线" w:ascii="Arial" w:cs="Arial" w:hAnsi="Arial"/>
          <w:b w:val="true"/>
          <w:sz w:val="22"/>
        </w:rPr>
        <w:t>投放类</w:t>
      </w:r>
      <w:r>
        <w:rPr>
          <w:rFonts w:eastAsia="等线" w:ascii="Arial" w:cs="Arial" w:hAnsi="Arial"/>
          <w:b w:val="true"/>
          <w:sz w:val="22"/>
        </w:rPr>
        <w:t>营销费用</w:t>
      </w:r>
      <w:r>
        <w:rPr>
          <w:rFonts w:eastAsia="等线" w:ascii="Arial" w:cs="Arial" w:hAnsi="Arial"/>
          <w:b w:val="true"/>
          <w:sz w:val="22"/>
        </w:rPr>
        <w:t>：</w:t>
      </w:r>
      <w:r>
        <w:rPr>
          <w:rFonts w:eastAsia="等线" w:ascii="Arial" w:cs="Arial" w:hAnsi="Arial"/>
          <w:sz w:val="22"/>
        </w:rPr>
        <w:br/>
      </w:r>
      <w:r>
        <w:rPr>
          <w:rFonts w:eastAsia="等线" w:ascii="Arial" w:cs="Arial" w:hAnsi="Arial"/>
          <w:sz w:val="22"/>
        </w:rPr>
        <w:t>天猫-直通车：路径：阿里妈妈-直通车-报表-计划报表-计划列表-下载</w:t>
      </w:r>
    </w:p>
    <w:p>
      <w:pPr>
        <w:spacing w:before="120" w:after="120" w:line="288" w:lineRule="auto"/>
        <w:ind w:left="0"/>
        <w:jc w:val="left"/>
      </w:pPr>
      <w:r>
        <w:rPr>
          <w:rFonts w:eastAsia="等线" w:ascii="Arial" w:cs="Arial" w:hAnsi="Arial"/>
          <w:sz w:val="22"/>
        </w:rPr>
        <w:t>引力魔方：路径：阿里妈妈-引力魔方-报表-下载以下表格数据</w:t>
      </w:r>
    </w:p>
    <w:p>
      <w:pPr>
        <w:spacing w:before="120" w:after="120" w:line="288" w:lineRule="auto"/>
        <w:ind w:left="0"/>
        <w:jc w:val="left"/>
      </w:pPr>
      <w:r>
        <w:rPr>
          <w:rFonts w:eastAsia="等线" w:ascii="Arial" w:cs="Arial" w:hAnsi="Arial"/>
          <w:sz w:val="22"/>
        </w:rPr>
        <w:t>万相台-(拉新快、上新快、货品加速、活动加速、会员快)：路径：阿里妈妈-万相台-报表-批量报表下载-批量下载</w:t>
      </w:r>
    </w:p>
    <w:p>
      <w:pPr>
        <w:spacing w:before="120" w:after="120" w:line="288" w:lineRule="auto"/>
        <w:ind w:left="0"/>
        <w:jc w:val="left"/>
      </w:pPr>
      <w:r>
        <w:rPr>
          <w:rFonts w:eastAsia="等线" w:ascii="Arial" w:cs="Arial" w:hAnsi="Arial"/>
          <w:sz w:val="22"/>
        </w:rPr>
        <w:t xml:space="preserve">万相台-超级直播：路径：阿里妈妈-万相台-报表-内容营销-超级直播-下载报表        </w:t>
      </w:r>
    </w:p>
    <w:p>
      <w:pPr>
        <w:spacing w:before="120" w:after="120" w:line="288" w:lineRule="auto"/>
        <w:ind w:left="0"/>
        <w:jc w:val="left"/>
      </w:pPr>
      <w:r>
        <w:rPr>
          <w:rFonts w:eastAsia="等线" w:ascii="Arial" w:cs="Arial" w:hAnsi="Arial"/>
          <w:sz w:val="22"/>
        </w:rPr>
        <w:t>万相台-超级短视频：路径：阿里妈妈-万相台-报表-内容营销-超级短视频-下载报表</w:t>
      </w:r>
    </w:p>
    <w:p>
      <w:pPr>
        <w:spacing w:before="120" w:after="120" w:line="288" w:lineRule="auto"/>
        <w:ind w:left="0"/>
        <w:jc w:val="left"/>
      </w:pPr>
      <w:r>
        <w:rPr>
          <w:rFonts w:eastAsia="等线" w:ascii="Arial" w:cs="Arial" w:hAnsi="Arial"/>
          <w:sz w:val="22"/>
        </w:rPr>
        <w:t>抖音-AD信息流：路径：巨量引擎-分析-数据与工具-BI工具-图表-【业财-广告计划报表2.0】-编辑-下载数据；路径： 巨量引擎-分析-数据与工具-BI工具-图表-【业财-广告计划报表1.0】-编辑-下载数据</w:t>
        <w:br/>
      </w:r>
      <w:r>
        <w:rPr>
          <w:rFonts w:eastAsia="等线" w:ascii="Arial" w:cs="Arial" w:hAnsi="Arial"/>
          <w:sz w:val="22"/>
        </w:rPr>
        <w:t>巨量千川：路径：巨量引擎-推广-巨量千川-【竞价广告】-【账户】-导出数据；路径：巨量引擎-推广-巨量千川-【品牌广告】-【账户】-导出数据</w:t>
      </w:r>
    </w:p>
    <w:p>
      <w:pPr>
        <w:spacing w:before="120" w:after="120" w:line="288" w:lineRule="auto"/>
        <w:ind w:left="0"/>
        <w:jc w:val="left"/>
      </w:pPr>
      <w:r>
        <w:rPr>
          <w:rFonts w:eastAsia="等线" w:ascii="Arial" w:cs="Arial" w:hAnsi="Arial"/>
          <w:sz w:val="22"/>
        </w:rPr>
        <w:t>抖音-DOU+：路径：DOU+-数据分析-账号分析-数据导出</w:t>
      </w:r>
    </w:p>
    <w:p>
      <w:pPr>
        <w:spacing w:before="120" w:after="120" w:line="288" w:lineRule="auto"/>
        <w:ind w:left="0"/>
        <w:jc w:val="left"/>
      </w:pPr>
      <w:r>
        <w:rPr>
          <w:rFonts w:eastAsia="等线" w:ascii="Arial" w:cs="Arial" w:hAnsi="Arial"/>
          <w:sz w:val="22"/>
        </w:rPr>
        <w:t>抖音-官号DOU+：路径：DOU+-数据分析-账号分析-数据导出</w:t>
      </w:r>
    </w:p>
    <w:p>
      <w:pPr>
        <w:spacing w:before="120" w:after="120" w:line="288" w:lineRule="auto"/>
        <w:ind w:left="0"/>
        <w:jc w:val="left"/>
      </w:pPr>
      <w:r>
        <w:rPr>
          <w:rFonts w:eastAsia="等线" w:ascii="Arial" w:cs="Arial" w:hAnsi="Arial"/>
          <w:sz w:val="22"/>
        </w:rPr>
        <w:t>抖音-矩阵号DOU+：路径：DOU+-数据分析-账号分析-数据导出</w:t>
        <w:br/>
      </w:r>
      <w:r>
        <w:rPr>
          <w:rFonts w:eastAsia="等线" w:ascii="Arial" w:cs="Arial" w:hAnsi="Arial"/>
          <w:sz w:val="22"/>
        </w:rPr>
        <w:t>内容热推：由供应商不定期发邮件至邮箱，通过邮件中的附件进行</w:t>
      </w:r>
      <w:r>
        <w:rPr>
          <w:rFonts w:eastAsia="等线" w:ascii="Arial" w:cs="Arial" w:hAnsi="Arial"/>
          <w:sz w:val="22"/>
        </w:rPr>
        <w:t>RPA</w:t>
      </w:r>
      <w:r>
        <w:rPr>
          <w:rFonts w:eastAsia="等线" w:ascii="Arial" w:cs="Arial" w:hAnsi="Arial"/>
          <w:sz w:val="22"/>
        </w:rPr>
        <w:t>入库</w:t>
      </w:r>
    </w:p>
    <w:p>
      <w:pPr>
        <w:spacing w:before="120" w:after="120" w:line="288" w:lineRule="auto"/>
        <w:ind w:left="0"/>
        <w:jc w:val="left"/>
      </w:pPr>
      <w:r>
        <w:rPr>
          <w:rFonts w:eastAsia="等线" w:ascii="Arial" w:cs="Arial" w:hAnsi="Arial"/>
          <w:sz w:val="22"/>
        </w:rPr>
        <w:t>快手-磁力引擎：路径：快手-磁力智投-【选择账户】-报表-返回旧版报表页面-广告计划报表-下载数据</w:t>
      </w:r>
    </w:p>
    <w:p>
      <w:pPr>
        <w:spacing w:before="120" w:after="120" w:line="288" w:lineRule="auto"/>
        <w:ind w:left="0"/>
        <w:jc w:val="left"/>
      </w:pPr>
      <w:r>
        <w:rPr>
          <w:rFonts w:eastAsia="等线" w:ascii="Arial" w:cs="Arial" w:hAnsi="Arial"/>
          <w:sz w:val="22"/>
        </w:rPr>
        <w:t>磁力金牛：路径：快手-磁力金牛-【选择账户】-磁力罗盘-分析-账户分析-磁力金牛PC-下载</w:t>
        <w:br/>
      </w:r>
      <w:r>
        <w:rPr>
          <w:rFonts w:eastAsia="等线" w:ascii="Arial" w:cs="Arial" w:hAnsi="Arial"/>
          <w:sz w:val="22"/>
        </w:rPr>
        <w:t>京东-智能投放： 路径：京准通-智能投放-数据报表-账户报表-计划总览-查询-下载</w:t>
      </w:r>
    </w:p>
    <w:p>
      <w:pPr>
        <w:spacing w:before="120" w:after="120" w:line="288" w:lineRule="auto"/>
        <w:ind w:left="0"/>
        <w:jc w:val="left"/>
      </w:pPr>
      <w:r>
        <w:rPr>
          <w:rFonts w:eastAsia="等线" w:ascii="Arial" w:cs="Arial" w:hAnsi="Arial"/>
          <w:sz w:val="22"/>
        </w:rPr>
        <w:t>互动广告：路径：京准通-互动广告-数据报表-账户报表-计划总览-查询-下载</w:t>
      </w:r>
    </w:p>
    <w:p>
      <w:pPr>
        <w:spacing w:before="120" w:after="120" w:line="288" w:lineRule="auto"/>
        <w:ind w:left="0"/>
        <w:jc w:val="left"/>
      </w:pPr>
      <w:r>
        <w:rPr>
          <w:rFonts w:eastAsia="等线" w:ascii="Arial" w:cs="Arial" w:hAnsi="Arial"/>
          <w:sz w:val="22"/>
        </w:rPr>
        <w:t>站外广告：路径：京准通-站外广告-概览报表-查询-下载</w:t>
      </w:r>
    </w:p>
    <w:p>
      <w:pPr>
        <w:spacing w:before="120" w:after="120" w:line="288" w:lineRule="auto"/>
        <w:ind w:left="0"/>
        <w:jc w:val="left"/>
      </w:pPr>
      <w:r>
        <w:rPr>
          <w:rFonts w:eastAsia="等线" w:ascii="Arial" w:cs="Arial" w:hAnsi="Arial"/>
          <w:sz w:val="22"/>
        </w:rPr>
        <w:t>快车：路径：京准通-快车-数据报表-账户报表-推广计划报表-查询-下载</w:t>
      </w:r>
    </w:p>
    <w:p>
      <w:pPr>
        <w:spacing w:before="120" w:after="120" w:line="288" w:lineRule="auto"/>
        <w:ind w:left="0"/>
        <w:jc w:val="left"/>
      </w:pPr>
      <w:r>
        <w:rPr>
          <w:rFonts w:eastAsia="等线" w:ascii="Arial" w:cs="Arial" w:hAnsi="Arial"/>
          <w:sz w:val="22"/>
        </w:rPr>
        <w:t>推荐广告：路径：京准通-推荐广告-数据报表-账户报表-推广计划报表-查询-下载</w:t>
      </w:r>
    </w:p>
    <w:p>
      <w:pPr>
        <w:spacing w:before="120" w:after="120" w:line="288" w:lineRule="auto"/>
        <w:ind w:left="0"/>
        <w:jc w:val="left"/>
      </w:pPr>
      <w:r>
        <w:rPr>
          <w:rFonts w:eastAsia="等线" w:ascii="Arial" w:cs="Arial" w:hAnsi="Arial"/>
          <w:sz w:val="22"/>
        </w:rPr>
        <w:t>唯品会：Target-Max：路径：唯品会营销平台-投放管理-Target-Max-推广计划-导出</w:t>
        <w:br/>
      </w:r>
      <w:r>
        <w:rPr>
          <w:rFonts w:eastAsia="等线" w:ascii="Arial" w:cs="Arial" w:hAnsi="Arial"/>
          <w:sz w:val="22"/>
        </w:rPr>
        <w:t>唯智展：路径：唯品会营销平台-投放管理-唯智展-推广计划-导出</w:t>
      </w:r>
    </w:p>
    <w:p>
      <w:pPr>
        <w:spacing w:before="120" w:after="120" w:line="288" w:lineRule="auto"/>
        <w:ind w:left="0"/>
        <w:jc w:val="left"/>
      </w:pPr>
      <w:r>
        <w:rPr>
          <w:rFonts w:eastAsia="等线" w:ascii="Arial" w:cs="Arial" w:hAnsi="Arial"/>
          <w:sz w:val="22"/>
        </w:rPr>
        <w:t>唯触点：路径：唯品会营销平台-投放管理-唯触点-推广计划-导出</w:t>
        <w:br/>
      </w:r>
      <w:r>
        <w:rPr>
          <w:rFonts w:eastAsia="等线" w:ascii="Arial" w:cs="Arial" w:hAnsi="Arial"/>
          <w:sz w:val="22"/>
        </w:rPr>
        <w:t>唯直达：路径：唯品会营销平台-投放管理-唯直达-推广计划-导出</w:t>
      </w:r>
    </w:p>
    <w:p>
      <w:pPr>
        <w:spacing w:before="120" w:after="120" w:line="288" w:lineRule="auto"/>
        <w:ind w:left="0"/>
        <w:jc w:val="left"/>
      </w:pPr>
      <w:r>
        <w:rPr>
          <w:rFonts w:eastAsia="等线" w:ascii="Arial" w:cs="Arial" w:hAnsi="Arial"/>
          <w:sz w:val="22"/>
        </w:rPr>
        <w:t>移动精选：路径：唯品会营销平台-投放管理-移动精选-推广计划-导出</w:t>
      </w:r>
    </w:p>
    <w:p>
      <w:pPr>
        <w:spacing w:before="120" w:after="120" w:line="288" w:lineRule="auto"/>
        <w:ind w:left="0"/>
        <w:jc w:val="left"/>
      </w:pPr>
      <w:r>
        <w:rPr>
          <w:rFonts w:eastAsia="等线" w:ascii="Arial" w:cs="Arial" w:hAnsi="Arial"/>
          <w:sz w:val="22"/>
        </w:rPr>
        <w:t>腾讯广告：路径：唯品会营销平台-投放管理-腾讯广告-推广计划-导出</w:t>
      </w:r>
    </w:p>
    <w:p>
      <w:pPr>
        <w:spacing w:before="120" w:after="120" w:line="288" w:lineRule="auto"/>
        <w:ind w:left="0"/>
        <w:jc w:val="left"/>
      </w:pPr>
      <w:r>
        <w:rPr>
          <w:rFonts w:eastAsia="等线" w:ascii="Arial" w:cs="Arial" w:hAnsi="Arial"/>
          <w:sz w:val="22"/>
        </w:rPr>
        <w:t>巨量引擎：路径：唯品会营销平台-投放管理-巨量引擎-推广计划-导出</w:t>
      </w:r>
    </w:p>
    <w:p>
      <w:pPr>
        <w:spacing w:before="120" w:after="120" w:line="288" w:lineRule="auto"/>
        <w:ind w:left="0"/>
        <w:jc w:val="left"/>
      </w:pPr>
      <w:r>
        <w:rPr>
          <w:rFonts w:eastAsia="等线" w:ascii="Arial" w:cs="Arial" w:hAnsi="Arial"/>
          <w:sz w:val="22"/>
        </w:rPr>
        <w:t>拼多多：全站推广： 路径：拼多多-推广平台-报表-报表下载工具-生成报表-下载</w:t>
        <w:br/>
        <w:t>多多搜索：路径：拼多多-推广平台-报表-报表下载工具-生成报表-下载</w:t>
        <w:br/>
        <w:t>多多场景：路径：拼多多-推广平台-报表-报表下载工具-生成报表-下载</w:t>
        <w:br/>
      </w:r>
      <w:r>
        <w:rPr>
          <w:rFonts w:eastAsia="等线" w:ascii="Arial" w:cs="Arial" w:hAnsi="Arial"/>
          <w:sz w:val="22"/>
        </w:rPr>
        <w:t>明星店铺：路径：拼多多-推广平台-报表-报表下载工具-生成报表-下载</w:t>
      </w:r>
    </w:p>
    <w:p>
      <w:pPr>
        <w:spacing w:before="120" w:after="120" w:line="288" w:lineRule="auto"/>
        <w:ind w:left="0"/>
        <w:jc w:val="left"/>
      </w:pPr>
      <w:r>
        <w:rPr>
          <w:rFonts w:eastAsia="等线" w:ascii="Arial" w:cs="Arial" w:hAnsi="Arial"/>
          <w:sz w:val="22"/>
        </w:rPr>
        <w:t>小红书：路径：小红书聚光-【进入账号】-报表-广告计划-下载表格</w:t>
      </w:r>
    </w:p>
    <w:p>
      <w:pPr>
        <w:spacing w:before="120" w:after="120" w:line="288" w:lineRule="auto"/>
        <w:ind w:left="0"/>
        <w:jc w:val="left"/>
      </w:pPr>
      <w:r>
        <w:rPr>
          <w:rFonts w:eastAsia="等线" w:ascii="Arial" w:cs="Arial" w:hAnsi="Arial"/>
          <w:sz w:val="22"/>
        </w:rPr>
        <w:t>B站：路径：B站-客户管理-三连推广-【选择账户】-三连推广-报表-下载报表</w:t>
      </w:r>
    </w:p>
    <w:p>
      <w:pPr>
        <w:spacing w:before="120" w:after="120" w:line="288" w:lineRule="auto"/>
        <w:ind w:left="0"/>
        <w:jc w:val="left"/>
      </w:pPr>
      <w:r>
        <w:rPr>
          <w:rFonts w:eastAsia="等线" w:ascii="Arial" w:cs="Arial" w:hAnsi="Arial"/>
          <w:sz w:val="22"/>
        </w:rPr>
        <w:t>微信-ADQ：路径： 腾讯广告-客户-【选择客户】-投放广告-报表-效果数据-数据报表-下载报表，粉丝通-报表-广告计划报表</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4"/>
      <w:headerReference w:type="first" r:id="rId5"/>
      <w:headerReference w:type="even"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耿江华 8743"/>
          <v:fill opacity="0.3"/>
        </v:shape>
      </w:pict>
    </w:r>
  </w:p>
</w:hdr>
</file>

<file path=word/header2.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header3.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3" o:spid="_x0000_s1027"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 Id="rId5" Target="header2.xml" Type="http://schemas.openxmlformats.org/officeDocument/2006/relationships/header"/><Relationship Id="rId6" Target="header3.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2023-12-01T03:40:22Z</dcterms:created>
  <dc:creator>Apache POI</dc:creator>
</cp:coreProperties>
</file>