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月报看板说明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月</w:t>
      </w:r>
      <w:r>
        <w:rPr>
          <w:rFonts w:eastAsia="等线" w:ascii="Arial" w:cs="Arial" w:hAnsi="Arial"/>
          <w:b w:val="true"/>
          <w:sz w:val="22"/>
        </w:rPr>
        <w:t>报看板说明（“说明”生效日期：2023年9月8日）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月报生成时间：</w:t>
      </w:r>
      <w:r>
        <w:rPr>
          <w:rFonts w:eastAsia="等线" w:ascii="Arial" w:cs="Arial" w:hAnsi="Arial"/>
          <w:sz w:val="22"/>
        </w:rPr>
        <w:br/>
      </w:r>
      <w:r>
        <w:rPr>
          <w:rFonts w:eastAsia="等线" w:ascii="Arial" w:cs="Arial" w:hAnsi="Arial"/>
          <w:sz w:val="22"/>
        </w:rPr>
        <w:t>1，每月</w:t>
      </w:r>
      <w:r>
        <w:rPr>
          <w:rFonts w:eastAsia="等线" w:ascii="Arial" w:cs="Arial" w:hAnsi="Arial"/>
          <w:sz w:val="22"/>
        </w:rPr>
        <w:t>结束后第3到5个工作日（例：2023年9月</w:t>
      </w:r>
      <w:r>
        <w:rPr>
          <w:rFonts w:eastAsia="等线" w:ascii="Arial" w:cs="Arial" w:hAnsi="Arial"/>
          <w:sz w:val="22"/>
        </w:rPr>
        <w:t>8号</w:t>
      </w:r>
      <w:r>
        <w:rPr>
          <w:rFonts w:eastAsia="等线" w:ascii="Arial" w:cs="Arial" w:hAnsi="Arial"/>
          <w:sz w:val="22"/>
        </w:rPr>
        <w:t>）</w:t>
      </w:r>
      <w:r>
        <w:rPr>
          <w:rFonts w:eastAsia="等线" w:ascii="Arial" w:cs="Arial" w:hAnsi="Arial"/>
          <w:sz w:val="22"/>
        </w:rPr>
        <w:t>上午9点，“财务月报”输出</w:t>
      </w:r>
      <w:r>
        <w:rPr>
          <w:rFonts w:eastAsia="等线" w:ascii="Arial" w:cs="Arial" w:hAnsi="Arial"/>
          <w:sz w:val="22"/>
        </w:rPr>
        <w:t>上个月报表数据：</w:t>
      </w:r>
    </w:p>
    <w:p>
      <w:pPr>
        <w:spacing w:before="120" w:after="120" w:line="288" w:lineRule="auto"/>
        <w:ind w:left="0"/>
        <w:jc w:val="left"/>
      </w:pPr>
      <w:r>
        <w:rPr>
          <w:rFonts w:eastAsia="等线" w:ascii="Arial" w:cs="Arial" w:hAnsi="Arial"/>
          <w:sz w:val="22"/>
        </w:rPr>
        <w:t xml:space="preserve">（1）收入 - </w:t>
      </w:r>
      <w:r>
        <w:rPr>
          <w:rFonts w:eastAsia="等线" w:ascii="Arial" w:cs="Arial" w:hAnsi="Arial"/>
          <w:sz w:val="22"/>
        </w:rPr>
        <w:t>渠道/店铺</w:t>
      </w:r>
      <w:r>
        <w:rPr>
          <w:rFonts w:eastAsia="等线" w:ascii="Arial" w:cs="Arial" w:hAnsi="Arial"/>
          <w:sz w:val="22"/>
        </w:rPr>
        <w:t>/业务单元</w:t>
      </w:r>
      <w:r>
        <w:rPr>
          <w:rFonts w:eastAsia="等线" w:ascii="Arial" w:cs="Arial" w:hAnsi="Arial"/>
          <w:sz w:val="22"/>
        </w:rPr>
        <w:t>/品类</w:t>
      </w:r>
      <w:r>
        <w:rPr>
          <w:rFonts w:eastAsia="等线" w:ascii="Arial" w:cs="Arial" w:hAnsi="Arial"/>
          <w:sz w:val="22"/>
        </w:rPr>
        <w:t>维度</w:t>
      </w:r>
      <w:r>
        <w:rPr>
          <w:rFonts w:eastAsia="等线" w:ascii="Arial" w:cs="Arial" w:hAnsi="Arial"/>
          <w:sz w:val="22"/>
        </w:rPr>
        <w:t>；</w:t>
      </w:r>
      <w:r>
        <w:rPr>
          <w:rFonts w:eastAsia="等线" w:ascii="Arial" w:cs="Arial" w:hAnsi="Arial"/>
          <w:sz w:val="22"/>
        </w:rPr>
        <w:t>（退款前</w:t>
      </w:r>
      <w:r>
        <w:rPr>
          <w:rFonts w:eastAsia="等线" w:ascii="Arial" w:cs="Arial" w:hAnsi="Arial"/>
          <w:sz w:val="22"/>
        </w:rPr>
        <w:t>GMV</w:t>
      </w:r>
      <w:r>
        <w:rPr>
          <w:rFonts w:eastAsia="等线" w:ascii="Arial" w:cs="Arial" w:hAnsi="Arial"/>
          <w:sz w:val="22"/>
        </w:rPr>
        <w:t>，退款后GMV，财务净收入</w:t>
      </w:r>
      <w:r>
        <w:rPr>
          <w:rFonts w:eastAsia="等线" w:ascii="Arial" w:cs="Arial" w:hAnsi="Arial"/>
          <w:sz w:val="22"/>
        </w:rPr>
        <w:t>指标</w:t>
      </w:r>
      <w:r>
        <w:rPr>
          <w:rFonts w:eastAsia="等线" w:ascii="Arial" w:cs="Arial" w:hAnsi="Arial"/>
          <w:sz w:val="22"/>
        </w:rPr>
        <w:t>）</w:t>
      </w:r>
      <w:r>
        <w:rPr>
          <w:rFonts w:eastAsia="等线" w:ascii="Arial" w:cs="Arial" w:hAnsi="Arial"/>
          <w:sz w:val="22"/>
        </w:rPr>
        <w:t>；</w:t>
      </w:r>
    </w:p>
    <w:p>
      <w:pPr>
        <w:spacing w:before="120" w:after="120" w:line="288" w:lineRule="auto"/>
        <w:ind w:left="0"/>
        <w:jc w:val="left"/>
      </w:pPr>
      <w:r>
        <w:rPr>
          <w:rFonts w:eastAsia="等线" w:ascii="Arial" w:cs="Arial" w:hAnsi="Arial"/>
          <w:sz w:val="22"/>
        </w:rPr>
        <w:t>（2）成本 - 产品，赠品；</w:t>
      </w:r>
    </w:p>
    <w:p>
      <w:pPr>
        <w:spacing w:before="120" w:after="120" w:line="288" w:lineRule="auto"/>
        <w:ind w:left="0"/>
        <w:jc w:val="left"/>
      </w:pPr>
      <w:r>
        <w:rPr>
          <w:rFonts w:eastAsia="等线" w:ascii="Arial" w:cs="Arial" w:hAnsi="Arial"/>
          <w:sz w:val="22"/>
        </w:rPr>
        <w:t>（3）营销费用；</w:t>
      </w:r>
    </w:p>
    <w:p>
      <w:pPr>
        <w:spacing w:before="120" w:after="120" w:line="288" w:lineRule="auto"/>
        <w:ind w:left="0"/>
        <w:jc w:val="left"/>
      </w:pPr>
      <w:r>
        <w:rPr>
          <w:rFonts w:eastAsia="等线" w:ascii="Arial" w:cs="Arial" w:hAnsi="Arial"/>
          <w:sz w:val="22"/>
        </w:rPr>
        <w:t>（4）市场大盘对标；</w:t>
      </w:r>
    </w:p>
    <w:p>
      <w:pPr>
        <w:spacing w:before="120" w:after="120" w:line="288" w:lineRule="auto"/>
        <w:ind w:left="0"/>
        <w:jc w:val="left"/>
      </w:pPr>
      <w:r>
        <w:rPr>
          <w:rFonts w:eastAsia="等线" w:ascii="Arial" w:cs="Arial" w:hAnsi="Arial"/>
          <w:b w:val="true"/>
          <w:sz w:val="22"/>
        </w:rPr>
        <w:t>数据口径：</w:t>
      </w:r>
    </w:p>
    <w:p>
      <w:pPr>
        <w:spacing w:before="120" w:after="120" w:line="288" w:lineRule="auto"/>
        <w:ind w:left="0"/>
        <w:jc w:val="left"/>
      </w:pPr>
      <w:r>
        <w:rPr>
          <w:rFonts w:eastAsia="等线" w:ascii="Arial" w:cs="Arial" w:hAnsi="Arial"/>
          <w:sz w:val="22"/>
        </w:rPr>
        <w:t>数据开始时间 - 2023年7月</w:t>
      </w:r>
      <w:r>
        <w:rPr>
          <w:rFonts w:eastAsia="等线" w:ascii="Arial" w:cs="Arial" w:hAnsi="Arial"/>
          <w:sz w:val="22"/>
        </w:rPr>
        <w:t>1号</w:t>
      </w:r>
      <w:r>
        <w:rPr>
          <w:rFonts w:eastAsia="等线" w:ascii="Arial" w:cs="Arial" w:hAnsi="Arial"/>
          <w:sz w:val="22"/>
        </w:rPr>
        <w:t>；数据范围 - 花西子国内线上（一期）：</w:t>
      </w:r>
    </w:p>
    <w:p>
      <w:pPr>
        <w:spacing w:before="120" w:after="120" w:line="288" w:lineRule="auto"/>
        <w:ind w:left="0"/>
        <w:jc w:val="left"/>
      </w:pPr>
      <w:r>
        <w:rPr>
          <w:rFonts w:eastAsia="等线" w:ascii="Arial" w:cs="Arial" w:hAnsi="Arial"/>
          <w:sz w:val="22"/>
        </w:rPr>
        <w:t>1，</w:t>
      </w:r>
      <w:r>
        <w:rPr>
          <w:rFonts w:eastAsia="等线" w:ascii="Arial" w:cs="Arial" w:hAnsi="Arial"/>
          <w:sz w:val="22"/>
        </w:rPr>
        <w:t>GMV</w:t>
      </w:r>
      <w:r>
        <w:rPr>
          <w:rFonts w:eastAsia="等线" w:ascii="Arial" w:cs="Arial" w:hAnsi="Arial"/>
          <w:sz w:val="22"/>
        </w:rPr>
        <w:t>：取订单支付时间在报告日期的订单数据</w:t>
      </w:r>
      <w:r>
        <w:rPr>
          <w:rFonts w:eastAsia="等线" w:ascii="Arial" w:cs="Arial" w:hAnsi="Arial"/>
          <w:sz w:val="22"/>
        </w:rPr>
        <w:t>：</w:t>
      </w:r>
      <w:r>
        <w:rPr>
          <w:rFonts w:eastAsia="等线" w:ascii="Arial" w:cs="Arial" w:hAnsi="Arial"/>
          <w:sz w:val="22"/>
        </w:rPr>
        <w:t>平台订单支付后实时同步到</w:t>
      </w:r>
      <w:r>
        <w:rPr>
          <w:rFonts w:eastAsia="等线" w:ascii="Arial" w:cs="Arial" w:hAnsi="Arial"/>
          <w:sz w:val="22"/>
        </w:rPr>
        <w:t>OMS</w:t>
      </w:r>
      <w:r>
        <w:rPr>
          <w:rFonts w:eastAsia="等线" w:ascii="Arial" w:cs="Arial" w:hAnsi="Arial"/>
          <w:sz w:val="22"/>
        </w:rPr>
        <w:t>系统中（每分钟同步一次），从OMS系统中</w:t>
      </w:r>
      <w:r>
        <w:rPr>
          <w:rFonts w:eastAsia="等线" w:ascii="Arial" w:cs="Arial" w:hAnsi="Arial"/>
          <w:sz w:val="22"/>
        </w:rPr>
        <w:t>抓</w:t>
      </w:r>
      <w:r>
        <w:rPr>
          <w:rFonts w:eastAsia="等线" w:ascii="Arial" w:cs="Arial" w:hAnsi="Arial"/>
          <w:sz w:val="22"/>
        </w:rPr>
        <w:t>取</w:t>
      </w:r>
      <w:r>
        <w:rPr>
          <w:rFonts w:eastAsia="等线" w:ascii="Arial" w:cs="Arial" w:hAnsi="Arial"/>
          <w:sz w:val="22"/>
        </w:rPr>
        <w:t>（1）</w:t>
      </w:r>
      <w:r>
        <w:rPr>
          <w:rFonts w:eastAsia="等线" w:ascii="Arial" w:cs="Arial" w:hAnsi="Arial"/>
          <w:sz w:val="22"/>
        </w:rPr>
        <w:t>已转单订单</w:t>
      </w:r>
      <w:r>
        <w:rPr>
          <w:rFonts w:eastAsia="等线" w:ascii="Arial" w:cs="Arial" w:hAnsi="Arial"/>
          <w:sz w:val="22"/>
        </w:rPr>
        <w:t>（</w:t>
      </w:r>
      <w:r>
        <w:rPr>
          <w:rFonts w:eastAsia="等线" w:ascii="Arial" w:cs="Arial" w:hAnsi="Arial"/>
          <w:sz w:val="22"/>
        </w:rPr>
        <w:t>支付后进入订单处理流程</w:t>
      </w:r>
      <w:r>
        <w:rPr>
          <w:rFonts w:eastAsia="等线" w:ascii="Arial" w:cs="Arial" w:hAnsi="Arial"/>
          <w:sz w:val="22"/>
        </w:rPr>
        <w:t>）（2）</w:t>
      </w:r>
      <w:r>
        <w:rPr>
          <w:rFonts w:eastAsia="等线" w:ascii="Arial" w:cs="Arial" w:hAnsi="Arial"/>
          <w:sz w:val="22"/>
        </w:rPr>
        <w:t>未转单订单（支付后即退款）</w:t>
      </w:r>
      <w:r>
        <w:rPr>
          <w:rFonts w:eastAsia="等线" w:ascii="Arial" w:cs="Arial" w:hAnsi="Arial"/>
          <w:sz w:val="22"/>
        </w:rPr>
        <w:t>（3）京东自营GMV数据取自京东商智后台，无TO-C口径退款数据</w:t>
      </w:r>
      <w:r>
        <w:rPr>
          <w:rFonts w:eastAsia="等线" w:ascii="Arial" w:cs="Arial" w:hAnsi="Arial"/>
          <w:sz w:val="22"/>
        </w:rPr>
        <w:t>。</w:t>
      </w:r>
    </w:p>
    <w:p>
      <w:pPr>
        <w:spacing w:before="120" w:after="120" w:line="288" w:lineRule="auto"/>
        <w:ind w:left="0"/>
        <w:jc w:val="left"/>
      </w:pPr>
      <w:r>
        <w:rPr>
          <w:rFonts w:eastAsia="等线" w:ascii="Arial" w:cs="Arial" w:hAnsi="Arial"/>
          <w:sz w:val="22"/>
        </w:rPr>
        <w:t>2，退款：取退款时间在报告日期的售后数据（平台售后数据实时同步到</w:t>
      </w:r>
      <w:r>
        <w:rPr>
          <w:rFonts w:eastAsia="等线" w:ascii="Arial" w:cs="Arial" w:hAnsi="Arial"/>
          <w:sz w:val="22"/>
        </w:rPr>
        <w:t>OMS</w:t>
      </w:r>
      <w:r>
        <w:rPr>
          <w:rFonts w:eastAsia="等线" w:ascii="Arial" w:cs="Arial" w:hAnsi="Arial"/>
          <w:sz w:val="22"/>
        </w:rPr>
        <w:t>系统中（每分钟同步一次），从OMS系统中取售后数据）</w:t>
      </w:r>
      <w:r>
        <w:rPr>
          <w:rFonts w:eastAsia="等线" w:ascii="Arial" w:cs="Arial" w:hAnsi="Arial"/>
          <w:sz w:val="22"/>
        </w:rPr>
        <w:t>。包括</w:t>
      </w:r>
      <w:r>
        <w:rPr>
          <w:rFonts w:eastAsia="等线" w:ascii="Arial" w:cs="Arial" w:hAnsi="Arial"/>
          <w:sz w:val="22"/>
        </w:rPr>
        <w:t>以下</w:t>
      </w:r>
      <w:r>
        <w:rPr>
          <w:rFonts w:eastAsia="等线" w:ascii="Arial" w:cs="Arial" w:hAnsi="Arial"/>
          <w:sz w:val="22"/>
        </w:rPr>
        <w:t>退款：（1）</w:t>
      </w:r>
      <w:r>
        <w:rPr>
          <w:rFonts w:eastAsia="等线" w:ascii="Arial" w:cs="Arial" w:hAnsi="Arial"/>
          <w:sz w:val="22"/>
        </w:rPr>
        <w:t>订单取消（支付后即退款）</w:t>
      </w:r>
      <w:r>
        <w:rPr>
          <w:rFonts w:eastAsia="等线" w:ascii="Arial" w:cs="Arial" w:hAnsi="Arial"/>
          <w:sz w:val="22"/>
        </w:rPr>
        <w:t>；（2）</w:t>
      </w:r>
      <w:r>
        <w:rPr>
          <w:rFonts w:eastAsia="等线" w:ascii="Arial" w:cs="Arial" w:hAnsi="Arial"/>
          <w:sz w:val="22"/>
        </w:rPr>
        <w:t>零售退单（退货退款）</w:t>
      </w:r>
      <w:r>
        <w:rPr>
          <w:rFonts w:eastAsia="等线" w:ascii="Arial" w:cs="Arial" w:hAnsi="Arial"/>
          <w:sz w:val="22"/>
        </w:rPr>
        <w:t>；（3）</w:t>
      </w:r>
      <w:r>
        <w:rPr>
          <w:rFonts w:eastAsia="等线" w:ascii="Arial" w:cs="Arial" w:hAnsi="Arial"/>
          <w:sz w:val="22"/>
        </w:rPr>
        <w:t>线上仅退款</w:t>
      </w:r>
      <w:r>
        <w:rPr>
          <w:rFonts w:eastAsia="等线" w:ascii="Arial" w:cs="Arial" w:hAnsi="Arial"/>
          <w:sz w:val="22"/>
        </w:rPr>
        <w:t>；（4）</w:t>
      </w:r>
      <w:r>
        <w:rPr>
          <w:rFonts w:eastAsia="等线" w:ascii="Arial" w:cs="Arial" w:hAnsi="Arial"/>
          <w:sz w:val="22"/>
        </w:rPr>
        <w:t>线下手工退款（电商结算调整单）。</w:t>
        <w:br/>
      </w:r>
      <w:r>
        <w:rPr>
          <w:rFonts w:eastAsia="等线" w:ascii="Arial" w:cs="Arial" w:hAnsi="Arial"/>
          <w:sz w:val="22"/>
        </w:rPr>
        <w:t>3，财务净收入：取收入确认时间在报告日期的订单数据（</w:t>
      </w:r>
      <w:r>
        <w:rPr>
          <w:rFonts w:eastAsia="等线" w:ascii="Arial" w:cs="Arial" w:hAnsi="Arial"/>
          <w:sz w:val="22"/>
        </w:rPr>
        <w:t>=</w:t>
      </w:r>
      <w:r>
        <w:rPr>
          <w:rFonts w:eastAsia="等线" w:ascii="Arial" w:cs="Arial" w:hAnsi="Arial"/>
          <w:sz w:val="22"/>
        </w:rPr>
        <w:t>正向确认的收入-收入</w:t>
      </w:r>
      <w:r>
        <w:rPr>
          <w:rFonts w:eastAsia="等线" w:ascii="Arial" w:cs="Arial" w:hAnsi="Arial"/>
          <w:sz w:val="22"/>
        </w:rPr>
        <w:t>确认之后</w:t>
      </w:r>
      <w:r>
        <w:rPr>
          <w:rFonts w:eastAsia="等线" w:ascii="Arial" w:cs="Arial" w:hAnsi="Arial"/>
          <w:sz w:val="22"/>
        </w:rPr>
        <w:t>的退款，不含</w:t>
      </w:r>
      <w:r>
        <w:rPr>
          <w:rFonts w:eastAsia="等线" w:ascii="Arial" w:cs="Arial" w:hAnsi="Arial"/>
          <w:sz w:val="22"/>
        </w:rPr>
        <w:t>增值</w:t>
      </w:r>
      <w:r>
        <w:rPr>
          <w:rFonts w:eastAsia="等线" w:ascii="Arial" w:cs="Arial" w:hAnsi="Arial"/>
          <w:sz w:val="22"/>
        </w:rPr>
        <w:t>税）。（</w:t>
      </w:r>
      <w:r>
        <w:rPr>
          <w:rFonts w:eastAsia="等线" w:ascii="Arial" w:cs="Arial" w:hAnsi="Arial"/>
          <w:sz w:val="22"/>
        </w:rPr>
        <w:t>TO-</w:t>
      </w:r>
      <w:r>
        <w:rPr>
          <w:rFonts w:eastAsia="等线" w:ascii="Arial" w:cs="Arial" w:hAnsi="Arial"/>
          <w:sz w:val="22"/>
        </w:rPr>
        <w:t>C收入为订单签收时间，TO</w:t>
      </w:r>
      <w:r>
        <w:rPr>
          <w:rFonts w:eastAsia="等线" w:ascii="Arial" w:cs="Arial" w:hAnsi="Arial"/>
          <w:sz w:val="22"/>
        </w:rPr>
        <w:t>-</w:t>
      </w:r>
      <w:r>
        <w:rPr>
          <w:rFonts w:eastAsia="等线" w:ascii="Arial" w:cs="Arial" w:hAnsi="Arial"/>
          <w:sz w:val="22"/>
        </w:rPr>
        <w:t>B收入为订单发货时间（得物）或对账确认时间（唯品会，京东自营））</w:t>
      </w:r>
    </w:p>
    <w:p>
      <w:pPr>
        <w:spacing w:before="120" w:after="120" w:line="288" w:lineRule="auto"/>
        <w:ind w:left="0"/>
        <w:jc w:val="left"/>
      </w:pPr>
      <w:r>
        <w:rPr>
          <w:rFonts w:eastAsia="等线" w:ascii="Arial" w:cs="Arial" w:hAnsi="Arial"/>
          <w:sz w:val="22"/>
        </w:rPr>
        <w:t>4，</w:t>
      </w:r>
      <w:r>
        <w:rPr>
          <w:rFonts w:eastAsia="等线" w:ascii="Arial" w:cs="Arial" w:hAnsi="Arial"/>
          <w:sz w:val="22"/>
          <w:shd w:fill="fff67a"/>
        </w:rPr>
        <w:t>营销费用：</w:t>
      </w:r>
      <w:r>
        <w:rPr>
          <w:rFonts w:eastAsia="等线" w:ascii="Arial" w:cs="Arial" w:hAnsi="Arial"/>
          <w:sz w:val="22"/>
          <w:shd w:fill="fff67a"/>
        </w:rPr>
        <w:t>财务月报中营销费用均为不含税。</w:t>
      </w:r>
      <w:r>
        <w:rPr>
          <w:rFonts w:eastAsia="等线" w:ascii="Arial" w:cs="Arial" w:hAnsi="Arial"/>
          <w:sz w:val="22"/>
        </w:rPr>
        <w:br/>
      </w:r>
      <w:r>
        <w:rPr>
          <w:rFonts w:eastAsia="等线" w:ascii="Arial" w:cs="Arial" w:hAnsi="Arial"/>
          <w:sz w:val="22"/>
        </w:rPr>
        <w:t>4.1 包括(1) 投放类费用: 取各投放平台的费用资金扣款账单数据</w:t>
      </w:r>
      <w:r>
        <w:rPr>
          <w:rFonts w:eastAsia="等线" w:ascii="Arial" w:cs="Arial" w:hAnsi="Arial"/>
          <w:sz w:val="22"/>
        </w:rPr>
        <w:t>在本月</w:t>
      </w:r>
      <w:r>
        <w:rPr>
          <w:rFonts w:eastAsia="等线" w:ascii="Arial" w:cs="Arial" w:hAnsi="Arial"/>
          <w:sz w:val="22"/>
        </w:rPr>
        <w:t>审核</w:t>
      </w:r>
      <w:r>
        <w:rPr>
          <w:rFonts w:eastAsia="等线" w:ascii="Arial" w:cs="Arial" w:hAnsi="Arial"/>
          <w:sz w:val="22"/>
        </w:rPr>
        <w:t>入账的费用</w:t>
      </w:r>
      <w:r>
        <w:rPr>
          <w:rFonts w:eastAsia="等线" w:ascii="Arial" w:cs="Arial" w:hAnsi="Arial"/>
          <w:sz w:val="22"/>
        </w:rPr>
        <w:t xml:space="preserve">; (2) 直播类费用: </w:t>
      </w:r>
      <w:r>
        <w:rPr>
          <w:rFonts w:eastAsia="等线" w:ascii="Arial" w:cs="Arial" w:hAnsi="Arial"/>
          <w:sz w:val="22"/>
        </w:rPr>
        <w:t xml:space="preserve">1. </w:t>
      </w:r>
      <w:r>
        <w:rPr>
          <w:rFonts w:eastAsia="等线" w:ascii="Arial" w:cs="Arial" w:hAnsi="Arial"/>
          <w:sz w:val="22"/>
        </w:rPr>
        <w:t>线下佣金数据：</w:t>
      </w:r>
      <w:r>
        <w:rPr>
          <w:rFonts w:eastAsia="等线" w:ascii="Arial" w:cs="Arial" w:hAnsi="Arial"/>
          <w:sz w:val="22"/>
        </w:rPr>
        <w:t>取各平台</w:t>
      </w:r>
      <w:r>
        <w:rPr>
          <w:rFonts w:eastAsia="等线" w:ascii="Arial" w:cs="Arial" w:hAnsi="Arial"/>
          <w:sz w:val="22"/>
        </w:rPr>
        <w:t>每月截止28日</w:t>
      </w:r>
      <w:r>
        <w:rPr>
          <w:rFonts w:eastAsia="等线" w:ascii="Arial" w:cs="Arial" w:hAnsi="Arial"/>
          <w:sz w:val="22"/>
        </w:rPr>
        <w:t>，</w:t>
      </w:r>
      <w:r>
        <w:rPr>
          <w:rFonts w:eastAsia="等线" w:ascii="Arial" w:cs="Arial" w:hAnsi="Arial"/>
          <w:sz w:val="22"/>
        </w:rPr>
        <w:t>滚动30天的退款后</w:t>
      </w:r>
      <w:r>
        <w:rPr>
          <w:rFonts w:eastAsia="等线" w:ascii="Arial" w:cs="Arial" w:hAnsi="Arial"/>
          <w:sz w:val="22"/>
        </w:rPr>
        <w:t>直播订单</w:t>
      </w:r>
      <w:r>
        <w:rPr>
          <w:rFonts w:eastAsia="等线" w:ascii="Arial" w:cs="Arial" w:hAnsi="Arial"/>
          <w:sz w:val="22"/>
        </w:rPr>
        <w:t>对应</w:t>
      </w:r>
      <w:r>
        <w:rPr>
          <w:rFonts w:eastAsia="等线" w:ascii="Arial" w:cs="Arial" w:hAnsi="Arial"/>
          <w:sz w:val="22"/>
        </w:rPr>
        <w:t>的</w:t>
      </w:r>
      <w:r>
        <w:rPr>
          <w:rFonts w:eastAsia="等线" w:ascii="Arial" w:cs="Arial" w:hAnsi="Arial"/>
          <w:sz w:val="22"/>
        </w:rPr>
        <w:t>线下佣金预估数据</w:t>
      </w:r>
      <w:r>
        <w:rPr>
          <w:rFonts w:eastAsia="等线" w:ascii="Arial" w:cs="Arial" w:hAnsi="Arial"/>
          <w:sz w:val="22"/>
        </w:rPr>
        <w:t>；</w:t>
      </w:r>
      <w:r>
        <w:rPr>
          <w:rFonts w:eastAsia="等线" w:ascii="Arial" w:cs="Arial" w:hAnsi="Arial"/>
          <w:sz w:val="22"/>
        </w:rPr>
        <w:t xml:space="preserve">2. </w:t>
      </w:r>
      <w:r>
        <w:rPr>
          <w:rFonts w:eastAsia="等线" w:ascii="Arial" w:cs="Arial" w:hAnsi="Arial"/>
          <w:sz w:val="22"/>
        </w:rPr>
        <w:t>线上佣金：取自店铺资金账户中已扣款的佣金数据</w:t>
      </w:r>
      <w:r>
        <w:rPr>
          <w:rFonts w:eastAsia="等线" w:ascii="Arial" w:cs="Arial" w:hAnsi="Arial"/>
          <w:sz w:val="22"/>
        </w:rPr>
        <w:t>；</w:t>
      </w:r>
      <w:r>
        <w:rPr>
          <w:rFonts w:eastAsia="等线" w:ascii="Arial" w:cs="Arial" w:hAnsi="Arial"/>
          <w:sz w:val="22"/>
        </w:rPr>
        <w:t xml:space="preserve">3. </w:t>
      </w:r>
      <w:r>
        <w:rPr>
          <w:rFonts w:eastAsia="等线" w:ascii="Arial" w:cs="Arial" w:hAnsi="Arial"/>
          <w:sz w:val="22"/>
        </w:rPr>
        <w:t>坑位费</w:t>
      </w:r>
      <w:r>
        <w:rPr>
          <w:rFonts w:eastAsia="等线" w:ascii="Arial" w:cs="Arial" w:hAnsi="Arial"/>
          <w:sz w:val="22"/>
        </w:rPr>
        <w:t>费用：取自业财系统中当月审批完成</w:t>
      </w:r>
      <w:r>
        <w:rPr>
          <w:rFonts w:eastAsia="等线" w:ascii="Arial" w:cs="Arial" w:hAnsi="Arial"/>
          <w:sz w:val="22"/>
        </w:rPr>
        <w:t>并入账</w:t>
      </w:r>
      <w:r>
        <w:rPr>
          <w:rFonts w:eastAsia="等线" w:ascii="Arial" w:cs="Arial" w:hAnsi="Arial"/>
          <w:sz w:val="22"/>
        </w:rPr>
        <w:t>的”坑位费</w:t>
      </w:r>
      <w:r>
        <w:rPr>
          <w:rFonts w:eastAsia="等线" w:ascii="Arial" w:cs="Arial" w:hAnsi="Arial"/>
          <w:sz w:val="22"/>
        </w:rPr>
        <w:t>确认单</w:t>
      </w:r>
      <w:r>
        <w:rPr>
          <w:rFonts w:eastAsia="等线" w:ascii="Arial" w:cs="Arial" w:hAnsi="Arial"/>
          <w:sz w:val="22"/>
        </w:rPr>
        <w:t>”中的费用</w:t>
      </w:r>
      <w:r>
        <w:rPr>
          <w:rFonts w:eastAsia="等线" w:ascii="Arial" w:cs="Arial" w:hAnsi="Arial"/>
          <w:sz w:val="22"/>
        </w:rPr>
        <w:t>; (3) 达人类费用: 取自</w:t>
      </w:r>
      <w:r>
        <w:rPr>
          <w:rFonts w:eastAsia="等线" w:ascii="Arial" w:cs="Arial" w:hAnsi="Arial"/>
          <w:sz w:val="22"/>
        </w:rPr>
        <w:t>本月</w:t>
      </w:r>
      <w:r>
        <w:rPr>
          <w:rFonts w:eastAsia="等线" w:ascii="Arial" w:cs="Arial" w:hAnsi="Arial"/>
          <w:sz w:val="22"/>
        </w:rPr>
        <w:t>达人执行单（平台已完成发布）</w:t>
      </w:r>
      <w:r>
        <w:rPr>
          <w:rFonts w:eastAsia="等线" w:ascii="Arial" w:cs="Arial" w:hAnsi="Arial"/>
          <w:sz w:val="22"/>
        </w:rPr>
        <w:t>当月审批完成并入账的费用</w:t>
      </w:r>
      <w:r>
        <w:rPr>
          <w:rFonts w:eastAsia="等线" w:ascii="Arial" w:cs="Arial" w:hAnsi="Arial"/>
          <w:sz w:val="22"/>
        </w:rPr>
        <w:t>; (4) 其他合同类费用: 取自</w:t>
      </w:r>
      <w:r>
        <w:rPr>
          <w:rFonts w:eastAsia="等线" w:ascii="Arial" w:cs="Arial" w:hAnsi="Arial"/>
          <w:sz w:val="22"/>
        </w:rPr>
        <w:t>当月</w:t>
      </w:r>
      <w:r>
        <w:rPr>
          <w:rFonts w:eastAsia="等线" w:ascii="Arial" w:cs="Arial" w:hAnsi="Arial"/>
          <w:sz w:val="22"/>
        </w:rPr>
        <w:t>审批完成</w:t>
      </w:r>
      <w:r>
        <w:rPr>
          <w:rFonts w:eastAsia="等线" w:ascii="Arial" w:cs="Arial" w:hAnsi="Arial"/>
          <w:sz w:val="22"/>
        </w:rPr>
        <w:t>并入账</w:t>
      </w:r>
      <w:r>
        <w:rPr>
          <w:rFonts w:eastAsia="等线" w:ascii="Arial" w:cs="Arial" w:hAnsi="Arial"/>
          <w:sz w:val="22"/>
        </w:rPr>
        <w:t>的合同执行单</w:t>
      </w:r>
      <w:r>
        <w:rPr>
          <w:rFonts w:eastAsia="等线" w:ascii="Arial" w:cs="Arial" w:hAnsi="Arial"/>
          <w:sz w:val="22"/>
        </w:rPr>
        <w:t>的费用</w:t>
      </w:r>
      <w:r>
        <w:rPr>
          <w:rFonts w:eastAsia="等线" w:ascii="Arial" w:cs="Arial" w:hAnsi="Arial"/>
          <w:sz w:val="22"/>
        </w:rPr>
        <w:t>。</w:t>
        <w:br/>
      </w:r>
      <w:r>
        <w:rPr>
          <w:rFonts w:eastAsia="等线" w:ascii="Arial" w:cs="Arial" w:hAnsi="Arial"/>
          <w:sz w:val="22"/>
        </w:rPr>
        <w:t xml:space="preserve">4.2 </w:t>
      </w:r>
      <w:r>
        <w:rPr>
          <w:rFonts w:eastAsia="等线" w:ascii="Arial" w:cs="Arial" w:hAnsi="Arial"/>
          <w:sz w:val="22"/>
          <w:shd w:fill="fff67a"/>
        </w:rPr>
        <w:t>不包括：平台扣点，内部领用及其他销售费用。</w:t>
      </w:r>
      <w:r>
        <w:rPr>
          <w:rFonts w:eastAsia="等线" w:ascii="Arial" w:cs="Arial" w:hAnsi="Arial"/>
          <w:sz w:val="22"/>
        </w:rPr>
        <w:br/>
      </w:r>
      <w:r>
        <w:rPr>
          <w:rFonts w:eastAsia="等线" w:ascii="Arial" w:cs="Arial" w:hAnsi="Arial"/>
          <w:sz w:val="22"/>
        </w:rPr>
        <w:t>4.3 以上营销费用按照每项费用确认时所归属的品牌，店铺，业务单元，品类，产品简称维度进行费用的直接归属及分摊（通用分摊标准</w:t>
      </w:r>
      <w:r>
        <w:rPr>
          <w:rFonts w:eastAsia="等线" w:ascii="Arial" w:cs="Arial" w:hAnsi="Arial"/>
          <w:sz w:val="22"/>
        </w:rPr>
        <w:t>：</w:t>
      </w:r>
      <w:r>
        <w:rPr>
          <w:rFonts w:eastAsia="等线" w:ascii="Arial" w:cs="Arial" w:hAnsi="Arial"/>
          <w:sz w:val="22"/>
        </w:rPr>
        <w:t>月度各产品</w:t>
      </w:r>
      <w:r>
        <w:rPr>
          <w:rFonts w:eastAsia="等线" w:ascii="Arial" w:cs="Arial" w:hAnsi="Arial"/>
          <w:sz w:val="22"/>
        </w:rPr>
        <w:t>的退款前</w:t>
      </w:r>
      <w:r>
        <w:rPr>
          <w:rFonts w:eastAsia="等线" w:ascii="Arial" w:cs="Arial" w:hAnsi="Arial"/>
          <w:sz w:val="22"/>
        </w:rPr>
        <w:t>GMV</w:t>
      </w:r>
      <w:r>
        <w:rPr>
          <w:rFonts w:eastAsia="等线" w:ascii="Arial" w:cs="Arial" w:hAnsi="Arial"/>
          <w:sz w:val="22"/>
        </w:rPr>
        <w:t>占比）</w:t>
      </w:r>
    </w:p>
    <w:p>
      <w:pPr>
        <w:spacing w:before="120" w:after="120" w:line="288" w:lineRule="auto"/>
        <w:ind w:left="0"/>
        <w:jc w:val="left"/>
      </w:pPr>
      <w:r>
        <w:rPr>
          <w:rFonts w:eastAsia="等线" w:ascii="Arial" w:cs="Arial" w:hAnsi="Arial"/>
          <w:sz w:val="22"/>
        </w:rPr>
        <w:t>5，市场概览：数据来源于CMK，可参考行业品牌榜（报表）和 行业店铺榜（报表）</w:t>
      </w:r>
      <w:r>
        <w:rPr>
          <w:rFonts w:eastAsia="等线" w:ascii="Arial" w:cs="Arial" w:hAnsi="Arial"/>
          <w:sz w:val="22"/>
        </w:rPr>
        <w:t>。月度数据产出在每月7号后</w:t>
      </w:r>
      <w:r>
        <w:rPr>
          <w:rFonts w:eastAsia="等线" w:ascii="Arial" w:cs="Arial" w:hAnsi="Arial"/>
          <w:sz w:val="22"/>
        </w:rPr>
        <w:t>。</w:t>
      </w:r>
    </w:p>
    <w:p>
      <w:pPr>
        <w:spacing w:before="120" w:after="120" w:line="288" w:lineRule="auto"/>
        <w:ind w:left="0"/>
        <w:jc w:val="left"/>
      </w:pPr>
      <w:r>
        <w:rPr>
          <w:rFonts w:eastAsia="等线" w:ascii="Arial" w:cs="Arial" w:hAnsi="Arial"/>
          <w:sz w:val="22"/>
        </w:rPr>
        <w:t>6，渠道财务净收入年初目标：年初制定的财务目标，</w:t>
      </w:r>
      <w:r>
        <w:rPr>
          <w:rFonts w:eastAsia="等线" w:ascii="Arial" w:cs="Arial" w:hAnsi="Arial"/>
          <w:sz w:val="22"/>
        </w:rPr>
        <w:t>由</w:t>
      </w:r>
      <w:r>
        <w:rPr>
          <w:rFonts w:eastAsia="等线" w:ascii="Arial" w:cs="Arial" w:hAnsi="Arial"/>
          <w:sz w:val="22"/>
        </w:rPr>
        <w:t>财务部</w:t>
      </w:r>
      <w:r>
        <w:rPr>
          <w:rFonts w:eastAsia="等线" w:ascii="Arial" w:cs="Arial" w:hAnsi="Arial"/>
          <w:sz w:val="22"/>
        </w:rPr>
        <w:t>预算组上传至</w:t>
      </w:r>
      <w:r>
        <w:rPr>
          <w:rFonts w:eastAsia="等线" w:ascii="Arial" w:cs="Arial" w:hAnsi="Arial"/>
          <w:sz w:val="22"/>
        </w:rPr>
        <w:t>业财系统。</w:t>
      </w:r>
    </w:p>
    <w:p>
      <w:pPr>
        <w:spacing w:before="120" w:after="120" w:line="288" w:lineRule="auto"/>
        <w:ind w:left="0"/>
        <w:jc w:val="left"/>
      </w:pPr>
      <w:r>
        <w:rPr>
          <w:rFonts w:eastAsia="等线" w:ascii="Arial" w:cs="Arial" w:hAnsi="Arial"/>
          <w:sz w:val="22"/>
        </w:rPr>
        <w:t>7，渠道财务净收入滚动预测：基于经营情况，</w:t>
      </w:r>
      <w:r>
        <w:rPr>
          <w:rFonts w:eastAsia="等线" w:ascii="Arial" w:cs="Arial" w:hAnsi="Arial"/>
          <w:sz w:val="22"/>
        </w:rPr>
        <w:t>每月滚动</w:t>
      </w:r>
      <w:r>
        <w:rPr>
          <w:rFonts w:eastAsia="等线" w:ascii="Arial" w:cs="Arial" w:hAnsi="Arial"/>
          <w:sz w:val="22"/>
        </w:rPr>
        <w:t>调整后的最新财务目标，</w:t>
      </w:r>
      <w:r>
        <w:rPr>
          <w:rFonts w:eastAsia="等线" w:ascii="Arial" w:cs="Arial" w:hAnsi="Arial"/>
          <w:sz w:val="22"/>
        </w:rPr>
        <w:t>由</w:t>
      </w:r>
      <w:r>
        <w:rPr>
          <w:rFonts w:eastAsia="等线" w:ascii="Arial" w:cs="Arial" w:hAnsi="Arial"/>
          <w:sz w:val="22"/>
        </w:rPr>
        <w:t>财务部</w:t>
      </w:r>
      <w:r>
        <w:rPr>
          <w:rFonts w:eastAsia="等线" w:ascii="Arial" w:cs="Arial" w:hAnsi="Arial"/>
          <w:sz w:val="22"/>
        </w:rPr>
        <w:t>预算组更新到</w:t>
      </w:r>
      <w:r>
        <w:rPr>
          <w:rFonts w:eastAsia="等线" w:ascii="Arial" w:cs="Arial" w:hAnsi="Arial"/>
          <w:sz w:val="22"/>
        </w:rPr>
        <w:t>业财系统。</w:t>
      </w:r>
    </w:p>
    <w:p>
      <w:pPr>
        <w:spacing w:before="120" w:after="120" w:line="288" w:lineRule="auto"/>
        <w:ind w:left="0"/>
        <w:jc w:val="left"/>
      </w:pPr>
      <w:r>
        <w:rPr>
          <w:rFonts w:eastAsia="等线" w:ascii="Arial" w:cs="Arial" w:hAnsi="Arial"/>
          <w:sz w:val="22"/>
        </w:rPr>
        <w:t>8，品类财务净收入年初目标：年初制定的财务目标，</w:t>
      </w:r>
      <w:r>
        <w:rPr>
          <w:rFonts w:eastAsia="等线" w:ascii="Arial" w:cs="Arial" w:hAnsi="Arial"/>
          <w:sz w:val="22"/>
        </w:rPr>
        <w:t>由</w:t>
      </w:r>
      <w:r>
        <w:rPr>
          <w:rFonts w:eastAsia="等线" w:ascii="Arial" w:cs="Arial" w:hAnsi="Arial"/>
          <w:sz w:val="22"/>
        </w:rPr>
        <w:t>财务部</w:t>
      </w:r>
      <w:r>
        <w:rPr>
          <w:rFonts w:eastAsia="等线" w:ascii="Arial" w:cs="Arial" w:hAnsi="Arial"/>
          <w:sz w:val="22"/>
        </w:rPr>
        <w:t>预算组上传至业财系统。2023年暂无此目标数据。</w:t>
      </w:r>
    </w:p>
    <w:p>
      <w:pPr>
        <w:spacing w:before="120" w:after="120" w:line="288" w:lineRule="auto"/>
        <w:ind w:left="0"/>
        <w:jc w:val="left"/>
      </w:pPr>
      <w:r>
        <w:rPr>
          <w:rFonts w:eastAsia="等线" w:ascii="Arial" w:cs="Arial" w:hAnsi="Arial"/>
          <w:sz w:val="22"/>
        </w:rPr>
        <w:t>9，品类财务净收入滚动预测：基于经营情况，</w:t>
      </w:r>
      <w:r>
        <w:rPr>
          <w:rFonts w:eastAsia="等线" w:ascii="Arial" w:cs="Arial" w:hAnsi="Arial"/>
          <w:sz w:val="22"/>
        </w:rPr>
        <w:t>每月滚动调整后的</w:t>
      </w:r>
      <w:r>
        <w:rPr>
          <w:rFonts w:eastAsia="等线" w:ascii="Arial" w:cs="Arial" w:hAnsi="Arial"/>
          <w:sz w:val="22"/>
        </w:rPr>
        <w:t>最新财务目标，</w:t>
      </w:r>
      <w:r>
        <w:rPr>
          <w:rFonts w:eastAsia="等线" w:ascii="Arial" w:cs="Arial" w:hAnsi="Arial"/>
          <w:sz w:val="22"/>
        </w:rPr>
        <w:t>由财务部预算组更新到业财系统。2023年暂无此目标数据。</w:t>
      </w:r>
    </w:p>
    <w:p>
      <w:pPr>
        <w:spacing w:before="120" w:after="120" w:line="288" w:lineRule="auto"/>
        <w:ind w:left="0"/>
        <w:jc w:val="left"/>
      </w:pPr>
      <w:r>
        <w:rPr>
          <w:rFonts w:eastAsia="等线" w:ascii="Arial" w:cs="Arial" w:hAnsi="Arial"/>
          <w:sz w:val="22"/>
        </w:rPr>
        <w:t>10，成本数据：</w:t>
      </w:r>
      <w:r>
        <w:rPr>
          <w:rFonts w:eastAsia="等线" w:ascii="Arial" w:cs="Arial" w:hAnsi="Arial"/>
          <w:sz w:val="22"/>
        </w:rPr>
        <w:t>财务</w:t>
      </w:r>
      <w:r>
        <w:rPr>
          <w:rFonts w:eastAsia="等线" w:ascii="Arial" w:cs="Arial" w:hAnsi="Arial"/>
          <w:sz w:val="22"/>
        </w:rPr>
        <w:t>部</w:t>
      </w:r>
      <w:r>
        <w:rPr>
          <w:rFonts w:eastAsia="等线" w:ascii="Arial" w:cs="Arial" w:hAnsi="Arial"/>
          <w:sz w:val="22"/>
        </w:rPr>
        <w:t>成本与库存核算组每个月月结后，</w:t>
      </w:r>
      <w:r>
        <w:rPr>
          <w:rFonts w:eastAsia="等线" w:ascii="Arial" w:cs="Arial" w:hAnsi="Arial"/>
          <w:sz w:val="22"/>
        </w:rPr>
        <w:t>从数仓导入</w:t>
      </w:r>
      <w:r>
        <w:rPr>
          <w:rFonts w:eastAsia="等线" w:ascii="Arial" w:cs="Arial" w:hAnsi="Arial"/>
          <w:sz w:val="22"/>
        </w:rPr>
        <w:t>此数据</w:t>
      </w:r>
      <w:r>
        <w:rPr>
          <w:rFonts w:eastAsia="等线" w:ascii="Arial" w:cs="Arial" w:hAnsi="Arial"/>
          <w:sz w:val="22"/>
        </w:rPr>
        <w:t>；若当月没有成本数据，则以上月的成本数据为准。</w:t>
      </w:r>
    </w:p>
    <w:p>
      <w:pPr>
        <w:spacing w:before="120" w:after="120" w:line="288" w:lineRule="auto"/>
        <w:ind w:left="0"/>
        <w:jc w:val="left"/>
      </w:pPr>
      <w:r>
        <w:rPr>
          <w:rFonts w:eastAsia="等线" w:ascii="Arial" w:cs="Arial" w:hAnsi="Arial"/>
          <w:b w:val="true"/>
          <w:sz w:val="22"/>
        </w:rPr>
        <w:t>指标说明：</w:t>
      </w:r>
    </w:p>
    <w:p>
      <w:pPr>
        <w:spacing w:before="120" w:after="120" w:line="288" w:lineRule="auto"/>
        <w:ind w:left="0"/>
        <w:jc w:val="left"/>
      </w:pPr>
      <w:r>
        <w:rPr>
          <w:rFonts w:eastAsia="等线" w:ascii="Arial" w:cs="Arial" w:hAnsi="Arial"/>
          <w:sz w:val="22"/>
        </w:rPr>
        <w:t>退款前</w:t>
      </w:r>
      <w:r>
        <w:rPr>
          <w:rFonts w:eastAsia="等线" w:ascii="Arial" w:cs="Arial" w:hAnsi="Arial"/>
          <w:sz w:val="22"/>
        </w:rPr>
        <w:t>GMV</w:t>
      </w:r>
      <w:r>
        <w:rPr>
          <w:rFonts w:eastAsia="等线" w:ascii="Arial" w:cs="Arial" w:hAnsi="Arial"/>
          <w:sz w:val="22"/>
        </w:rPr>
        <w:t>： 客户全额支付订单时商家实际收到的金额，包括客户实付金额，以及平台应返还的优惠金额</w:t>
      </w:r>
    </w:p>
    <w:p>
      <w:pPr>
        <w:spacing w:before="120" w:after="120" w:line="288" w:lineRule="auto"/>
        <w:ind w:left="0"/>
        <w:jc w:val="left"/>
      </w:pPr>
      <w:r>
        <w:rPr>
          <w:rFonts w:eastAsia="等线" w:ascii="Arial" w:cs="Arial" w:hAnsi="Arial"/>
          <w:sz w:val="22"/>
        </w:rPr>
        <w:t>退款金额：客户取消已全额支付的订单、退货退款、换货、仅退款（包括线上线下）场景的所有退款金额。</w:t>
      </w:r>
    </w:p>
    <w:p>
      <w:pPr>
        <w:spacing w:before="120" w:after="120" w:line="288" w:lineRule="auto"/>
        <w:ind w:left="0"/>
        <w:jc w:val="left"/>
      </w:pPr>
      <w:r>
        <w:rPr>
          <w:rFonts w:eastAsia="等线" w:ascii="Arial" w:cs="Arial" w:hAnsi="Arial"/>
          <w:sz w:val="22"/>
        </w:rPr>
        <w:t>退款后</w:t>
      </w:r>
      <w:r>
        <w:rPr>
          <w:rFonts w:eastAsia="等线" w:ascii="Arial" w:cs="Arial" w:hAnsi="Arial"/>
          <w:sz w:val="22"/>
        </w:rPr>
        <w:t>GMV</w:t>
      </w:r>
      <w:r>
        <w:rPr>
          <w:rFonts w:eastAsia="等线" w:ascii="Arial" w:cs="Arial" w:hAnsi="Arial"/>
          <w:sz w:val="22"/>
        </w:rPr>
        <w:t>：退款前GMV金额-退款金额</w:t>
      </w:r>
    </w:p>
    <w:p>
      <w:pPr>
        <w:spacing w:before="120" w:after="120" w:line="288" w:lineRule="auto"/>
        <w:ind w:left="0"/>
        <w:jc w:val="left"/>
      </w:pPr>
      <w:r>
        <w:rPr>
          <w:rFonts w:eastAsia="等线" w:ascii="Arial" w:cs="Arial" w:hAnsi="Arial"/>
          <w:sz w:val="22"/>
        </w:rPr>
        <w:t>新品贡献率：新品的退款后</w:t>
      </w:r>
      <w:r>
        <w:rPr>
          <w:rFonts w:eastAsia="等线" w:ascii="Arial" w:cs="Arial" w:hAnsi="Arial"/>
          <w:sz w:val="22"/>
        </w:rPr>
        <w:t>GMV</w:t>
      </w:r>
      <w:r>
        <w:rPr>
          <w:rFonts w:eastAsia="等线" w:ascii="Arial" w:cs="Arial" w:hAnsi="Arial"/>
          <w:sz w:val="22"/>
        </w:rPr>
        <w:t>（以产品主数据中新品标记为准）/全部产品的退款后GMV</w:t>
      </w:r>
      <w:r>
        <w:rPr>
          <w:rFonts w:eastAsia="等线" w:ascii="Arial" w:cs="Arial" w:hAnsi="Arial"/>
          <w:sz w:val="22"/>
        </w:rPr>
        <w:br/>
      </w:r>
      <w:r>
        <w:rPr>
          <w:rFonts w:eastAsia="等线" w:ascii="Arial" w:cs="Arial" w:hAnsi="Arial"/>
          <w:sz w:val="22"/>
        </w:rPr>
        <w:t>优惠前GMV：客户全额支付的订单中非赠品销售产成品的销量*</w:t>
      </w:r>
      <w:r>
        <w:rPr>
          <w:rFonts w:eastAsia="等线" w:ascii="Arial" w:cs="Arial" w:hAnsi="Arial"/>
          <w:sz w:val="22"/>
        </w:rPr>
        <w:t>SKU</w:t>
      </w:r>
      <w:r>
        <w:rPr>
          <w:rFonts w:eastAsia="等线" w:ascii="Arial" w:cs="Arial" w:hAnsi="Arial"/>
          <w:sz w:val="22"/>
        </w:rPr>
        <w:t>标准零售价</w:t>
      </w:r>
    </w:p>
    <w:p>
      <w:pPr>
        <w:spacing w:before="120" w:after="120" w:line="288" w:lineRule="auto"/>
        <w:ind w:left="0"/>
        <w:jc w:val="left"/>
      </w:pPr>
      <w:r>
        <w:rPr>
          <w:rFonts w:eastAsia="等线" w:ascii="Arial" w:cs="Arial" w:hAnsi="Arial"/>
          <w:sz w:val="22"/>
        </w:rPr>
        <w:t>商家折扣：优惠前</w:t>
      </w:r>
      <w:r>
        <w:rPr>
          <w:rFonts w:eastAsia="等线" w:ascii="Arial" w:cs="Arial" w:hAnsi="Arial"/>
          <w:sz w:val="22"/>
        </w:rPr>
        <w:t>GMV</w:t>
      </w:r>
      <w:r>
        <w:rPr>
          <w:rFonts w:eastAsia="等线" w:ascii="Arial" w:cs="Arial" w:hAnsi="Arial"/>
          <w:sz w:val="22"/>
        </w:rPr>
        <w:t>与退款前GMV的差值，包括积分抵扣、储值卡权益金、运营降价等商家承担的优惠金额</w:t>
      </w:r>
    </w:p>
    <w:p>
      <w:pPr>
        <w:spacing w:before="120" w:after="120" w:line="288" w:lineRule="auto"/>
        <w:ind w:left="0"/>
        <w:jc w:val="left"/>
      </w:pPr>
      <w:r>
        <w:rPr>
          <w:rFonts w:eastAsia="等线" w:ascii="Arial" w:cs="Arial" w:hAnsi="Arial"/>
          <w:sz w:val="22"/>
        </w:rPr>
        <w:t>财务净收入：</w:t>
      </w:r>
      <w:r>
        <w:rPr>
          <w:rFonts w:eastAsia="等线" w:ascii="Arial" w:cs="Arial" w:hAnsi="Arial"/>
          <w:sz w:val="22"/>
        </w:rPr>
        <w:t>正向收入确认金额（税后）- 收入确认后的退款金额（税后）</w:t>
      </w:r>
      <w:r>
        <w:rPr>
          <w:rFonts w:eastAsia="等线" w:ascii="Arial" w:cs="Arial" w:hAnsi="Arial"/>
          <w:sz w:val="22"/>
        </w:rPr>
        <w:t>，</w:t>
      </w:r>
      <w:r>
        <w:rPr>
          <w:rFonts w:eastAsia="等线" w:ascii="Arial" w:cs="Arial" w:hAnsi="Arial"/>
          <w:sz w:val="22"/>
        </w:rPr>
        <w:t>月度财务净收入</w:t>
      </w:r>
      <w:r>
        <w:rPr>
          <w:rFonts w:eastAsia="等线" w:ascii="Arial" w:cs="Arial" w:hAnsi="Arial"/>
          <w:sz w:val="22"/>
        </w:rPr>
        <w:t>含</w:t>
      </w:r>
      <w:r>
        <w:rPr>
          <w:rFonts w:eastAsia="等线" w:ascii="Arial" w:cs="Arial" w:hAnsi="Arial"/>
          <w:sz w:val="22"/>
        </w:rPr>
        <w:t>渠道折扣、渠道返利、</w:t>
      </w:r>
      <w:r>
        <w:rPr>
          <w:rFonts w:eastAsia="等线" w:ascii="Arial" w:cs="Arial" w:hAnsi="Arial"/>
          <w:sz w:val="22"/>
        </w:rPr>
        <w:t>会员积分</w:t>
      </w:r>
      <w:r>
        <w:rPr>
          <w:rFonts w:eastAsia="等线" w:ascii="Arial" w:cs="Arial" w:hAnsi="Arial"/>
          <w:sz w:val="22"/>
        </w:rPr>
        <w:t>预提</w:t>
      </w:r>
      <w:r>
        <w:rPr>
          <w:rFonts w:eastAsia="等线" w:ascii="Arial" w:cs="Arial" w:hAnsi="Arial"/>
          <w:sz w:val="22"/>
        </w:rPr>
        <w:t>等其他损益项。</w:t>
      </w:r>
    </w:p>
    <w:p>
      <w:pPr>
        <w:spacing w:before="120" w:after="120" w:line="288" w:lineRule="auto"/>
        <w:ind w:left="0"/>
        <w:jc w:val="left"/>
      </w:pPr>
      <w:r>
        <w:rPr>
          <w:rFonts w:eastAsia="等线" w:ascii="Arial" w:cs="Arial" w:hAnsi="Arial"/>
          <w:sz w:val="22"/>
        </w:rPr>
        <w:t>净收入对应的销量</w:t>
      </w:r>
      <w:r>
        <w:rPr>
          <w:rFonts w:eastAsia="等线" w:ascii="Arial" w:cs="Arial" w:hAnsi="Arial"/>
          <w:sz w:val="22"/>
        </w:rPr>
        <w:t>：</w:t>
      </w:r>
      <w:r>
        <w:rPr>
          <w:rFonts w:eastAsia="等线" w:ascii="Arial" w:cs="Arial" w:hAnsi="Arial"/>
          <w:sz w:val="22"/>
        </w:rPr>
        <w:t>正向收入确认金额对应的销量-收入确认后的退款金额对应的退货数量</w:t>
      </w:r>
      <w:r>
        <w:rPr>
          <w:rFonts w:eastAsia="等线" w:ascii="Arial" w:cs="Arial" w:hAnsi="Arial"/>
          <w:sz w:val="22"/>
        </w:rPr>
        <w:br/>
      </w:r>
      <w:r>
        <w:rPr>
          <w:rFonts w:eastAsia="等线" w:ascii="Arial" w:cs="Arial" w:hAnsi="Arial"/>
          <w:sz w:val="22"/>
        </w:rPr>
        <w:t>件单价：</w:t>
      </w:r>
      <w:r>
        <w:rPr>
          <w:rFonts w:eastAsia="等线" w:ascii="Arial" w:cs="Arial" w:hAnsi="Arial"/>
          <w:sz w:val="22"/>
        </w:rPr>
        <w:t>月报中件单价为收入口径，</w:t>
      </w:r>
      <w:r>
        <w:rPr>
          <w:rFonts w:eastAsia="等线" w:ascii="Arial" w:cs="Arial" w:hAnsi="Arial"/>
          <w:sz w:val="22"/>
        </w:rPr>
        <w:t>财务净收入/</w:t>
      </w:r>
      <w:r>
        <w:rPr>
          <w:rFonts w:eastAsia="等线" w:ascii="Arial" w:cs="Arial" w:hAnsi="Arial"/>
          <w:sz w:val="22"/>
        </w:rPr>
        <w:t>净收入对应的</w:t>
      </w:r>
      <w:r>
        <w:rPr>
          <w:rFonts w:eastAsia="等线" w:ascii="Arial" w:cs="Arial" w:hAnsi="Arial"/>
          <w:sz w:val="22"/>
        </w:rPr>
        <w:t>销量</w:t>
      </w:r>
    </w:p>
    <w:p>
      <w:pPr>
        <w:spacing w:before="120" w:after="120" w:line="288" w:lineRule="auto"/>
        <w:ind w:left="0"/>
        <w:jc w:val="left"/>
      </w:pPr>
      <w:r>
        <w:rPr>
          <w:rFonts w:eastAsia="等线" w:ascii="Arial" w:cs="Arial" w:hAnsi="Arial"/>
          <w:sz w:val="22"/>
        </w:rPr>
        <w:t>产品成本：当期产成品单位成本</w:t>
      </w:r>
      <w:r>
        <w:rPr>
          <w:rFonts w:eastAsia="等线" w:ascii="Arial" w:cs="Arial" w:hAnsi="Arial"/>
          <w:sz w:val="22"/>
        </w:rPr>
        <w:t>*净收入对应的销量</w:t>
      </w:r>
    </w:p>
    <w:p>
      <w:pPr>
        <w:spacing w:before="120" w:after="120" w:line="288" w:lineRule="auto"/>
        <w:ind w:left="0"/>
        <w:jc w:val="left"/>
      </w:pPr>
      <w:r>
        <w:rPr>
          <w:rFonts w:eastAsia="等线" w:ascii="Arial" w:cs="Arial" w:hAnsi="Arial"/>
          <w:sz w:val="22"/>
        </w:rPr>
        <w:t>赠品成本：当期</w:t>
      </w:r>
      <w:r>
        <w:rPr>
          <w:rFonts w:eastAsia="等线" w:ascii="Arial" w:cs="Arial" w:hAnsi="Arial"/>
          <w:sz w:val="22"/>
        </w:rPr>
        <w:t>订单中标记为赠品的产品</w:t>
      </w:r>
      <w:r>
        <w:rPr>
          <w:rFonts w:eastAsia="等线" w:ascii="Arial" w:cs="Arial" w:hAnsi="Arial"/>
          <w:sz w:val="22"/>
        </w:rPr>
        <w:t>单位成本</w:t>
      </w:r>
      <w:r>
        <w:rPr>
          <w:rFonts w:eastAsia="等线" w:ascii="Arial" w:cs="Arial" w:hAnsi="Arial"/>
          <w:sz w:val="22"/>
        </w:rPr>
        <w:t>*净收入对应的赠品数量</w:t>
      </w:r>
      <w:r>
        <w:rPr>
          <w:rFonts w:eastAsia="等线" w:ascii="Arial" w:cs="Arial" w:hAnsi="Arial"/>
          <w:sz w:val="22"/>
        </w:rPr>
        <w:t xml:space="preserve"> （</w:t>
      </w:r>
      <w:r>
        <w:rPr>
          <w:rFonts w:eastAsia="等线" w:ascii="Arial" w:cs="Arial" w:hAnsi="Arial"/>
          <w:sz w:val="22"/>
        </w:rPr>
        <w:t>财务核算</w:t>
      </w:r>
      <w:r>
        <w:rPr>
          <w:rFonts w:eastAsia="等线" w:ascii="Arial" w:cs="Arial" w:hAnsi="Arial"/>
          <w:sz w:val="22"/>
        </w:rPr>
        <w:t>按赠品存货计入产品成本）</w:t>
      </w:r>
    </w:p>
    <w:p>
      <w:pPr>
        <w:spacing w:before="120" w:after="120" w:line="288" w:lineRule="auto"/>
        <w:ind w:left="0"/>
        <w:jc w:val="left"/>
      </w:pPr>
      <w:r>
        <w:rPr>
          <w:rFonts w:eastAsia="等线" w:ascii="Arial" w:cs="Arial" w:hAnsi="Arial"/>
          <w:sz w:val="22"/>
        </w:rPr>
        <w:t>贡献利润：财务净收入</w:t>
      </w:r>
      <w:r>
        <w:rPr>
          <w:rFonts w:eastAsia="等线" w:ascii="Arial" w:cs="Arial" w:hAnsi="Arial"/>
          <w:sz w:val="22"/>
        </w:rPr>
        <w:t>-</w:t>
      </w:r>
      <w:r>
        <w:rPr>
          <w:rFonts w:eastAsia="等线" w:ascii="Arial" w:cs="Arial" w:hAnsi="Arial"/>
          <w:sz w:val="22"/>
        </w:rPr>
        <w:t>产品成本</w:t>
      </w:r>
      <w:r>
        <w:rPr>
          <w:rFonts w:eastAsia="等线" w:ascii="Arial" w:cs="Arial" w:hAnsi="Arial"/>
          <w:sz w:val="22"/>
        </w:rPr>
        <w:t>-</w:t>
      </w:r>
      <w:r>
        <w:rPr>
          <w:rFonts w:eastAsia="等线" w:ascii="Arial" w:cs="Arial" w:hAnsi="Arial"/>
          <w:sz w:val="22"/>
        </w:rPr>
        <w:t>赠品成本</w:t>
      </w:r>
      <w:r>
        <w:rPr>
          <w:rFonts w:eastAsia="等线" w:ascii="Arial" w:cs="Arial" w:hAnsi="Arial"/>
          <w:sz w:val="22"/>
        </w:rPr>
        <w:t>-</w:t>
      </w:r>
      <w:r>
        <w:rPr>
          <w:rFonts w:eastAsia="等线" w:ascii="Arial" w:cs="Arial" w:hAnsi="Arial"/>
          <w:sz w:val="22"/>
        </w:rPr>
        <w:t>营销费用</w:t>
      </w:r>
      <w:r>
        <w:rPr>
          <w:rFonts w:eastAsia="等线" w:ascii="Arial" w:cs="Arial" w:hAnsi="Arial"/>
          <w:sz w:val="22"/>
        </w:rPr>
        <w:t>（不含税）</w:t>
      </w:r>
    </w:p>
    <w:p>
      <w:pPr>
        <w:spacing w:before="120" w:after="120" w:line="288" w:lineRule="auto"/>
        <w:ind w:left="0"/>
        <w:jc w:val="left"/>
      </w:pPr>
      <w:r>
        <w:rPr>
          <w:rFonts w:eastAsia="等线" w:ascii="Arial" w:cs="Arial" w:hAnsi="Arial"/>
          <w:sz w:val="22"/>
        </w:rPr>
        <w:t>贡献利润率：贡献利润在财务净收入的占比</w:t>
      </w:r>
      <w:r>
        <w:rPr>
          <w:rFonts w:eastAsia="等线" w:ascii="Arial" w:cs="Arial" w:hAnsi="Arial"/>
          <w:sz w:val="22"/>
        </w:rPr>
        <w:t>=</w:t>
      </w:r>
      <w:r>
        <w:rPr>
          <w:rFonts w:eastAsia="等线" w:ascii="Arial" w:cs="Arial" w:hAnsi="Arial"/>
          <w:sz w:val="22"/>
        </w:rPr>
        <w:t>贡献利润 / 财务净收入</w:t>
      </w:r>
    </w:p>
    <w:p>
      <w:pPr>
        <w:spacing w:before="120" w:after="120" w:line="288" w:lineRule="auto"/>
        <w:ind w:left="0"/>
        <w:jc w:val="left"/>
      </w:pPr>
      <w:r>
        <w:rPr>
          <w:rFonts w:eastAsia="等线" w:ascii="Arial" w:cs="Arial" w:hAnsi="Arial"/>
          <w:sz w:val="22"/>
        </w:rPr>
        <w:t>销售毛利：财务净收入</w:t>
      </w:r>
      <w:r>
        <w:rPr>
          <w:rFonts w:eastAsia="等线" w:ascii="Arial" w:cs="Arial" w:hAnsi="Arial"/>
          <w:sz w:val="22"/>
        </w:rPr>
        <w:t>-产品成本-赠品成本</w:t>
      </w:r>
      <w:r>
        <w:rPr>
          <w:rFonts w:eastAsia="等线" w:ascii="Arial" w:cs="Arial" w:hAnsi="Arial"/>
          <w:sz w:val="22"/>
          <w:shd w:fill="fff67a"/>
        </w:rPr>
        <w:t xml:space="preserve"> （</w:t>
      </w:r>
      <w:r>
        <w:rPr>
          <w:rFonts w:eastAsia="等线" w:ascii="Arial" w:cs="Arial" w:hAnsi="Arial"/>
          <w:sz w:val="22"/>
          <w:shd w:fill="fff67a"/>
        </w:rPr>
        <w:t>销售毛利尚未扣除</w:t>
      </w:r>
      <w:r>
        <w:rPr>
          <w:rFonts w:eastAsia="等线" w:ascii="Arial" w:cs="Arial" w:hAnsi="Arial"/>
          <w:sz w:val="22"/>
          <w:shd w:fill="fff67a"/>
        </w:rPr>
        <w:t>物流费用）</w:t>
      </w:r>
    </w:p>
    <w:p>
      <w:pPr>
        <w:spacing w:before="120" w:after="120" w:line="288" w:lineRule="auto"/>
        <w:ind w:left="0"/>
        <w:jc w:val="left"/>
      </w:pPr>
      <w:r>
        <w:rPr>
          <w:rFonts w:eastAsia="等线" w:ascii="Arial" w:cs="Arial" w:hAnsi="Arial"/>
          <w:sz w:val="22"/>
        </w:rPr>
        <w:t>销售毛利率：</w:t>
      </w:r>
      <w:r>
        <w:rPr>
          <w:rFonts w:eastAsia="等线" w:ascii="Arial" w:cs="Arial" w:hAnsi="Arial"/>
          <w:sz w:val="22"/>
        </w:rPr>
        <w:t>（财务净收入-产品成本-赠品成本）</w:t>
      </w:r>
      <w:r>
        <w:rPr>
          <w:rFonts w:eastAsia="等线" w:ascii="Arial" w:cs="Arial" w:hAnsi="Arial"/>
          <w:sz w:val="22"/>
        </w:rPr>
        <w:t xml:space="preserve">  /财务净收入</w:t>
      </w:r>
    </w:p>
    <w:p>
      <w:pPr>
        <w:spacing w:before="120" w:after="120" w:line="288" w:lineRule="auto"/>
        <w:ind w:left="0"/>
        <w:jc w:val="left"/>
      </w:pPr>
      <w:r>
        <w:rPr>
          <w:rFonts w:eastAsia="等线" w:ascii="Arial" w:cs="Arial" w:hAnsi="Arial"/>
          <w:sz w:val="22"/>
        </w:rPr>
        <w:t xml:space="preserve">营销费用（不含税）：根据营销费用的一级预算科目展开显示各项营销费用金额（不含税） </w:t>
        <w:br/>
      </w:r>
      <w:r>
        <w:rPr>
          <w:rFonts w:eastAsia="等线" w:ascii="Arial" w:cs="Arial" w:hAnsi="Arial"/>
          <w:sz w:val="22"/>
        </w:rPr>
        <w:t>费比：营销费用（不含税）/财务净收入</w:t>
      </w:r>
    </w:p>
    <w:p>
      <w:pPr>
        <w:spacing w:before="120" w:after="120" w:line="288" w:lineRule="auto"/>
        <w:ind w:left="0"/>
        <w:jc w:val="left"/>
      </w:pPr>
    </w:p>
    <w:sectPr>
      <w:footerReference w:type="default" r:id="rId3"/>
      <w:headerReference w:type="default" r:id="rId4"/>
      <w:headerReference w:type="first" r:id="rId5"/>
      <w:headerReference w:type="even"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 Id="rId5" Target="header2.xml" Type="http://schemas.openxmlformats.org/officeDocument/2006/relationships/header"/><Relationship Id="rId6" Target="header3.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2023-12-01T03:40:33Z</dcterms:created>
  <dc:creator>Apache POI</dc:creator>
</cp:coreProperties>
</file>