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3.2.3 报表逻辑说明</w:t>
      </w:r>
    </w:p>
    <w:p>
      <w:pPr>
        <w:spacing w:before="120" w:after="120" w:line="288" w:lineRule="auto"/>
        <w:ind w:left="0"/>
        <w:jc w:val="left"/>
      </w:pPr>
      <w:r>
        <w:rPr>
          <w:rFonts w:eastAsia="等线" w:ascii="Arial" w:cs="Arial" w:hAnsi="Arial"/>
          <w:b w:val="true"/>
          <w:i w:val="true"/>
          <w:color w:val="646a73"/>
          <w:sz w:val="22"/>
        </w:rPr>
        <w:t>需求文档：</w:t>
      </w:r>
      <w:r>
        <w:rPr>
          <w:rFonts w:eastAsia="等线" w:ascii="Arial" w:cs="Arial" w:hAnsi="Arial"/>
          <w:i w:val="true"/>
          <w:color w:val="646a73"/>
          <w:sz w:val="22"/>
        </w:rPr>
        <w:t xml:space="preserve"> </w:t>
      </w:r>
    </w:p>
    <w:p>
      <w:pPr>
        <w:spacing w:before="120" w:after="120" w:line="288" w:lineRule="auto"/>
        <w:ind w:left="0"/>
        <w:jc w:val="left"/>
      </w:pPr>
      <w:r>
        <w:rPr>
          <w:rFonts w:eastAsia="等线" w:ascii="Arial" w:cs="Arial" w:hAnsi="Arial"/>
          <w:b w:val="true"/>
          <w:i w:val="true"/>
          <w:color w:val="646a73"/>
          <w:sz w:val="22"/>
        </w:rPr>
        <w:t>时间计划：</w:t>
      </w:r>
      <w:r>
        <w:rPr>
          <w:rFonts w:eastAsia="等线" w:ascii="Arial" w:cs="Arial" w:hAnsi="Arial"/>
          <w:i w:val="true"/>
          <w:color w:val="646a73"/>
          <w:sz w:val="22"/>
        </w:rPr>
        <w:t xml:space="preserve"> </w:t>
      </w:r>
    </w:p>
    <w:p>
      <w:pPr>
        <w:spacing w:before="120" w:after="120" w:line="288" w:lineRule="auto"/>
        <w:ind w:left="0"/>
        <w:jc w:val="left"/>
      </w:pPr>
      <w:r>
        <w:rPr>
          <w:rFonts w:eastAsia="等线" w:ascii="Arial" w:cs="Arial" w:hAnsi="Arial"/>
          <w:b w:val="true"/>
          <w:i w:val="true"/>
          <w:color w:val="646a73"/>
          <w:sz w:val="22"/>
        </w:rPr>
        <w:t>项目人员：</w:t>
      </w:r>
      <w:r>
        <w:rPr>
          <w:rFonts w:eastAsia="等线" w:ascii="Arial" w:cs="Arial" w:hAnsi="Arial"/>
          <w:i w:val="true"/>
          <w:color w:val="646a73"/>
          <w:sz w:val="22"/>
        </w:rPr>
        <w:t xml:space="preserve"> </w:t>
      </w:r>
    </w:p>
    <w:p>
      <w:pPr>
        <w:pStyle w:val="1"/>
        <w:spacing w:before="380" w:after="140" w:line="288" w:lineRule="auto"/>
        <w:ind w:left="0"/>
        <w:jc w:val="left"/>
        <w:outlineLvl w:val="0"/>
      </w:pPr>
      <w:r>
        <w:rPr>
          <w:rFonts w:eastAsia="等线" w:ascii="Arial" w:cs="Arial" w:hAnsi="Arial"/>
          <w:b w:val="true"/>
          <w:sz w:val="36"/>
        </w:rPr>
        <w:t>一、</w:t>
      </w:r>
      <w:r>
        <w:rPr>
          <w:rFonts w:eastAsia="等线" w:ascii="Arial" w:cs="Arial" w:hAnsi="Arial"/>
          <w:b w:val="true"/>
          <w:sz w:val="36"/>
        </w:rPr>
        <w:t>需求说明</w:t>
      </w:r>
    </w:p>
    <w:p>
      <w:pPr>
        <w:pStyle w:val="2"/>
        <w:spacing w:before="320" w:after="120" w:line="288" w:lineRule="auto"/>
        <w:ind w:left="0"/>
        <w:jc w:val="left"/>
        <w:outlineLvl w:val="1"/>
      </w:pPr>
      <w:r>
        <w:rPr>
          <w:rFonts w:eastAsia="等线" w:ascii="Arial" w:cs="Arial" w:hAnsi="Arial"/>
          <w:b w:val="true"/>
          <w:sz w:val="32"/>
        </w:rPr>
        <w:t xml:space="preserve">1.1 </w:t>
      </w:r>
      <w:r>
        <w:rPr>
          <w:rFonts w:eastAsia="等线" w:ascii="Arial" w:cs="Arial" w:hAnsi="Arial"/>
          <w:b w:val="true"/>
          <w:sz w:val="32"/>
        </w:rPr>
        <w:t>文档定位</w:t>
      </w:r>
    </w:p>
    <w:p>
      <w:pPr>
        <w:spacing w:before="120" w:after="120" w:line="288" w:lineRule="auto"/>
        <w:ind w:left="0"/>
        <w:jc w:val="left"/>
      </w:pPr>
      <w:r>
        <w:rPr>
          <w:rFonts w:eastAsia="等线" w:ascii="Arial" w:cs="Arial" w:hAnsi="Arial"/>
          <w:color w:val="8f959e"/>
          <w:sz w:val="22"/>
        </w:rPr>
        <w:t>本次文档主要目的是对花西子业财一体项目中设计到的经营分析报表内容进行整理、设计，从而指导后续系统实现系统中实现。</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shd w:fill="fff67a"/>
        </w:rPr>
        <w:t>1.2 需求</w:t>
      </w:r>
      <w:r>
        <w:rPr>
          <w:rFonts w:eastAsia="等线" w:ascii="Arial" w:cs="Arial" w:hAnsi="Arial"/>
          <w:b w:val="true"/>
          <w:sz w:val="32"/>
          <w:shd w:fill="fff67a"/>
        </w:rPr>
        <w:t>清单</w:t>
      </w:r>
    </w:p>
    <w:p>
      <w:pPr>
        <w:spacing w:before="120" w:after="120" w:line="288" w:lineRule="auto"/>
        <w:ind w:left="0"/>
        <w:jc w:val="left"/>
      </w:pPr>
      <w:r>
        <w:rPr>
          <w:rFonts w:eastAsia="等线" w:ascii="Arial" w:cs="Arial" w:hAnsi="Arial"/>
          <w:sz w:val="22"/>
        </w:rPr>
        <w:t>本次项目涉及分析报表需求共XX张，详见下表。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报表名称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所属主题域</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使用部门</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更新频率</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bl>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二、</w:t>
      </w:r>
      <w:r>
        <w:rPr>
          <w:rFonts w:eastAsia="等线" w:ascii="Arial" w:cs="Arial" w:hAnsi="Arial"/>
          <w:b w:val="true"/>
          <w:sz w:val="36"/>
        </w:rPr>
        <w:t>经营分析总览</w:t>
      </w:r>
    </w:p>
    <w:p>
      <w:pPr>
        <w:spacing w:before="120" w:after="120" w:line="288" w:lineRule="auto"/>
        <w:ind w:left="0"/>
        <w:jc w:val="left"/>
      </w:pPr>
      <w:r>
        <w:rPr>
          <w:rFonts w:eastAsia="等线" w:ascii="Arial" w:cs="Arial" w:hAnsi="Arial"/>
          <w:sz w:val="22"/>
        </w:rPr>
        <w:t>经营分析总览共涉及xx张报表。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报表名称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所属主题域</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使用部门</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更新频率</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bl>
    <w:p>
      <w:pPr>
        <w:pStyle w:val="2"/>
        <w:spacing w:before="320" w:after="120" w:line="288" w:lineRule="auto"/>
        <w:ind w:left="0"/>
        <w:jc w:val="left"/>
        <w:outlineLvl w:val="1"/>
      </w:pPr>
      <w:r>
        <w:rPr>
          <w:rFonts w:eastAsia="等线" w:ascii="Arial" w:cs="Arial" w:hAnsi="Arial"/>
          <w:b w:val="true"/>
          <w:sz w:val="32"/>
        </w:rPr>
        <w:t>2.1 经营分析驾驶舱</w:t>
      </w:r>
    </w:p>
    <w:p>
      <w:pPr>
        <w:pStyle w:val="3"/>
        <w:spacing w:before="300" w:after="120" w:line="288" w:lineRule="auto"/>
        <w:ind w:left="453"/>
        <w:jc w:val="left"/>
        <w:outlineLvl w:val="2"/>
      </w:pPr>
      <w:r>
        <w:rPr>
          <w:rFonts w:eastAsia="等线" w:ascii="Arial" w:cs="Arial" w:hAnsi="Arial"/>
          <w:b w:val="true"/>
          <w:sz w:val="30"/>
        </w:rPr>
        <w:t>2.1.1 展示样式</w:t>
      </w:r>
    </w:p>
    <w:p>
      <w:pPr>
        <w:spacing w:before="120" w:after="120" w:line="288" w:lineRule="auto"/>
        <w:ind w:left="453"/>
        <w:jc w:val="left"/>
      </w:pPr>
      <w:r>
        <w:rPr>
          <w:rFonts w:eastAsia="等线" w:ascii="Arial" w:cs="Arial" w:hAnsi="Arial"/>
          <w:sz w:val="22"/>
        </w:rPr>
        <w:t>报表展示样式示例：</w:t>
      </w:r>
    </w:p>
    <w:p>
      <w:pPr>
        <w:numPr>
          <w:numId w:val="1"/>
        </w:numPr>
        <w:spacing w:before="120" w:after="120" w:line="288" w:lineRule="auto"/>
        <w:ind w:left="907"/>
        <w:jc w:val="left"/>
      </w:pPr>
      <w:r>
        <w:rPr>
          <w:rFonts w:eastAsia="等线" w:ascii="Arial" w:cs="Arial" w:hAnsi="Arial"/>
          <w:sz w:val="22"/>
        </w:rPr>
        <w:t>PC端</w:t>
      </w:r>
    </w:p>
    <w:p>
      <w:pPr>
        <w:spacing w:before="120" w:after="120" w:line="288" w:lineRule="auto"/>
        <w:ind w:left="907"/>
        <w:jc w:val="left"/>
      </w:pPr>
      <w:r>
        <w:drawing>
          <wp:inline distT="0" distR="0" distB="0" distL="0">
            <wp:extent cx="5257800" cy="2619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619375"/>
                    </a:xfrm>
                    <a:prstGeom prst="rect">
                      <a:avLst/>
                    </a:prstGeom>
                  </pic:spPr>
                </pic:pic>
              </a:graphicData>
            </a:graphic>
          </wp:inline>
        </w:drawing>
      </w:r>
    </w:p>
    <w:p>
      <w:pPr>
        <w:spacing w:before="120" w:after="120" w:line="288" w:lineRule="auto"/>
        <w:ind w:left="907"/>
        <w:jc w:val="left"/>
      </w:pPr>
      <w:r>
        <w:drawing>
          <wp:inline distT="0" distR="0" distB="0" distL="0">
            <wp:extent cx="5257800" cy="31718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171825"/>
                    </a:xfrm>
                    <a:prstGeom prst="rect">
                      <a:avLst/>
                    </a:prstGeom>
                  </pic:spPr>
                </pic:pic>
              </a:graphicData>
            </a:graphic>
          </wp:inline>
        </w:drawing>
      </w:r>
    </w:p>
    <w:p>
      <w:pPr>
        <w:numPr>
          <w:numId w:val="2"/>
        </w:numPr>
        <w:spacing w:before="120" w:after="120" w:line="288" w:lineRule="auto"/>
        <w:ind w:left="907"/>
        <w:jc w:val="left"/>
      </w:pPr>
      <w:r>
        <w:rPr>
          <w:rFonts w:eastAsia="等线" w:ascii="Arial" w:cs="Arial" w:hAnsi="Arial"/>
          <w:sz w:val="22"/>
        </w:rPr>
        <w:t>移动端</w:t>
      </w:r>
    </w:p>
    <w:p>
      <w:pPr>
        <w:spacing w:before="120" w:after="120" w:line="288" w:lineRule="auto"/>
        <w:ind w:left="907"/>
        <w:jc w:val="left"/>
      </w:pPr>
      <w:r>
        <w:drawing>
          <wp:inline distT="0" distR="0" distB="0" distL="0">
            <wp:extent cx="5257800" cy="36099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609975"/>
                    </a:xfrm>
                    <a:prstGeom prst="rect">
                      <a:avLst/>
                    </a:prstGeom>
                  </pic:spPr>
                </pic:pic>
              </a:graphicData>
            </a:graphic>
          </wp:inline>
        </w:drawing>
      </w:r>
    </w:p>
    <w:p>
      <w:pPr>
        <w:spacing w:before="120" w:after="120" w:line="288" w:lineRule="auto"/>
        <w:ind w:left="907"/>
        <w:jc w:val="left"/>
      </w:pPr>
    </w:p>
    <w:p>
      <w:pPr>
        <w:pStyle w:val="3"/>
        <w:spacing w:before="300" w:after="120" w:line="288" w:lineRule="auto"/>
        <w:ind w:left="907"/>
        <w:jc w:val="left"/>
        <w:outlineLvl w:val="2"/>
      </w:pPr>
      <w:r>
        <w:rPr>
          <w:rFonts w:eastAsia="等线" w:ascii="Arial" w:cs="Arial" w:hAnsi="Arial"/>
          <w:b w:val="true"/>
          <w:sz w:val="30"/>
        </w:rPr>
        <w:t>2.1.2 筛选信息</w:t>
      </w:r>
    </w:p>
    <w:p>
      <w:pPr>
        <w:spacing w:before="120" w:after="120" w:line="288" w:lineRule="auto"/>
        <w:ind w:left="0"/>
        <w:jc w:val="left"/>
      </w:pPr>
      <w:r>
        <w:rPr>
          <w:rFonts w:eastAsia="等线" w:ascii="Arial" w:cs="Arial" w:hAnsi="Arial"/>
          <w:sz w:val="22"/>
        </w:rPr>
        <w:t>请在此描述报表的输入的筛选字段。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筛选字段名</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必输/可选</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默认值</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示例</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年月</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必输</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当前年月</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2023.04 </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渠道</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可选 </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bl>
    <w:p>
      <w:pPr>
        <w:spacing w:before="120" w:after="120" w:line="288" w:lineRule="auto"/>
        <w:ind w:left="0"/>
        <w:jc w:val="left"/>
      </w:pPr>
    </w:p>
    <w:p>
      <w:pPr>
        <w:pStyle w:val="3"/>
        <w:spacing w:before="300" w:after="120" w:line="288" w:lineRule="auto"/>
        <w:ind w:left="453"/>
        <w:jc w:val="left"/>
        <w:outlineLvl w:val="2"/>
      </w:pPr>
      <w:r>
        <w:rPr>
          <w:rFonts w:eastAsia="等线" w:ascii="Arial" w:cs="Arial" w:hAnsi="Arial"/>
          <w:b w:val="true"/>
          <w:sz w:val="30"/>
        </w:rPr>
        <w:t>2.1.3 核心维度字段说明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92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业务描述</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取数逻辑</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月份</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日期数值</w:t>
            </w:r>
          </w:p>
        </w:tc>
        <w:tc>
          <w:tcPr>
            <w:tcW w:w="192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品牌</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文本</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渠道 </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店铺</w:t>
            </w:r>
          </w:p>
        </w:tc>
        <w:tc>
          <w:tcPr>
            <w:tcW w:w="1500" w:type="dxa"/>
            <w:tcMar>
              <w:top w:type="dxa" w:w="60"/>
              <w:left w:type="dxa" w:w="120"/>
              <w:bottom w:type="dxa" w:w="30"/>
              <w:right w:type="dxa" w:w="120"/>
            </w:tcMar>
          </w:tcPr>
          <w:p>
            <w:pPr>
              <w:spacing w:before="120" w:after="120" w:line="288" w:lineRule="auto"/>
              <w:ind w:left="0"/>
              <w:jc w:val="center"/>
            </w:pPr>
          </w:p>
        </w:tc>
        <w:tc>
          <w:tcPr>
            <w:tcW w:w="192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业务来源</w:t>
            </w:r>
          </w:p>
        </w:tc>
        <w:tc>
          <w:tcPr>
            <w:tcW w:w="1500" w:type="dxa"/>
            <w:tcMar>
              <w:top w:type="dxa" w:w="60"/>
              <w:left w:type="dxa" w:w="120"/>
              <w:bottom w:type="dxa" w:w="30"/>
              <w:right w:type="dxa" w:w="120"/>
            </w:tcMar>
          </w:tcPr>
          <w:p>
            <w:pPr>
              <w:spacing w:before="120" w:after="120" w:line="288" w:lineRule="auto"/>
              <w:ind w:left="0"/>
              <w:jc w:val="center"/>
            </w:pPr>
          </w:p>
        </w:tc>
        <w:tc>
          <w:tcPr>
            <w:tcW w:w="192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业务单元</w:t>
            </w:r>
          </w:p>
        </w:tc>
        <w:tc>
          <w:tcPr>
            <w:tcW w:w="1500" w:type="dxa"/>
            <w:tcMar>
              <w:top w:type="dxa" w:w="60"/>
              <w:left w:type="dxa" w:w="120"/>
              <w:bottom w:type="dxa" w:w="30"/>
              <w:right w:type="dxa" w:w="120"/>
            </w:tcMar>
          </w:tcPr>
          <w:p>
            <w:pPr>
              <w:spacing w:before="120" w:after="120" w:line="288" w:lineRule="auto"/>
              <w:ind w:left="0"/>
              <w:jc w:val="center"/>
            </w:pPr>
          </w:p>
        </w:tc>
        <w:tc>
          <w:tcPr>
            <w:tcW w:w="192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一级品类</w:t>
            </w:r>
          </w:p>
        </w:tc>
        <w:tc>
          <w:tcPr>
            <w:tcW w:w="1500" w:type="dxa"/>
            <w:tcMar>
              <w:top w:type="dxa" w:w="60"/>
              <w:left w:type="dxa" w:w="120"/>
              <w:bottom w:type="dxa" w:w="30"/>
              <w:right w:type="dxa" w:w="120"/>
            </w:tcMar>
          </w:tcPr>
          <w:p>
            <w:pPr>
              <w:spacing w:before="120" w:after="120" w:line="288" w:lineRule="auto"/>
              <w:ind w:left="0"/>
              <w:jc w:val="center"/>
            </w:pPr>
          </w:p>
        </w:tc>
        <w:tc>
          <w:tcPr>
            <w:tcW w:w="192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二级品类</w:t>
            </w:r>
          </w:p>
        </w:tc>
        <w:tc>
          <w:tcPr>
            <w:tcW w:w="1500" w:type="dxa"/>
            <w:tcMar>
              <w:top w:type="dxa" w:w="60"/>
              <w:left w:type="dxa" w:w="120"/>
              <w:bottom w:type="dxa" w:w="30"/>
              <w:right w:type="dxa" w:w="120"/>
            </w:tcMar>
          </w:tcPr>
          <w:p>
            <w:pPr>
              <w:spacing w:before="120" w:after="120" w:line="288" w:lineRule="auto"/>
              <w:ind w:left="0"/>
              <w:jc w:val="center"/>
            </w:pPr>
          </w:p>
        </w:tc>
        <w:tc>
          <w:tcPr>
            <w:tcW w:w="192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三级品类</w:t>
            </w:r>
          </w:p>
        </w:tc>
        <w:tc>
          <w:tcPr>
            <w:tcW w:w="1500" w:type="dxa"/>
            <w:tcMar>
              <w:top w:type="dxa" w:w="60"/>
              <w:left w:type="dxa" w:w="120"/>
              <w:bottom w:type="dxa" w:w="30"/>
              <w:right w:type="dxa" w:w="120"/>
            </w:tcMar>
          </w:tcPr>
          <w:p>
            <w:pPr>
              <w:spacing w:before="120" w:after="120" w:line="288" w:lineRule="auto"/>
              <w:ind w:left="0"/>
              <w:jc w:val="center"/>
            </w:pPr>
          </w:p>
        </w:tc>
        <w:tc>
          <w:tcPr>
            <w:tcW w:w="192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w:t>
            </w:r>
          </w:p>
        </w:tc>
        <w:tc>
          <w:tcPr>
            <w:tcW w:w="1500" w:type="dxa"/>
            <w:tcMar>
              <w:top w:type="dxa" w:w="60"/>
              <w:left w:type="dxa" w:w="120"/>
              <w:bottom w:type="dxa" w:w="30"/>
              <w:right w:type="dxa" w:w="120"/>
            </w:tcMar>
          </w:tcPr>
          <w:p>
            <w:pPr>
              <w:spacing w:before="120" w:after="120" w:line="288" w:lineRule="auto"/>
              <w:ind w:left="0"/>
              <w:jc w:val="center"/>
            </w:pPr>
          </w:p>
        </w:tc>
        <w:tc>
          <w:tcPr>
            <w:tcW w:w="192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453"/>
        <w:jc w:val="left"/>
        <w:outlineLvl w:val="2"/>
      </w:pPr>
      <w:r>
        <w:rPr>
          <w:rFonts w:eastAsia="等线" w:ascii="Arial" w:cs="Arial" w:hAnsi="Arial"/>
          <w:b w:val="true"/>
          <w:sz w:val="30"/>
        </w:rPr>
        <w:t>2.1.4 核心指标逻辑说明</w:t>
      </w:r>
    </w:p>
    <w:p>
      <w:pPr>
        <w:spacing w:before="120" w:after="120" w:line="288" w:lineRule="auto"/>
        <w:ind w:left="453"/>
        <w:jc w:val="left"/>
      </w:pPr>
      <w:r>
        <w:rPr>
          <w:rFonts w:eastAsia="等线" w:ascii="Arial" w:cs="Arial" w:hAnsi="Arial"/>
          <w:sz w:val="22"/>
        </w:rPr>
        <w:t>详细说明：</w:t>
      </w:r>
      <w:hyperlink r:id="rId8">
        <w:r>
          <w:rPr>
            <w:rFonts w:eastAsia="等线" w:ascii="Arial" w:cs="Arial" w:hAnsi="Arial"/>
            <w:color w:val="3370ff"/>
            <w:sz w:val="22"/>
            <w:u w:val="single"/>
          </w:rPr>
          <w:t>经分指标清单</w:t>
        </w:r>
      </w:hyperlink>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485"/>
        <w:gridCol w:w="1905"/>
        <w:gridCol w:w="1905"/>
        <w:gridCol w:w="1485"/>
      </w:tblGrid>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指标业务描述</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指标计算公式</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单位</w:t>
            </w:r>
          </w:p>
        </w:tc>
      </w:tr>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485"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center"/>
            </w:pPr>
          </w:p>
        </w:tc>
      </w:tr>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485"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bl>
    <w:p>
      <w:pPr>
        <w:spacing w:before="120" w:after="120" w:line="288" w:lineRule="auto"/>
        <w:ind w:left="0"/>
        <w:jc w:val="left"/>
      </w:pPr>
    </w:p>
    <w:p>
      <w:pPr>
        <w:pStyle w:val="3"/>
        <w:spacing w:before="300" w:after="120" w:line="288" w:lineRule="auto"/>
        <w:ind w:left="453"/>
        <w:jc w:val="left"/>
        <w:outlineLvl w:val="2"/>
      </w:pPr>
      <w:r>
        <w:rPr>
          <w:rFonts w:eastAsia="等线" w:ascii="Arial" w:cs="Arial" w:hAnsi="Arial"/>
          <w:b w:val="true"/>
          <w:sz w:val="30"/>
        </w:rPr>
        <w:t>2.1.5 核心取数逻辑说明</w:t>
      </w:r>
    </w:p>
    <w:p>
      <w:pPr>
        <w:spacing w:before="120" w:after="120" w:line="288" w:lineRule="auto"/>
        <w:ind w:left="0"/>
        <w:jc w:val="left"/>
      </w:pPr>
      <w:r>
        <w:rPr>
          <w:rFonts w:eastAsia="等线" w:ascii="Arial" w:cs="Arial" w:hAnsi="Arial"/>
          <w:sz w:val="22"/>
          <w:shd w:fill="ffe928"/>
        </w:rPr>
        <w:t>说明除直接分配外的特殊取数逻辑</w:t>
      </w:r>
    </w:p>
    <w:p>
      <w:pPr>
        <w:spacing w:before="120" w:after="120" w:line="288" w:lineRule="auto"/>
        <w:ind w:left="0"/>
        <w:jc w:val="left"/>
      </w:pPr>
      <w:r>
        <w:rPr>
          <w:rFonts w:eastAsia="等线" w:ascii="Arial" w:cs="Arial" w:hAnsi="Arial"/>
          <w:sz w:val="22"/>
        </w:rPr>
        <w:t>经分科目涉及物料类型的写死逻辑</w:t>
      </w:r>
    </w:p>
    <w:p>
      <w:pPr>
        <w:pStyle w:val="2"/>
        <w:spacing w:before="320" w:after="120" w:line="288" w:lineRule="auto"/>
        <w:ind w:left="0"/>
        <w:jc w:val="left"/>
        <w:outlineLvl w:val="1"/>
      </w:pPr>
      <w:r>
        <w:rPr>
          <w:rFonts w:eastAsia="等线" w:ascii="Arial" w:cs="Arial" w:hAnsi="Arial"/>
          <w:b w:val="true"/>
          <w:sz w:val="32"/>
        </w:rPr>
        <w:t>2.2 品牌分析报表</w:t>
      </w:r>
    </w:p>
    <w:p>
      <w:pPr>
        <w:pStyle w:val="3"/>
        <w:spacing w:before="300" w:after="120" w:line="288" w:lineRule="auto"/>
        <w:ind w:left="453"/>
        <w:jc w:val="left"/>
        <w:outlineLvl w:val="2"/>
      </w:pPr>
      <w:r>
        <w:rPr>
          <w:rFonts w:eastAsia="等线" w:ascii="Arial" w:cs="Arial" w:hAnsi="Arial"/>
          <w:b w:val="true"/>
          <w:sz w:val="30"/>
        </w:rPr>
        <w:t>2.2.1 展示样式</w:t>
      </w:r>
    </w:p>
    <w:p>
      <w:pPr>
        <w:spacing w:before="120" w:after="120" w:line="288" w:lineRule="auto"/>
        <w:ind w:left="0"/>
        <w:jc w:val="left"/>
      </w:pPr>
      <w:r>
        <w:rPr>
          <w:rFonts w:eastAsia="等线" w:ascii="Arial" w:cs="Arial" w:hAnsi="Arial"/>
          <w:sz w:val="22"/>
          <w:shd w:fill="ffe928"/>
        </w:rPr>
        <w:t>此处列示报表展示样式示例：</w:t>
      </w:r>
    </w:p>
    <w:p>
      <w:pPr>
        <w:pStyle w:val="3"/>
        <w:spacing w:before="300" w:after="120" w:line="288" w:lineRule="auto"/>
        <w:ind w:left="453"/>
        <w:jc w:val="left"/>
        <w:outlineLvl w:val="2"/>
      </w:pPr>
      <w:r>
        <w:rPr>
          <w:rFonts w:eastAsia="等线" w:ascii="Arial" w:cs="Arial" w:hAnsi="Arial"/>
          <w:b w:val="true"/>
          <w:sz w:val="30"/>
        </w:rPr>
        <w:t>2.2.2 筛选信息</w:t>
      </w:r>
    </w:p>
    <w:p>
      <w:pPr>
        <w:spacing w:before="120" w:after="120" w:line="288" w:lineRule="auto"/>
        <w:ind w:left="0"/>
        <w:jc w:val="left"/>
      </w:pPr>
      <w:r>
        <w:rPr>
          <w:rFonts w:eastAsia="等线" w:ascii="Arial" w:cs="Arial" w:hAnsi="Arial"/>
          <w:sz w:val="22"/>
        </w:rPr>
        <w:t>请在此描述报表的输入的筛选字段。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485"/>
        <w:gridCol w:w="1905"/>
        <w:gridCol w:w="1905"/>
        <w:gridCol w:w="1485"/>
      </w:tblGrid>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筛选字段名</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必输/可选</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默认值</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示例</w:t>
            </w:r>
          </w:p>
        </w:tc>
      </w:tr>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年月</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必输</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当前年月</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2023.04</w:t>
            </w:r>
          </w:p>
        </w:tc>
      </w:tr>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渠道</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可选</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bl>
    <w:p>
      <w:pPr>
        <w:spacing w:before="120" w:after="120" w:line="288" w:lineRule="auto"/>
        <w:ind w:left="0"/>
        <w:jc w:val="left"/>
      </w:pPr>
    </w:p>
    <w:p>
      <w:pPr>
        <w:pStyle w:val="3"/>
        <w:spacing w:before="300" w:after="120" w:line="288" w:lineRule="auto"/>
        <w:ind w:left="453"/>
        <w:jc w:val="left"/>
        <w:outlineLvl w:val="2"/>
      </w:pPr>
      <w:r>
        <w:rPr>
          <w:rFonts w:eastAsia="等线" w:ascii="Arial" w:cs="Arial" w:hAnsi="Arial"/>
          <w:b w:val="true"/>
          <w:sz w:val="30"/>
        </w:rPr>
        <w:t>2.2.3 核心维度字段说明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485"/>
        <w:gridCol w:w="1905"/>
        <w:gridCol w:w="1905"/>
        <w:gridCol w:w="1485"/>
      </w:tblGrid>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字段名称</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业务描述</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取数逻辑</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文本</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结算单-订单客户</w:t>
            </w:r>
          </w:p>
        </w:tc>
        <w:tc>
          <w:tcPr>
            <w:tcW w:w="1485" w:type="dxa"/>
            <w:tcMar>
              <w:top w:type="dxa" w:w="60"/>
              <w:left w:type="dxa" w:w="120"/>
              <w:bottom w:type="dxa" w:w="30"/>
              <w:right w:type="dxa" w:w="120"/>
            </w:tcMar>
          </w:tcPr>
          <w:p>
            <w:pPr>
              <w:spacing w:before="120" w:after="120" w:line="288" w:lineRule="auto"/>
              <w:ind w:left="0"/>
              <w:jc w:val="center"/>
            </w:pPr>
          </w:p>
        </w:tc>
      </w:tr>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485" w:type="dxa"/>
            <w:tcMar>
              <w:top w:type="dxa" w:w="60"/>
              <w:left w:type="dxa" w:w="120"/>
              <w:bottom w:type="dxa" w:w="30"/>
              <w:right w:type="dxa" w:w="120"/>
            </w:tcMar>
          </w:tcPr>
          <w:p>
            <w:pPr>
              <w:spacing w:before="120" w:after="120" w:line="288" w:lineRule="auto"/>
              <w:ind w:left="0"/>
              <w:jc w:val="center"/>
            </w:pPr>
          </w:p>
        </w:tc>
        <w:tc>
          <w:tcPr>
            <w:tcW w:w="1905" w:type="dxa"/>
            <w:tcMar>
              <w:top w:type="dxa" w:w="60"/>
              <w:left w:type="dxa" w:w="120"/>
              <w:bottom w:type="dxa" w:w="30"/>
              <w:right w:type="dxa" w:w="120"/>
            </w:tcMar>
          </w:tcPr>
          <w:p>
            <w:pPr>
              <w:spacing w:before="120" w:after="120" w:line="288" w:lineRule="auto"/>
              <w:ind w:left="0"/>
              <w:jc w:val="center"/>
            </w:pP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bl>
    <w:p>
      <w:pPr>
        <w:spacing w:before="120" w:after="120" w:line="288" w:lineRule="auto"/>
        <w:ind w:left="0"/>
        <w:jc w:val="left"/>
      </w:pPr>
    </w:p>
    <w:p>
      <w:pPr>
        <w:pStyle w:val="3"/>
        <w:spacing w:before="300" w:after="120" w:line="288" w:lineRule="auto"/>
        <w:ind w:left="453"/>
        <w:jc w:val="left"/>
        <w:outlineLvl w:val="2"/>
      </w:pPr>
      <w:r>
        <w:rPr>
          <w:rFonts w:eastAsia="等线" w:ascii="Arial" w:cs="Arial" w:hAnsi="Arial"/>
          <w:b w:val="true"/>
          <w:sz w:val="30"/>
        </w:rPr>
        <w:t>2.2.4 核心指标逻辑说明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485"/>
        <w:gridCol w:w="1905"/>
        <w:gridCol w:w="1905"/>
        <w:gridCol w:w="1485"/>
      </w:tblGrid>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指标业务描述</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指标计算公式</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单位</w:t>
            </w:r>
          </w:p>
        </w:tc>
      </w:tr>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485"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center"/>
            </w:pPr>
          </w:p>
        </w:tc>
      </w:tr>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485"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bl>
    <w:sectPr>
      <w:footerReference w:type="default" r:id="rId3"/>
      <w:headerReference w:type="default" r:id="rId9"/>
      <w:headerReference w:type="first" r:id="rId10"/>
      <w:headerReference w:type="even"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耿江华 8743"/>
          <v:fill opacity="0.3"/>
        </v:shape>
      </w:pict>
    </w:r>
  </w:p>
</w:hdr>
</file>

<file path=word/header2.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header3.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3" o:spid="_x0000_s1027"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numbering.xml><?xml version="1.0" encoding="utf-8"?>
<w:numbering xmlns:w="http://schemas.openxmlformats.org/wordprocessingml/2006/main">
  <w:abstractNum w:abstractNumId="22674">
    <w:lvl>
      <w:numFmt w:val="bullet"/>
      <w:suff w:val="tab"/>
      <w:lvlText w:val="▪"/>
      <w:rPr>
        <w:color w:val="3370ff"/>
        <w:sz w:val="11"/>
      </w:rPr>
    </w:lvl>
  </w:abstractNum>
  <w:abstractNum w:abstractNumId="22675">
    <w:lvl>
      <w:numFmt w:val="bullet"/>
      <w:suff w:val="tab"/>
      <w:lvlText w:val="▪"/>
      <w:rPr>
        <w:color w:val="3370ff"/>
        <w:sz w:val="11"/>
      </w:rPr>
    </w:lvl>
  </w:abstractNum>
  <w:num w:numId="1">
    <w:abstractNumId w:val="22674"/>
  </w:num>
  <w:num w:numId="2">
    <w:abstractNumId w:val="226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2.xml" Type="http://schemas.openxmlformats.org/officeDocument/2006/relationships/header"/><Relationship Id="rId11" Target="header3.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ttps://smmqalicrx.feishu.cn/wiki/wikcnrHt9y3ZFFlOQKNzJdnnqFb" TargetMode="External" Type="http://schemas.openxmlformats.org/officeDocument/2006/relationships/hyperlink"/><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2023-12-01T03:42:37Z</dcterms:created>
  <dc:creator>Apache POI</dc:creator>
</cp:coreProperties>
</file>