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业财系统与达人系统衔接方案会议纪要</w:t>
      </w:r>
    </w:p>
    <w:p>
      <w:pPr>
        <w:pStyle w:val="1"/>
        <w:spacing w:before="380" w:after="140" w:line="288" w:lineRule="auto"/>
        <w:ind w:left="0"/>
        <w:jc w:val="left"/>
        <w:outlineLvl w:val="0"/>
      </w:pPr>
      <w:r>
        <w:rPr>
          <w:rFonts w:eastAsia="等线" w:ascii="Arial" w:cs="Arial" w:hAnsi="Arial"/>
          <w:color w:val="3370ff"/>
          <w:sz w:val="36"/>
        </w:rPr>
        <w:t xml:space="preserve">1. </w:t>
      </w:r>
      <w:r>
        <w:rPr>
          <w:rFonts w:eastAsia="等线" w:ascii="Arial" w:cs="Arial" w:hAnsi="Arial"/>
          <w:b w:val="true"/>
          <w:sz w:val="36"/>
        </w:rPr>
        <w:t>概览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6510"/>
      </w:tblGrid>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会议日期 </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2023年5月31日 10:00:00</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参会人</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大卫、黎叔、农夫、东方、念真、黛安、陈玄、陈炜、吴杰、张丹</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会议必读资料</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输入 @ 插入相关文档</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color w:val="3370ff"/>
          <w:sz w:val="36"/>
        </w:rPr>
        <w:t xml:space="preserve">2. </w:t>
      </w:r>
      <w:r>
        <w:rPr>
          <w:rFonts w:eastAsia="等线" w:ascii="Arial" w:cs="Arial" w:hAnsi="Arial"/>
          <w:b w:val="true"/>
          <w:sz w:val="36"/>
        </w:rPr>
        <w:t>议题</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r>
              <w:rPr>
                <w:rFonts w:eastAsia="等线" w:ascii="Arial" w:cs="Arial" w:hAnsi="Arial"/>
                <w:color w:val="3370ff"/>
                <w:sz w:val="30"/>
              </w:rPr>
              <w:t xml:space="preserve">2.1 </w:t>
            </w:r>
            <w:r>
              <w:rPr>
                <w:rFonts w:eastAsia="等线" w:ascii="Arial" w:cs="Arial" w:hAnsi="Arial"/>
                <w:b w:val="true"/>
                <w:sz w:val="30"/>
              </w:rPr>
              <w:t>业财系统与达人系统衔接方案</w:t>
            </w:r>
          </w:p>
          <w:p>
            <w:pPr>
              <w:spacing w:before="120" w:after="120" w:line="288" w:lineRule="auto"/>
              <w:ind w:left="0"/>
              <w:jc w:val="left"/>
            </w:pPr>
            <w:hyperlink r:id="rId4">
              <w:r>
                <w:rPr>
                  <w:rFonts w:eastAsia="等线" w:ascii="Arial" w:cs="Arial" w:hAnsi="Arial"/>
                  <w:i w:val="true"/>
                  <w:color w:val="3370ff"/>
                  <w:sz w:val="22"/>
                </w:rPr>
                <w:t>营销计划与达人方案.pptx</w:t>
              </w:r>
            </w:hyperlink>
            <w:r>
              <w:rPr>
                <w:rFonts w:eastAsia="等线" w:ascii="Arial" w:cs="Arial" w:hAnsi="Arial"/>
                <w:i w:val="true"/>
                <w:color w:val="646a73"/>
                <w:sz w:val="22"/>
              </w:rPr>
              <w:t xml:space="preserve"> </w:t>
            </w:r>
          </w:p>
          <w:p>
            <w:pPr>
              <w:numPr>
                <w:numId w:val="1"/>
              </w:numPr>
              <w:spacing w:before="120" w:after="120" w:line="288" w:lineRule="auto"/>
              <w:ind w:left="0"/>
              <w:jc w:val="left"/>
            </w:pPr>
            <w:r>
              <w:rPr>
                <w:rFonts w:eastAsia="等线" w:ascii="Arial" w:cs="Arial" w:hAnsi="Arial"/>
                <w:sz w:val="22"/>
              </w:rPr>
              <w:t>业财制定营销计划，营销计划下活动有部分场景是需要推PR至达人系统。PR有两个含义：</w:t>
            </w:r>
          </w:p>
          <w:p>
            <w:pPr>
              <w:numPr>
                <w:numId w:val="2"/>
              </w:numPr>
              <w:spacing w:before="120" w:after="120" w:line="288" w:lineRule="auto"/>
              <w:ind w:left="453"/>
              <w:jc w:val="left"/>
            </w:pPr>
            <w:r>
              <w:rPr>
                <w:rFonts w:eastAsia="等线" w:ascii="Arial" w:cs="Arial" w:hAnsi="Arial"/>
                <w:sz w:val="22"/>
              </w:rPr>
              <w:t>寻源的PR</w:t>
            </w:r>
          </w:p>
          <w:p>
            <w:pPr>
              <w:numPr>
                <w:numId w:val="3"/>
              </w:numPr>
              <w:spacing w:before="120" w:after="120" w:line="288" w:lineRule="auto"/>
              <w:ind w:left="907"/>
              <w:jc w:val="left"/>
            </w:pPr>
            <w:r>
              <w:rPr>
                <w:rFonts w:eastAsia="等线" w:ascii="Arial" w:cs="Arial" w:hAnsi="Arial"/>
                <w:sz w:val="22"/>
              </w:rPr>
              <w:t>需要BD，同时签订合同推送至业财</w:t>
            </w:r>
          </w:p>
          <w:p>
            <w:pPr>
              <w:numPr>
                <w:numId w:val="4"/>
              </w:numPr>
              <w:spacing w:before="120" w:after="120" w:line="288" w:lineRule="auto"/>
              <w:ind w:left="453"/>
              <w:jc w:val="left"/>
            </w:pPr>
            <w:r>
              <w:rPr>
                <w:rFonts w:eastAsia="等线" w:ascii="Arial" w:cs="Arial" w:hAnsi="Arial"/>
                <w:sz w:val="22"/>
              </w:rPr>
              <w:t>任务执行的PR</w:t>
            </w:r>
          </w:p>
          <w:p>
            <w:pPr>
              <w:numPr>
                <w:numId w:val="5"/>
              </w:numPr>
              <w:spacing w:before="120" w:after="120" w:line="288" w:lineRule="auto"/>
              <w:ind w:left="907"/>
              <w:jc w:val="left"/>
            </w:pPr>
            <w:r>
              <w:rPr>
                <w:rFonts w:eastAsia="等线" w:ascii="Arial" w:cs="Arial" w:hAnsi="Arial"/>
                <w:sz w:val="22"/>
              </w:rPr>
              <w:t>基于PR，执行活动，后续将PO单传至业财由业财计算</w:t>
            </w:r>
          </w:p>
          <w:p>
            <w:pPr>
              <w:numPr>
                <w:numId w:val="6"/>
              </w:numPr>
              <w:spacing w:before="120" w:after="120" w:line="288" w:lineRule="auto"/>
              <w:ind w:left="0"/>
              <w:jc w:val="left"/>
            </w:pPr>
            <w:r>
              <w:rPr>
                <w:rFonts w:eastAsia="等线" w:ascii="Arial" w:cs="Arial" w:hAnsi="Arial"/>
                <w:sz w:val="22"/>
              </w:rPr>
              <w:t>对于PR单，业务需要辨别是否需要寻源。后续由BD负责</w:t>
            </w:r>
          </w:p>
          <w:p>
            <w:pPr>
              <w:numPr>
                <w:numId w:val="7"/>
              </w:numPr>
              <w:spacing w:before="120" w:after="120" w:line="288" w:lineRule="auto"/>
              <w:ind w:left="0"/>
              <w:jc w:val="left"/>
            </w:pPr>
            <w:r>
              <w:rPr>
                <w:rFonts w:eastAsia="等线" w:ascii="Arial" w:cs="Arial" w:hAnsi="Arial"/>
                <w:sz w:val="22"/>
              </w:rPr>
              <w:t>业务的费用预估由业财系统计算，业务人员无需手工计算</w:t>
            </w:r>
          </w:p>
          <w:p>
            <w:pPr>
              <w:spacing w:before="120" w:after="120" w:line="288" w:lineRule="auto"/>
              <w:ind w:left="0"/>
              <w:jc w:val="left"/>
            </w:pPr>
          </w:p>
        </w:tc>
        <w:tc>
          <w:tcPr>
            <w:tcW w:w="4140" w:type="dxa"/>
            <w:tcMar>
              <w:top w:type="dxa" w:w="60"/>
              <w:left w:type="dxa" w:w="120"/>
              <w:bottom w:type="dxa" w:w="30"/>
              <w:right w:type="dxa" w:w="120"/>
            </w:tcMar>
          </w:tcPr>
          <w:p>
            <w:pPr>
              <w:pStyle w:val="3"/>
              <w:spacing w:before="300" w:after="120" w:line="288" w:lineRule="auto"/>
              <w:ind w:left="0"/>
              <w:jc w:val="left"/>
              <w:outlineLvl w:val="2"/>
            </w:pPr>
            <w:r>
              <w:rPr>
                <w:rFonts w:eastAsia="等线" w:ascii="Arial" w:cs="Arial" w:hAnsi="Arial"/>
                <w:color w:val="3370ff"/>
                <w:sz w:val="30"/>
              </w:rPr>
              <w:t xml:space="preserve">2.2 </w:t>
            </w:r>
            <w:r>
              <w:rPr>
                <w:rFonts w:eastAsia="等线" w:ascii="Arial" w:cs="Arial" w:hAnsi="Arial"/>
                <w:b w:val="true"/>
                <w:sz w:val="30"/>
              </w:rPr>
              <w:t>营销计划相关问题</w:t>
            </w:r>
          </w:p>
          <w:p>
            <w:pPr>
              <w:numPr>
                <w:numId w:val="8"/>
              </w:numPr>
              <w:spacing w:before="120" w:after="120" w:line="288" w:lineRule="auto"/>
              <w:ind w:left="0"/>
              <w:jc w:val="left"/>
            </w:pPr>
            <w:r>
              <w:rPr>
                <w:rFonts w:eastAsia="等线" w:ascii="Arial" w:cs="Arial" w:hAnsi="Arial"/>
                <w:sz w:val="22"/>
              </w:rPr>
              <w:t>年框合同（不涉及对赌），如田恬；（合同挂PO清单）</w:t>
            </w:r>
          </w:p>
          <w:p>
            <w:pPr>
              <w:numPr>
                <w:numId w:val="9"/>
              </w:numPr>
              <w:spacing w:before="120" w:after="120" w:line="288" w:lineRule="auto"/>
              <w:ind w:left="0"/>
              <w:jc w:val="left"/>
            </w:pPr>
            <w:r>
              <w:rPr>
                <w:rFonts w:eastAsia="等线" w:ascii="Arial" w:cs="Arial" w:hAnsi="Arial"/>
                <w:sz w:val="22"/>
              </w:rPr>
              <w:t>报销类-备用金管理-核销事项管理-回营销计划管理；（事项申请关联营销计划，费用入发生月份）</w:t>
            </w:r>
          </w:p>
          <w:p>
            <w:pPr>
              <w:numPr>
                <w:numId w:val="10"/>
              </w:numPr>
              <w:spacing w:before="120" w:after="120" w:line="288" w:lineRule="auto"/>
              <w:ind w:left="0"/>
              <w:jc w:val="left"/>
            </w:pPr>
            <w:r>
              <w:rPr>
                <w:rFonts w:eastAsia="等线" w:ascii="Arial" w:cs="Arial" w:hAnsi="Arial"/>
                <w:sz w:val="22"/>
              </w:rPr>
              <w:t>报销类-内部领用-优先二等品；（做资产化管理）</w:t>
            </w:r>
          </w:p>
          <w:p>
            <w:pPr>
              <w:numPr>
                <w:numId w:val="11"/>
              </w:numPr>
              <w:spacing w:before="120" w:after="120" w:line="288" w:lineRule="auto"/>
              <w:ind w:left="0"/>
              <w:jc w:val="left"/>
            </w:pPr>
            <w:r>
              <w:rPr>
                <w:rFonts w:eastAsia="等线" w:ascii="Arial" w:cs="Arial" w:hAnsi="Arial"/>
                <w:sz w:val="22"/>
              </w:rPr>
              <w:t>固定资产-拍摄/直播间；（不做营销计划管理、单独做资产类管理）</w:t>
            </w:r>
          </w:p>
          <w:p>
            <w:pPr>
              <w:numPr>
                <w:numId w:val="12"/>
              </w:numPr>
              <w:spacing w:before="120" w:after="120" w:line="288" w:lineRule="auto"/>
              <w:ind w:left="0"/>
              <w:jc w:val="left"/>
            </w:pPr>
            <w:r>
              <w:rPr>
                <w:rFonts w:eastAsia="等线" w:ascii="Arial" w:cs="Arial" w:hAnsi="Arial"/>
                <w:sz w:val="22"/>
              </w:rPr>
              <w:t>预付款-无po但先预付部分；（无合同不允许预付）</w:t>
            </w:r>
          </w:p>
          <w:p>
            <w:pPr>
              <w:numPr>
                <w:numId w:val="13"/>
              </w:numPr>
              <w:spacing w:before="120" w:after="120" w:line="288" w:lineRule="auto"/>
              <w:ind w:left="0"/>
              <w:jc w:val="left"/>
            </w:pPr>
            <w:r>
              <w:rPr>
                <w:rFonts w:eastAsia="等线" w:ascii="Arial" w:cs="Arial" w:hAnsi="Arial"/>
                <w:sz w:val="22"/>
              </w:rPr>
              <w:t>派样-是否提交计划，是否进入营销费用管理(待花楹提供规则，</w:t>
            </w:r>
            <w:r>
              <w:rPr>
                <w:rFonts w:eastAsia="等线" w:ascii="Arial" w:cs="Arial" w:hAnsi="Arial"/>
                <w:sz w:val="22"/>
              </w:rPr>
              <w:t>OMS</w:t>
            </w:r>
            <w:r>
              <w:rPr>
                <w:rFonts w:eastAsia="等线" w:ascii="Arial" w:cs="Arial" w:hAnsi="Arial"/>
                <w:sz w:val="22"/>
              </w:rPr>
              <w:t>需要标签识别，付费派样、免费派样，随单派样)</w:t>
            </w:r>
          </w:p>
          <w:p>
            <w:pPr>
              <w:numPr>
                <w:numId w:val="14"/>
              </w:numPr>
              <w:spacing w:before="120" w:after="120" w:line="288" w:lineRule="auto"/>
              <w:ind w:left="0"/>
              <w:jc w:val="left"/>
            </w:pPr>
            <w:r>
              <w:rPr>
                <w:rFonts w:eastAsia="等线" w:ascii="Arial" w:cs="Arial" w:hAnsi="Arial"/>
                <w:sz w:val="22"/>
              </w:rPr>
              <w:t>促销赠品费用管理？-外采赠品、权益类要求预算管理（后续做产品成本方案时，再考虑）</w:t>
            </w:r>
          </w:p>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color w:val="3370ff"/>
          <w:sz w:val="36"/>
        </w:rPr>
        <w:t xml:space="preserve">3. </w:t>
      </w:r>
      <w:r>
        <w:rPr>
          <w:rFonts w:eastAsia="等线" w:ascii="Arial" w:cs="Arial" w:hAnsi="Arial"/>
          <w:b w:val="true"/>
          <w:sz w:val="36"/>
        </w:rPr>
        <w:t>结论</w:t>
      </w:r>
    </w:p>
    <w:p>
      <w:pPr>
        <w:numPr>
          <w:numId w:val="15"/>
        </w:numPr>
        <w:spacing w:before="120" w:after="120" w:line="288" w:lineRule="auto"/>
        <w:ind w:left="0"/>
        <w:jc w:val="left"/>
      </w:pPr>
      <w:r>
        <w:rPr>
          <w:rFonts w:eastAsia="等线" w:ascii="Arial" w:cs="Arial" w:hAnsi="Arial"/>
          <w:sz w:val="22"/>
        </w:rPr>
        <w:t>如果有合同，业财做营销计划关联营销活动+合同作为PR推送给达人系统，达人系统基于PR下PO单</w:t>
      </w:r>
    </w:p>
    <w:p>
      <w:pPr>
        <w:numPr>
          <w:numId w:val="16"/>
        </w:numPr>
        <w:spacing w:before="120" w:after="120" w:line="288" w:lineRule="auto"/>
        <w:ind w:left="0"/>
        <w:jc w:val="left"/>
      </w:pPr>
      <w:r>
        <w:rPr>
          <w:rFonts w:eastAsia="等线" w:ascii="Arial" w:cs="Arial" w:hAnsi="Arial"/>
          <w:sz w:val="22"/>
        </w:rPr>
        <w:t>如果没有合同，业财做营销计划关联营销活动做PR推送至达人系统。BD后签订合同后，关联营销计划。达人系统再基于PR下PO</w:t>
      </w:r>
    </w:p>
    <w:p>
      <w:pPr>
        <w:spacing w:before="120" w:after="120" w:line="288" w:lineRule="auto"/>
        <w:ind w:left="0"/>
        <w:jc w:val="left"/>
      </w:pPr>
    </w:p>
    <w:sectPr>
      <w:footerReference w:type="default" r:id="rId3"/>
      <w:headerReference w:type="default" r:id="rId6"/>
      <w:headerReference w:type="first" r:id="rId7"/>
      <w:headerReference w:type="even"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numbering.xml><?xml version="1.0" encoding="utf-8"?>
<w:numbering xmlns:w="http://schemas.openxmlformats.org/wordprocessingml/2006/main">
  <w:abstractNum w:abstractNumId="23070">
    <w:lvl>
      <w:start w:val="1"/>
      <w:numFmt w:val="decimal"/>
      <w:suff w:val="tab"/>
      <w:lvlText w:val="%1."/>
      <w:rPr>
        <w:color w:val="3370ff"/>
      </w:rPr>
    </w:lvl>
  </w:abstractNum>
  <w:abstractNum w:abstractNumId="23071">
    <w:lvl>
      <w:start w:val="1"/>
      <w:numFmt w:val="lowerLetter"/>
      <w:suff w:val="tab"/>
      <w:lvlText w:val="%1."/>
      <w:rPr>
        <w:color w:val="3370ff"/>
      </w:rPr>
    </w:lvl>
  </w:abstractNum>
  <w:abstractNum w:abstractNumId="23072">
    <w:lvl>
      <w:start w:val="1"/>
      <w:numFmt w:val="lowerRoman"/>
      <w:suff w:val="tab"/>
      <w:lvlText w:val="%1."/>
      <w:rPr>
        <w:color w:val="3370ff"/>
      </w:rPr>
    </w:lvl>
  </w:abstractNum>
  <w:abstractNum w:abstractNumId="23073">
    <w:lvl>
      <w:start w:val="2"/>
      <w:numFmt w:val="lowerLetter"/>
      <w:suff w:val="tab"/>
      <w:lvlText w:val="%1."/>
      <w:rPr>
        <w:color w:val="3370ff"/>
      </w:rPr>
    </w:lvl>
  </w:abstractNum>
  <w:abstractNum w:abstractNumId="23074">
    <w:lvl>
      <w:start w:val="1"/>
      <w:numFmt w:val="lowerRoman"/>
      <w:suff w:val="tab"/>
      <w:lvlText w:val="%1."/>
      <w:rPr>
        <w:color w:val="3370ff"/>
      </w:rPr>
    </w:lvl>
  </w:abstractNum>
  <w:abstractNum w:abstractNumId="23075">
    <w:lvl>
      <w:start w:val="2"/>
      <w:numFmt w:val="decimal"/>
      <w:suff w:val="tab"/>
      <w:lvlText w:val="%1."/>
      <w:rPr>
        <w:color w:val="3370ff"/>
      </w:rPr>
    </w:lvl>
  </w:abstractNum>
  <w:abstractNum w:abstractNumId="23076">
    <w:lvl>
      <w:start w:val="3"/>
      <w:numFmt w:val="decimal"/>
      <w:suff w:val="tab"/>
      <w:lvlText w:val="%1."/>
      <w:rPr>
        <w:color w:val="3370ff"/>
      </w:rPr>
    </w:lvl>
  </w:abstractNum>
  <w:abstractNum w:abstractNumId="23077">
    <w:lvl>
      <w:start w:val="1"/>
      <w:numFmt w:val="decimal"/>
      <w:suff w:val="tab"/>
      <w:lvlText w:val="%1."/>
      <w:rPr>
        <w:color w:val="3370ff"/>
      </w:rPr>
    </w:lvl>
  </w:abstractNum>
  <w:abstractNum w:abstractNumId="23078">
    <w:lvl>
      <w:start w:val="2"/>
      <w:numFmt w:val="decimal"/>
      <w:suff w:val="tab"/>
      <w:lvlText w:val="%1."/>
      <w:rPr>
        <w:color w:val="3370ff"/>
      </w:rPr>
    </w:lvl>
  </w:abstractNum>
  <w:abstractNum w:abstractNumId="23079">
    <w:lvl>
      <w:start w:val="3"/>
      <w:numFmt w:val="decimal"/>
      <w:suff w:val="tab"/>
      <w:lvlText w:val="%1."/>
      <w:rPr>
        <w:color w:val="3370ff"/>
      </w:rPr>
    </w:lvl>
  </w:abstractNum>
  <w:abstractNum w:abstractNumId="23080">
    <w:lvl>
      <w:start w:val="4"/>
      <w:numFmt w:val="decimal"/>
      <w:suff w:val="tab"/>
      <w:lvlText w:val="%1."/>
      <w:rPr>
        <w:color w:val="3370ff"/>
      </w:rPr>
    </w:lvl>
  </w:abstractNum>
  <w:abstractNum w:abstractNumId="23081">
    <w:lvl>
      <w:start w:val="5"/>
      <w:numFmt w:val="decimal"/>
      <w:suff w:val="tab"/>
      <w:lvlText w:val="%1."/>
      <w:rPr>
        <w:color w:val="3370ff"/>
      </w:rPr>
    </w:lvl>
  </w:abstractNum>
  <w:abstractNum w:abstractNumId="23082">
    <w:lvl>
      <w:start w:val="6"/>
      <w:numFmt w:val="decimal"/>
      <w:suff w:val="tab"/>
      <w:lvlText w:val="%1."/>
      <w:rPr>
        <w:color w:val="3370ff"/>
      </w:rPr>
    </w:lvl>
  </w:abstractNum>
  <w:abstractNum w:abstractNumId="23083">
    <w:lvl>
      <w:start w:val="7"/>
      <w:numFmt w:val="decimal"/>
      <w:suff w:val="tab"/>
      <w:lvlText w:val="%1."/>
      <w:rPr>
        <w:color w:val="3370ff"/>
      </w:rPr>
    </w:lvl>
  </w:abstractNum>
  <w:abstractNum w:abstractNumId="23084">
    <w:lvl>
      <w:start w:val="1"/>
      <w:numFmt w:val="decimal"/>
      <w:suff w:val="tab"/>
      <w:lvlText w:val="%1."/>
      <w:rPr>
        <w:color w:val="3370ff"/>
      </w:rPr>
    </w:lvl>
  </w:abstractNum>
  <w:abstractNum w:abstractNumId="23085">
    <w:lvl>
      <w:start w:val="2"/>
      <w:numFmt w:val="decimal"/>
      <w:suff w:val="tab"/>
      <w:lvlText w:val="%1."/>
      <w:rPr>
        <w:color w:val="3370ff"/>
      </w:rPr>
    </w:lvl>
  </w:abstractNum>
  <w:num w:numId="1">
    <w:abstractNumId w:val="23070"/>
  </w:num>
  <w:num w:numId="2">
    <w:abstractNumId w:val="23071"/>
  </w:num>
  <w:num w:numId="3">
    <w:abstractNumId w:val="23072"/>
  </w:num>
  <w:num w:numId="4">
    <w:abstractNumId w:val="23073"/>
  </w:num>
  <w:num w:numId="5">
    <w:abstractNumId w:val="23074"/>
  </w:num>
  <w:num w:numId="6">
    <w:abstractNumId w:val="23075"/>
  </w:num>
  <w:num w:numId="7">
    <w:abstractNumId w:val="23076"/>
  </w:num>
  <w:num w:numId="8">
    <w:abstractNumId w:val="23077"/>
  </w:num>
  <w:num w:numId="9">
    <w:abstractNumId w:val="23078"/>
  </w:num>
  <w:num w:numId="10">
    <w:abstractNumId w:val="23079"/>
  </w:num>
  <w:num w:numId="11">
    <w:abstractNumId w:val="23080"/>
  </w:num>
  <w:num w:numId="12">
    <w:abstractNumId w:val="23081"/>
  </w:num>
  <w:num w:numId="13">
    <w:abstractNumId w:val="23082"/>
  </w:num>
  <w:num w:numId="14">
    <w:abstractNumId w:val="23083"/>
  </w:num>
  <w:num w:numId="15">
    <w:abstractNumId w:val="23084"/>
  </w:num>
  <w:num w:numId="16">
    <w:abstractNumId w:val="230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smmqalicrx.feishu.cn/wiki/UC8cwoQEQiZnOPkyvMCcrv2bnGg"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 Id="rId7" Target="header2.xml" Type="http://schemas.openxmlformats.org/officeDocument/2006/relationships/header"/><Relationship Id="rId8"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2023-12-01T06:27:06Z</dcterms:created>
  <dc:creator>Apache POI</dc:creator>
</cp:coreProperties>
</file>