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3.7.9.3 营销计划与达人系统实现方案</w:t>
      </w:r>
    </w:p>
    <w:p>
      <w:pPr>
        <w:spacing w:before="120" w:after="120" w:line="288" w:lineRule="auto"/>
        <w:ind w:left="0"/>
        <w:jc w:val="center"/>
      </w:pPr>
      <w:r>
        <w:drawing>
          <wp:inline distT="0" distR="0" distB="0" distL="0">
            <wp:extent cx="5257800" cy="3876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876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接口数量：</w:t>
        <w:br/>
        <w:t>1、营销计划（业财）-&gt;达人系统</w:t>
        <w:br/>
        <w:t>2、任务发布（达人）-&gt;业财系统（非必要）</w:t>
        <w:br/>
        <w:t>3、PO执行单（达人）-&gt;业财系统</w:t>
        <w:br/>
      </w:r>
      <w:r>
        <w:rPr>
          <w:rFonts w:eastAsia="等线" w:ascii="Arial" w:cs="Arial" w:hAnsi="Arial"/>
          <w:sz w:val="22"/>
        </w:rPr>
        <w:t>4、活动结案（达人）-&gt;业财系统（非必要）</w:t>
      </w:r>
    </w:p>
    <w:p>
      <w:pPr>
        <w:spacing w:before="120" w:after="120" w:line="288" w:lineRule="auto"/>
        <w:ind w:left="0"/>
        <w:jc w:val="left"/>
      </w:pPr>
    </w:p>
    <w:sectPr>
      <w:footerReference w:type="default" r:id="rId3"/>
      <w:headerReference w:type="default" r:id="rId5"/>
      <w:headerReference w:type="first" r:id="rId6"/>
      <w:headerReference w:type="even"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2023-12-01T06:26:43Z</dcterms:created>
  <dc:creator>Apache POI</dc:creator>
</cp:coreProperties>
</file>