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3.7.9.4 营销计划方案汇报会议纪要</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会议主题</w:t>
            </w:r>
            <w:r>
              <w:rPr>
                <w:rFonts w:eastAsia="等线" w:ascii="Arial" w:cs="Arial" w:hAnsi="Arial"/>
                <w:sz w:val="22"/>
              </w:rPr>
              <w:t>：营销计划方案汇报会议纪要</w:t>
            </w:r>
          </w:p>
          <w:p>
            <w:pPr>
              <w:spacing w:before="120" w:after="120" w:line="288" w:lineRule="auto"/>
              <w:ind w:left="0"/>
              <w:jc w:val="left"/>
            </w:pPr>
            <w:r>
              <w:rPr>
                <w:rFonts w:eastAsia="等线" w:ascii="Arial" w:cs="Arial" w:hAnsi="Arial"/>
                <w:b w:val="true"/>
                <w:sz w:val="22"/>
              </w:rPr>
              <w:t>参会人</w:t>
            </w:r>
            <w:r>
              <w:rPr>
                <w:rFonts w:eastAsia="等线" w:ascii="Arial" w:cs="Arial" w:hAnsi="Arial"/>
                <w:sz w:val="22"/>
              </w:rPr>
              <w:t>：大卫、念真、黛安、无问、陈玄、白纸、吴杰、陈炜、杨洵</w:t>
            </w:r>
          </w:p>
          <w:p>
            <w:pPr>
              <w:spacing w:before="120" w:after="120" w:line="288" w:lineRule="auto"/>
              <w:ind w:left="0"/>
              <w:jc w:val="left"/>
            </w:pPr>
            <w:r>
              <w:rPr>
                <w:rFonts w:eastAsia="等线" w:ascii="Arial" w:cs="Arial" w:hAnsi="Arial"/>
                <w:b w:val="true"/>
                <w:sz w:val="22"/>
              </w:rPr>
              <w:t>会前必读</w:t>
            </w:r>
            <w:r>
              <w:rPr>
                <w:rFonts w:eastAsia="等线" w:ascii="Arial" w:cs="Arial" w:hAnsi="Arial"/>
                <w:sz w:val="22"/>
              </w:rPr>
              <w:t>：</w:t>
            </w:r>
            <w:r>
              <w:rPr>
                <w:rFonts w:eastAsia="等线" w:ascii="Arial" w:cs="Arial" w:hAnsi="Arial"/>
                <w:color w:val="8f959e"/>
                <w:sz w:val="22"/>
              </w:rPr>
              <w:t>输入@ 插入相关背景资料</w:t>
            </w:r>
          </w:p>
        </w:tc>
      </w:tr>
    </w:tbl>
    <w:p>
      <w:pPr>
        <w:pStyle w:val="3"/>
        <w:spacing w:before="300" w:after="120" w:line="288" w:lineRule="auto"/>
        <w:ind w:left="0"/>
        <w:jc w:val="left"/>
        <w:outlineLvl w:val="2"/>
      </w:pPr>
      <w:r>
        <w:rPr>
          <w:rFonts w:eastAsia="等线" w:ascii="Arial" w:cs="Arial" w:hAnsi="Arial"/>
          <w:b w:val="true"/>
          <w:sz w:val="30"/>
        </w:rPr>
        <w:t>议程 1 ：业务实际处理过程中的问题</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b w:val="true"/>
                <w:sz w:val="22"/>
              </w:rPr>
              <w:t>讨论过程</w:t>
            </w:r>
            <w:r>
              <w:rPr>
                <w:rFonts w:eastAsia="等线" w:ascii="Arial" w:cs="Arial" w:hAnsi="Arial"/>
                <w:sz w:val="22"/>
              </w:rPr>
              <w:t>：</w:t>
            </w:r>
          </w:p>
          <w:p>
            <w:pPr>
              <w:numPr>
                <w:numId w:val="2"/>
              </w:numPr>
              <w:spacing w:before="120" w:after="120" w:line="288" w:lineRule="auto"/>
              <w:ind w:left="453"/>
              <w:jc w:val="left"/>
            </w:pPr>
            <w:r>
              <w:rPr>
                <w:rFonts w:eastAsia="等线" w:ascii="Arial" w:cs="Arial" w:hAnsi="Arial"/>
                <w:sz w:val="22"/>
              </w:rPr>
              <w:t>市场推广：达人合作签订合同后，存在具体服务时间待定的情况</w:t>
            </w:r>
          </w:p>
          <w:p>
            <w:pPr>
              <w:numPr>
                <w:numId w:val="3"/>
              </w:numPr>
              <w:spacing w:before="120" w:after="120" w:line="288" w:lineRule="auto"/>
              <w:ind w:left="453"/>
              <w:jc w:val="left"/>
            </w:pPr>
            <w:r>
              <w:rPr>
                <w:rFonts w:eastAsia="等线" w:ascii="Arial" w:cs="Arial" w:hAnsi="Arial"/>
                <w:sz w:val="22"/>
              </w:rPr>
              <w:t>报销类</w:t>
            </w:r>
          </w:p>
          <w:p>
            <w:pPr>
              <w:numPr>
                <w:numId w:val="4"/>
              </w:numPr>
              <w:spacing w:before="120" w:after="120" w:line="288" w:lineRule="auto"/>
              <w:ind w:left="907"/>
              <w:jc w:val="left"/>
            </w:pPr>
            <w:r>
              <w:rPr>
                <w:rFonts w:eastAsia="等线" w:ascii="Arial" w:cs="Arial" w:hAnsi="Arial"/>
                <w:sz w:val="22"/>
              </w:rPr>
              <w:t>备用金管理（计划不够精细，实际核销有差异）</w:t>
            </w:r>
          </w:p>
          <w:p>
            <w:pPr>
              <w:numPr>
                <w:numId w:val="5"/>
              </w:numPr>
              <w:spacing w:before="120" w:after="120" w:line="288" w:lineRule="auto"/>
              <w:ind w:left="907"/>
              <w:jc w:val="left"/>
            </w:pPr>
            <w:r>
              <w:rPr>
                <w:rFonts w:eastAsia="等线" w:ascii="Arial" w:cs="Arial" w:hAnsi="Arial"/>
                <w:sz w:val="22"/>
              </w:rPr>
              <w:t>管控维度：个人、部门、中心</w:t>
            </w:r>
          </w:p>
          <w:p>
            <w:pPr>
              <w:numPr>
                <w:numId w:val="6"/>
              </w:numPr>
              <w:spacing w:before="120" w:after="120" w:line="288" w:lineRule="auto"/>
              <w:ind w:left="907"/>
              <w:jc w:val="left"/>
            </w:pPr>
            <w:r>
              <w:rPr>
                <w:rFonts w:eastAsia="等线" w:ascii="Arial" w:cs="Arial" w:hAnsi="Arial"/>
                <w:sz w:val="22"/>
              </w:rPr>
              <w:t>内部领用是否需要营销计划管理</w:t>
            </w:r>
          </w:p>
          <w:p>
            <w:pPr>
              <w:numPr>
                <w:numId w:val="7"/>
              </w:numPr>
              <w:spacing w:before="120" w:after="120" w:line="288" w:lineRule="auto"/>
              <w:ind w:left="907"/>
              <w:jc w:val="left"/>
            </w:pPr>
            <w:r>
              <w:rPr>
                <w:rFonts w:eastAsia="等线" w:ascii="Arial" w:cs="Arial" w:hAnsi="Arial"/>
                <w:sz w:val="22"/>
              </w:rPr>
              <w:t>付费派样（是否跟着计划走，是否作为营销计划的一个模块去设计管理）</w:t>
            </w:r>
          </w:p>
          <w:p>
            <w:pPr>
              <w:numPr>
                <w:numId w:val="8"/>
              </w:numPr>
              <w:spacing w:before="120" w:after="120" w:line="288" w:lineRule="auto"/>
              <w:ind w:left="907"/>
              <w:jc w:val="left"/>
            </w:pPr>
            <w:r>
              <w:rPr>
                <w:rFonts w:eastAsia="等线" w:ascii="Arial" w:cs="Arial" w:hAnsi="Arial"/>
                <w:sz w:val="22"/>
              </w:rPr>
              <w:t>赠品</w:t>
            </w:r>
          </w:p>
          <w:p>
            <w:pPr>
              <w:numPr>
                <w:numId w:val="9"/>
              </w:numPr>
              <w:spacing w:before="120" w:after="120" w:line="288" w:lineRule="auto"/>
              <w:ind w:left="1360"/>
              <w:jc w:val="left"/>
            </w:pPr>
            <w:r>
              <w:rPr>
                <w:rFonts w:eastAsia="等线" w:ascii="Arial" w:cs="Arial" w:hAnsi="Arial"/>
                <w:sz w:val="22"/>
              </w:rPr>
              <w:t>促销费用化管理是否以营销为单位，可能需要一个单独的规划模块</w:t>
            </w:r>
          </w:p>
          <w:p>
            <w:pPr>
              <w:numPr>
                <w:numId w:val="10"/>
              </w:numPr>
              <w:spacing w:before="120" w:after="120" w:line="288" w:lineRule="auto"/>
              <w:ind w:left="1360"/>
              <w:jc w:val="left"/>
            </w:pPr>
            <w:r>
              <w:rPr>
                <w:rFonts w:eastAsia="等线" w:ascii="Arial" w:cs="Arial" w:hAnsi="Arial"/>
                <w:sz w:val="22"/>
              </w:rPr>
              <w:t>外采赠品（宣促品、权益类）预算需要有管控的口，需要有单独的营销计划管理，归进营销费用</w:t>
            </w:r>
          </w:p>
        </w:tc>
        <w:tc>
          <w:tcPr>
            <w:tcW w:w="4140" w:type="dxa"/>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b w:val="true"/>
                <w:sz w:val="22"/>
              </w:rPr>
              <w:t>后续安排</w:t>
            </w:r>
            <w:r>
              <w:rPr>
                <w:rFonts w:eastAsia="等线" w:ascii="Arial" w:cs="Arial" w:hAnsi="Arial"/>
                <w:sz w:val="22"/>
              </w:rPr>
              <w:t>：</w:t>
            </w:r>
          </w:p>
          <w:p>
            <w:pPr>
              <w:numPr>
                <w:numId w:val="12"/>
              </w:numPr>
              <w:spacing w:before="120" w:after="120" w:line="288" w:lineRule="auto"/>
              <w:ind w:left="453"/>
              <w:jc w:val="left"/>
            </w:pPr>
            <w:r>
              <w:rPr>
                <w:rFonts w:eastAsia="等线" w:ascii="Arial" w:cs="Arial" w:hAnsi="Arial"/>
                <w:strike w:val="true"/>
                <w:color w:val="646a73"/>
                <w:sz w:val="22"/>
              </w:rPr>
              <w:t>内部领用走专门流程</w:t>
            </w:r>
          </w:p>
          <w:p>
            <w:pPr>
              <w:numPr>
                <w:numId w:val="13"/>
              </w:numPr>
              <w:spacing w:before="120" w:after="120" w:line="288" w:lineRule="auto"/>
              <w:ind w:left="453"/>
              <w:jc w:val="left"/>
            </w:pPr>
            <w:r>
              <w:rPr>
                <w:rFonts w:eastAsia="等线" w:ascii="Arial" w:cs="Arial" w:hAnsi="Arial"/>
                <w:strike w:val="true"/>
                <w:color w:val="646a73"/>
                <w:sz w:val="22"/>
              </w:rPr>
              <w:t>赠品暂不放到营销计划模块</w:t>
            </w:r>
          </w:p>
          <w:p>
            <w:pPr>
              <w:spacing w:before="120" w:after="120" w:line="288" w:lineRule="auto"/>
              <w:ind w:left="453"/>
              <w:jc w:val="left"/>
            </w:pPr>
          </w:p>
          <w:p>
            <w:pPr>
              <w:spacing w:before="120" w:after="120" w:line="288" w:lineRule="auto"/>
              <w:ind w:left="453"/>
              <w:jc w:val="left"/>
            </w:pPr>
          </w:p>
          <w:p>
            <w:pPr>
              <w:spacing w:before="120" w:after="120" w:line="288" w:lineRule="auto"/>
              <w:ind w:left="0"/>
              <w:jc w:val="left"/>
            </w:pPr>
          </w:p>
        </w:tc>
      </w:tr>
    </w:tbl>
    <w:p>
      <w:pPr>
        <w:pStyle w:val="3"/>
        <w:spacing w:before="300" w:after="120" w:line="288" w:lineRule="auto"/>
        <w:ind w:left="0"/>
        <w:jc w:val="left"/>
        <w:outlineLvl w:val="2"/>
      </w:pPr>
      <w:r>
        <w:rPr>
          <w:rFonts w:eastAsia="等线" w:ascii="Arial" w:cs="Arial" w:hAnsi="Arial"/>
          <w:b w:val="true"/>
          <w:sz w:val="30"/>
        </w:rPr>
        <w:t>议程2：营销计划详设</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numPr>
                <w:numId w:val="14"/>
              </w:numPr>
              <w:spacing w:before="120" w:after="120" w:line="288" w:lineRule="auto"/>
              <w:ind w:left="0"/>
              <w:jc w:val="left"/>
            </w:pPr>
            <w:r>
              <w:rPr>
                <w:rFonts w:eastAsia="等线" w:ascii="Arial" w:cs="Arial" w:hAnsi="Arial"/>
                <w:b w:val="true"/>
                <w:sz w:val="22"/>
              </w:rPr>
              <w:t>讨论过程</w:t>
            </w:r>
            <w:r>
              <w:rPr>
                <w:rFonts w:eastAsia="等线" w:ascii="Arial" w:cs="Arial" w:hAnsi="Arial"/>
                <w:sz w:val="22"/>
              </w:rPr>
              <w:t>：</w:t>
            </w:r>
          </w:p>
          <w:p>
            <w:pPr>
              <w:numPr>
                <w:numId w:val="15"/>
              </w:numPr>
              <w:spacing w:before="120" w:after="120" w:line="288" w:lineRule="auto"/>
              <w:ind w:left="453"/>
              <w:jc w:val="left"/>
            </w:pPr>
            <w:r>
              <w:rPr>
                <w:rFonts w:eastAsia="等线" w:ascii="Arial" w:cs="Arial" w:hAnsi="Arial"/>
                <w:sz w:val="22"/>
              </w:rPr>
              <w:t>营销计划分类是否添加促销，还是促销单独管理</w:t>
            </w:r>
          </w:p>
          <w:p>
            <w:pPr>
              <w:numPr>
                <w:numId w:val="16"/>
              </w:numPr>
              <w:spacing w:before="120" w:after="120" w:line="288" w:lineRule="auto"/>
              <w:ind w:left="453"/>
              <w:jc w:val="left"/>
            </w:pPr>
            <w:r>
              <w:rPr>
                <w:rFonts w:eastAsia="等线" w:ascii="Arial" w:cs="Arial" w:hAnsi="Arial"/>
                <w:sz w:val="22"/>
              </w:rPr>
              <w:t>增加字段：品牌或者费用类型：品牌费用or渠道费用</w:t>
            </w:r>
          </w:p>
          <w:p>
            <w:pPr>
              <w:numPr>
                <w:numId w:val="17"/>
              </w:numPr>
              <w:spacing w:before="120" w:after="120" w:line="288" w:lineRule="auto"/>
              <w:ind w:left="453"/>
              <w:jc w:val="left"/>
            </w:pPr>
            <w:r>
              <w:rPr>
                <w:rFonts w:eastAsia="等线" w:ascii="Arial" w:cs="Arial" w:hAnsi="Arial"/>
                <w:sz w:val="22"/>
              </w:rPr>
              <w:t>渠道：中台为全渠道</w:t>
            </w:r>
          </w:p>
          <w:p>
            <w:pPr>
              <w:numPr>
                <w:numId w:val="18"/>
              </w:numPr>
              <w:spacing w:before="120" w:after="120" w:line="288" w:lineRule="auto"/>
              <w:ind w:left="453"/>
              <w:jc w:val="left"/>
            </w:pPr>
            <w:r>
              <w:rPr>
                <w:rFonts w:eastAsia="等线" w:ascii="Arial" w:cs="Arial" w:hAnsi="Arial"/>
                <w:sz w:val="22"/>
              </w:rPr>
              <w:t>营销计划搁置或关闭，到了执行时间签了没履约/付款，需要有提醒到财务</w:t>
            </w:r>
          </w:p>
          <w:p>
            <w:pPr>
              <w:numPr>
                <w:numId w:val="19"/>
              </w:numPr>
              <w:spacing w:before="120" w:after="120" w:line="288" w:lineRule="auto"/>
              <w:ind w:left="453"/>
              <w:jc w:val="left"/>
            </w:pPr>
            <w:r>
              <w:rPr>
                <w:rFonts w:eastAsia="等线" w:ascii="Arial" w:cs="Arial" w:hAnsi="Arial"/>
                <w:sz w:val="22"/>
              </w:rPr>
              <w:t>营销计划相关的预付款是否在单据设计中呈现</w:t>
            </w:r>
          </w:p>
          <w:p>
            <w:pPr>
              <w:spacing w:before="120" w:after="120" w:line="288" w:lineRule="auto"/>
              <w:ind w:left="453"/>
              <w:jc w:val="left"/>
            </w:pPr>
            <w:r>
              <w:rPr>
                <w:rFonts w:eastAsia="等线" w:ascii="Arial" w:cs="Arial" w:hAnsi="Arial"/>
                <w:sz w:val="22"/>
              </w:rPr>
              <w:t>管理薄弱处：备用金+履约延期+预付款</w:t>
            </w:r>
          </w:p>
          <w:p>
            <w:pPr>
              <w:spacing w:before="120" w:after="120" w:line="288" w:lineRule="auto"/>
              <w:ind w:left="0"/>
              <w:jc w:val="left"/>
            </w:pPr>
          </w:p>
        </w:tc>
        <w:tc>
          <w:tcPr>
            <w:tcW w:w="4140" w:type="dxa"/>
            <w:tcMar>
              <w:top w:type="dxa" w:w="60"/>
              <w:left w:type="dxa" w:w="120"/>
              <w:bottom w:type="dxa" w:w="30"/>
              <w:right w:type="dxa" w:w="120"/>
            </w:tcMar>
          </w:tcPr>
          <w:p>
            <w:pPr>
              <w:numPr>
                <w:numId w:val="20"/>
              </w:numPr>
              <w:spacing w:before="120" w:after="120" w:line="288" w:lineRule="auto"/>
              <w:ind w:left="0"/>
              <w:jc w:val="left"/>
            </w:pPr>
            <w:r>
              <w:rPr>
                <w:rFonts w:eastAsia="等线" w:ascii="Arial" w:cs="Arial" w:hAnsi="Arial"/>
                <w:b w:val="true"/>
                <w:sz w:val="22"/>
              </w:rPr>
              <w:t>后续安排</w:t>
            </w:r>
            <w:r>
              <w:rPr>
                <w:rFonts w:eastAsia="等线" w:ascii="Arial" w:cs="Arial" w:hAnsi="Arial"/>
                <w:sz w:val="22"/>
              </w:rPr>
              <w:t>：</w:t>
            </w:r>
          </w:p>
          <w:p>
            <w:pPr>
              <w:numPr>
                <w:numId w:val="21"/>
              </w:numPr>
              <w:spacing w:before="120" w:after="120" w:line="288" w:lineRule="auto"/>
              <w:ind w:left="453"/>
              <w:jc w:val="left"/>
            </w:pPr>
            <w:r>
              <w:rPr>
                <w:rFonts w:eastAsia="等线" w:ascii="Arial" w:cs="Arial" w:hAnsi="Arial"/>
                <w:sz w:val="22"/>
              </w:rPr>
              <w:t>确定详细方案</w:t>
            </w:r>
          </w:p>
          <w:p>
            <w:pPr>
              <w:numPr>
                <w:numId w:val="22"/>
              </w:numPr>
              <w:spacing w:before="120" w:after="120" w:line="288" w:lineRule="auto"/>
              <w:ind w:left="453"/>
              <w:jc w:val="left"/>
            </w:pPr>
          </w:p>
          <w:p>
            <w:pPr>
              <w:numPr>
                <w:numId w:val="23"/>
              </w:numPr>
              <w:spacing w:before="120" w:after="120" w:line="288" w:lineRule="auto"/>
              <w:ind w:left="453"/>
              <w:jc w:val="left"/>
            </w:pPr>
          </w:p>
        </w:tc>
      </w:tr>
    </w:tbl>
    <w:p>
      <w:pPr>
        <w:spacing w:before="120" w:after="120" w:line="288" w:lineRule="auto"/>
        <w:ind w:left="0"/>
        <w:jc w:val="left"/>
      </w:pPr>
    </w:p>
    <w:sectPr>
      <w:footerReference w:type="default" r:id="rId3"/>
      <w:headerReference w:type="default" r:id="rId5"/>
      <w:headerReference w:type="first" r:id="rId6"/>
      <w:headerReference w:type="even"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耿江华 8743"/>
          <v:fill opacity="0.3"/>
        </v:shape>
      </w:pict>
    </w:r>
  </w:p>
</w:hdr>
</file>

<file path=word/header2.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header3.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3" o:spid="_x0000_s1027"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numbering.xml><?xml version="1.0" encoding="utf-8"?>
<w:numbering xmlns:w="http://schemas.openxmlformats.org/wordprocessingml/2006/main">
  <w:abstractNum w:abstractNumId="27385">
    <w:lvl>
      <w:numFmt w:val="bullet"/>
      <w:suff w:val="tab"/>
      <w:lvlText w:val="•"/>
      <w:rPr>
        <w:color w:val="3370ff"/>
      </w:rPr>
    </w:lvl>
  </w:abstractNum>
  <w:abstractNum w:abstractNumId="27386">
    <w:lvl>
      <w:start w:val="1"/>
      <w:numFmt w:val="lowerLetter"/>
      <w:suff w:val="tab"/>
      <w:lvlText w:val="%1."/>
      <w:rPr>
        <w:color w:val="3370ff"/>
      </w:rPr>
    </w:lvl>
  </w:abstractNum>
  <w:abstractNum w:abstractNumId="27387">
    <w:lvl>
      <w:start w:val="2"/>
      <w:numFmt w:val="lowerLetter"/>
      <w:suff w:val="tab"/>
      <w:lvlText w:val="%1."/>
      <w:rPr>
        <w:color w:val="3370ff"/>
      </w:rPr>
    </w:lvl>
  </w:abstractNum>
  <w:abstractNum w:abstractNumId="27388">
    <w:lvl>
      <w:numFmt w:val="bullet"/>
      <w:suff w:val="tab"/>
      <w:lvlText w:val="▪"/>
      <w:rPr>
        <w:color w:val="3370ff"/>
        <w:sz w:val="11"/>
      </w:rPr>
    </w:lvl>
  </w:abstractNum>
  <w:abstractNum w:abstractNumId="27389">
    <w:lvl>
      <w:numFmt w:val="bullet"/>
      <w:suff w:val="tab"/>
      <w:lvlText w:val="▪"/>
      <w:rPr>
        <w:color w:val="3370ff"/>
        <w:sz w:val="11"/>
      </w:rPr>
    </w:lvl>
  </w:abstractNum>
  <w:abstractNum w:abstractNumId="27390">
    <w:lvl>
      <w:numFmt w:val="bullet"/>
      <w:suff w:val="tab"/>
      <w:lvlText w:val="▪"/>
      <w:rPr>
        <w:color w:val="3370ff"/>
        <w:sz w:val="11"/>
      </w:rPr>
    </w:lvl>
  </w:abstractNum>
  <w:abstractNum w:abstractNumId="27391">
    <w:lvl>
      <w:numFmt w:val="bullet"/>
      <w:suff w:val="tab"/>
      <w:lvlText w:val="▪"/>
      <w:rPr>
        <w:color w:val="3370ff"/>
        <w:sz w:val="11"/>
      </w:rPr>
    </w:lvl>
  </w:abstractNum>
  <w:abstractNum w:abstractNumId="27392">
    <w:lvl>
      <w:numFmt w:val="bullet"/>
      <w:suff w:val="tab"/>
      <w:lvlText w:val="▪"/>
      <w:rPr>
        <w:color w:val="3370ff"/>
        <w:sz w:val="11"/>
      </w:rPr>
    </w:lvl>
  </w:abstractNum>
  <w:abstractNum w:abstractNumId="27393">
    <w:lvl>
      <w:start w:val="1"/>
      <w:numFmt w:val="decimal"/>
      <w:suff w:val="tab"/>
      <w:lvlText w:val="%1."/>
      <w:rPr>
        <w:color w:val="3370ff"/>
      </w:rPr>
    </w:lvl>
  </w:abstractNum>
  <w:abstractNum w:abstractNumId="27394">
    <w:lvl>
      <w:start w:val="2"/>
      <w:numFmt w:val="decimal"/>
      <w:suff w:val="tab"/>
      <w:lvlText w:val="%1."/>
      <w:rPr>
        <w:color w:val="3370ff"/>
      </w:rPr>
    </w:lvl>
  </w:abstractNum>
  <w:abstractNum w:abstractNumId="27395">
    <w:lvl>
      <w:numFmt w:val="bullet"/>
      <w:suff w:val="tab"/>
      <w:lvlText w:val="•"/>
      <w:rPr>
        <w:color w:val="3370ff"/>
      </w:rPr>
    </w:lvl>
  </w:abstractNum>
  <w:abstractNum w:abstractNumId="27396">
    <w:lvl>
      <w:numFmt w:val="bullet"/>
      <w:suff w:val="space"/>
      <w:lvlText w:val="□"/>
      <w:lvlText w:val="☑"/>
    </w:lvl>
  </w:abstractNum>
  <w:abstractNum w:abstractNumId="27397">
    <w:lvl>
      <w:numFmt w:val="bullet"/>
      <w:suff w:val="space"/>
      <w:lvlText w:val="□"/>
      <w:lvlText w:val="☑"/>
    </w:lvl>
  </w:abstractNum>
  <w:abstractNum w:abstractNumId="27398">
    <w:lvl>
      <w:numFmt w:val="bullet"/>
      <w:suff w:val="tab"/>
      <w:lvlText w:val="•"/>
      <w:rPr>
        <w:color w:val="3370ff"/>
      </w:rPr>
    </w:lvl>
  </w:abstractNum>
  <w:abstractNum w:abstractNumId="27399">
    <w:lvl>
      <w:start w:val="1"/>
      <w:numFmt w:val="lowerLetter"/>
      <w:suff w:val="tab"/>
      <w:lvlText w:val="%1."/>
      <w:rPr>
        <w:color w:val="3370ff"/>
      </w:rPr>
    </w:lvl>
  </w:abstractNum>
  <w:abstractNum w:abstractNumId="27400">
    <w:lvl>
      <w:start w:val="2"/>
      <w:numFmt w:val="lowerLetter"/>
      <w:suff w:val="tab"/>
      <w:lvlText w:val="%1."/>
      <w:rPr>
        <w:color w:val="3370ff"/>
      </w:rPr>
    </w:lvl>
  </w:abstractNum>
  <w:abstractNum w:abstractNumId="27401">
    <w:lvl>
      <w:start w:val="3"/>
      <w:numFmt w:val="lowerLetter"/>
      <w:suff w:val="tab"/>
      <w:lvlText w:val="%1."/>
      <w:rPr>
        <w:color w:val="3370ff"/>
      </w:rPr>
    </w:lvl>
  </w:abstractNum>
  <w:abstractNum w:abstractNumId="27402">
    <w:lvl>
      <w:start w:val="4"/>
      <w:numFmt w:val="lowerLetter"/>
      <w:suff w:val="tab"/>
      <w:lvlText w:val="%1."/>
      <w:rPr>
        <w:color w:val="3370ff"/>
      </w:rPr>
    </w:lvl>
  </w:abstractNum>
  <w:abstractNum w:abstractNumId="27403">
    <w:lvl>
      <w:start w:val="5"/>
      <w:numFmt w:val="lowerLetter"/>
      <w:suff w:val="tab"/>
      <w:lvlText w:val="%1."/>
      <w:rPr>
        <w:color w:val="3370ff"/>
      </w:rPr>
    </w:lvl>
  </w:abstractNum>
  <w:abstractNum w:abstractNumId="27404">
    <w:lvl>
      <w:numFmt w:val="bullet"/>
      <w:suff w:val="tab"/>
      <w:lvlText w:val="•"/>
      <w:rPr>
        <w:color w:val="3370ff"/>
      </w:rPr>
    </w:lvl>
  </w:abstractNum>
  <w:abstractNum w:abstractNumId="27405">
    <w:lvl>
      <w:numFmt w:val="bullet"/>
      <w:suff w:val="space"/>
      <w:lvlText w:val="□"/>
    </w:lvl>
  </w:abstractNum>
  <w:abstractNum w:abstractNumId="27406">
    <w:lvl>
      <w:numFmt w:val="bullet"/>
      <w:suff w:val="space"/>
      <w:lvlText w:val="□"/>
    </w:lvl>
  </w:abstractNum>
  <w:abstractNum w:abstractNumId="27407">
    <w:lvl>
      <w:numFmt w:val="bullet"/>
      <w:suff w:val="space"/>
      <w:lvlText w:val="□"/>
    </w:lvl>
  </w:abstractNum>
  <w:num w:numId="1">
    <w:abstractNumId w:val="27385"/>
  </w:num>
  <w:num w:numId="2">
    <w:abstractNumId w:val="27386"/>
  </w:num>
  <w:num w:numId="3">
    <w:abstractNumId w:val="27387"/>
  </w:num>
  <w:num w:numId="4">
    <w:abstractNumId w:val="27388"/>
  </w:num>
  <w:num w:numId="5">
    <w:abstractNumId w:val="27389"/>
  </w:num>
  <w:num w:numId="6">
    <w:abstractNumId w:val="27390"/>
  </w:num>
  <w:num w:numId="7">
    <w:abstractNumId w:val="27391"/>
  </w:num>
  <w:num w:numId="8">
    <w:abstractNumId w:val="27392"/>
  </w:num>
  <w:num w:numId="9">
    <w:abstractNumId w:val="27393"/>
  </w:num>
  <w:num w:numId="10">
    <w:abstractNumId w:val="27394"/>
  </w:num>
  <w:num w:numId="11">
    <w:abstractNumId w:val="27395"/>
  </w:num>
  <w:num w:numId="12">
    <w:abstractNumId w:val="27396"/>
  </w:num>
  <w:num w:numId="13">
    <w:abstractNumId w:val="27397"/>
  </w:num>
  <w:num w:numId="14">
    <w:abstractNumId w:val="27398"/>
  </w:num>
  <w:num w:numId="15">
    <w:abstractNumId w:val="27399"/>
  </w:num>
  <w:num w:numId="16">
    <w:abstractNumId w:val="27400"/>
  </w:num>
  <w:num w:numId="17">
    <w:abstractNumId w:val="27401"/>
  </w:num>
  <w:num w:numId="18">
    <w:abstractNumId w:val="27402"/>
  </w:num>
  <w:num w:numId="19">
    <w:abstractNumId w:val="27403"/>
  </w:num>
  <w:num w:numId="20">
    <w:abstractNumId w:val="27404"/>
  </w:num>
  <w:num w:numId="21">
    <w:abstractNumId w:val="27405"/>
  </w:num>
  <w:num w:numId="22">
    <w:abstractNumId w:val="27406"/>
  </w:num>
  <w:num w:numId="23">
    <w:abstractNumId w:val="2740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 Id="rId6" Target="header2.xml" Type="http://schemas.openxmlformats.org/officeDocument/2006/relationships/header"/><Relationship Id="rId7" Target="header3.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2023-12-01T06:26:54Z</dcterms:created>
  <dc:creator>Apache POI</dc:creator>
</cp:coreProperties>
</file>