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rFonts w:ascii="黑体" w:hAnsi="黑体" w:eastAsia="黑体" w:cs="黑体"/>
          <w:kern w:val="0"/>
          <w:sz w:val="52"/>
          <w:szCs w:val="52"/>
          <w:lang w:bidi="ar"/>
        </w:rPr>
      </w:pPr>
    </w:p>
    <w:p>
      <w:pPr>
        <w:widowControl/>
        <w:jc w:val="left"/>
        <w:rPr>
          <w:rFonts w:ascii="黑体" w:hAnsi="黑体" w:eastAsia="黑体" w:cs="黑体"/>
          <w:kern w:val="0"/>
          <w:sz w:val="52"/>
          <w:szCs w:val="52"/>
          <w:lang w:bidi="ar"/>
        </w:rPr>
      </w:pPr>
    </w:p>
    <w:p>
      <w:pPr>
        <w:spacing w:line="240" w:lineRule="auto"/>
        <w:ind w:firstLine="0" w:firstLineChars="0"/>
        <w:jc w:val="center"/>
        <w:rPr>
          <w:rFonts w:ascii="黑体" w:hAnsi="黑体" w:eastAsia="黑体"/>
          <w:sz w:val="48"/>
          <w:szCs w:val="48"/>
        </w:rPr>
      </w:pPr>
      <w:r>
        <w:rPr>
          <w:rFonts w:hint="eastAsia" w:ascii="黑体" w:hAnsi="黑体" w:eastAsia="黑体"/>
          <w:sz w:val="48"/>
          <w:szCs w:val="48"/>
          <w:lang w:eastAsia="zh-CN"/>
        </w:rPr>
        <w:t>沟道水位</w:t>
      </w:r>
      <w:r>
        <w:rPr>
          <w:rFonts w:hint="eastAsia" w:ascii="黑体" w:hAnsi="黑体" w:eastAsia="黑体"/>
          <w:sz w:val="48"/>
          <w:szCs w:val="48"/>
        </w:rPr>
        <w:t>在线</w:t>
      </w:r>
      <w:r>
        <w:rPr>
          <w:rFonts w:ascii="黑体" w:hAnsi="黑体" w:eastAsia="黑体"/>
          <w:sz w:val="48"/>
          <w:szCs w:val="48"/>
        </w:rPr>
        <w:t>监测</w:t>
      </w:r>
      <w:r>
        <w:rPr>
          <w:rFonts w:hint="eastAsia" w:ascii="黑体" w:hAnsi="黑体" w:eastAsia="黑体"/>
          <w:sz w:val="48"/>
          <w:szCs w:val="48"/>
          <w:lang w:eastAsia="zh-CN"/>
        </w:rPr>
        <w:t>技术</w:t>
      </w:r>
      <w:r>
        <w:rPr>
          <w:rFonts w:hint="eastAsia" w:ascii="黑体" w:hAnsi="黑体" w:eastAsia="黑体"/>
          <w:sz w:val="48"/>
          <w:szCs w:val="48"/>
        </w:rPr>
        <w:t>方</w:t>
      </w:r>
      <w:r>
        <w:rPr>
          <w:rFonts w:ascii="黑体" w:hAnsi="黑体" w:eastAsia="黑体"/>
          <w:sz w:val="48"/>
          <w:szCs w:val="48"/>
        </w:rPr>
        <w:t>案</w:t>
      </w:r>
      <w:r>
        <w:rPr>
          <w:rFonts w:hint="eastAsia" w:ascii="黑体" w:hAnsi="黑体" w:eastAsia="黑体"/>
          <w:sz w:val="48"/>
          <w:szCs w:val="48"/>
        </w:rPr>
        <w:t>书</w:t>
      </w:r>
    </w:p>
    <w:p>
      <w:pPr>
        <w:widowControl/>
        <w:ind w:firstLine="0" w:firstLineChars="0"/>
        <w:jc w:val="center"/>
        <w:rPr>
          <w:rFonts w:ascii="黑体" w:hAnsi="黑体" w:eastAsia="黑体" w:cs="黑体"/>
          <w:sz w:val="30"/>
          <w:szCs w:val="30"/>
        </w:rPr>
      </w:pPr>
      <w:r>
        <w:rPr>
          <w:sz w:val="52"/>
        </w:rPr>
        <mc:AlternateContent>
          <mc:Choice Requires="wps">
            <w:drawing>
              <wp:anchor distT="0" distB="0" distL="114300" distR="114300" simplePos="0" relativeHeight="251658240" behindDoc="0" locked="0" layoutInCell="1" allowOverlap="1">
                <wp:simplePos x="0" y="0"/>
                <wp:positionH relativeFrom="column">
                  <wp:posOffset>194310</wp:posOffset>
                </wp:positionH>
                <wp:positionV relativeFrom="paragraph">
                  <wp:posOffset>361315</wp:posOffset>
                </wp:positionV>
                <wp:extent cx="5105400" cy="9525"/>
                <wp:effectExtent l="0" t="0" r="0" b="0"/>
                <wp:wrapNone/>
                <wp:docPr id="1" name="直接连接符 1"/>
                <wp:cNvGraphicFramePr/>
                <a:graphic xmlns:a="http://schemas.openxmlformats.org/drawingml/2006/main">
                  <a:graphicData uri="http://schemas.microsoft.com/office/word/2010/wordprocessingShape">
                    <wps:wsp>
                      <wps:cNvCnPr/>
                      <wps:spPr>
                        <a:xfrm>
                          <a:off x="1337310" y="3586480"/>
                          <a:ext cx="510540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5.3pt;margin-top:28.45pt;height:0.75pt;width:402pt;z-index:251658240;mso-width-relative:page;mso-height-relative:page;" filled="f" stroked="t" coordsize="21600,21600" o:gfxdata="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39OTg2AAAAAgBAAAPAAAAAAAAAAEA&#10;IAAAACIAAABkcnMvZG93bnJldi54bWxQSwECFAAUAAAACACHTuJAPPBT9dYBAABzAwAADgAAAAAA&#10;AAABACAAAAAnAQAAZHJzL2Uyb0RvYy54bWxQSwUGAAAAAAYABgBZAQAAbwUAAAAA&#10;">
                <v:fill on="f" focussize="0,0"/>
                <v:stroke weight="1.5pt" color="#000000 [3200]" miterlimit="8" joinstyle="miter"/>
                <v:imagedata o:title=""/>
                <o:lock v:ext="edit" aspectratio="f"/>
              </v:line>
            </w:pict>
          </mc:Fallback>
        </mc:AlternateContent>
      </w: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r>
        <w:rPr>
          <w:rFonts w:hint="eastAsia" w:ascii="黑体" w:hAnsi="黑体" w:eastAsia="黑体"/>
          <w:bCs/>
          <w:sz w:val="52"/>
          <w:szCs w:val="52"/>
          <w:lang w:eastAsia="zh-CN"/>
        </w:rPr>
        <w:drawing>
          <wp:anchor distT="0" distB="0" distL="114300" distR="114300" simplePos="0" relativeHeight="251746304" behindDoc="0" locked="0" layoutInCell="1" allowOverlap="1">
            <wp:simplePos x="0" y="0"/>
            <wp:positionH relativeFrom="column">
              <wp:posOffset>-1133475</wp:posOffset>
            </wp:positionH>
            <wp:positionV relativeFrom="paragraph">
              <wp:posOffset>-1327785</wp:posOffset>
            </wp:positionV>
            <wp:extent cx="7628255" cy="4291965"/>
            <wp:effectExtent l="0" t="0" r="10795" b="13335"/>
            <wp:wrapNone/>
            <wp:docPr id="22" name="图片 2" descr="tim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tim2g"/>
                    <pic:cNvPicPr>
                      <a:picLocks noChangeAspect="1"/>
                    </pic:cNvPicPr>
                  </pic:nvPicPr>
                  <pic:blipFill>
                    <a:blip r:embed="rId7"/>
                    <a:stretch>
                      <a:fillRect/>
                    </a:stretch>
                  </pic:blipFill>
                  <pic:spPr>
                    <a:xfrm>
                      <a:off x="0" y="0"/>
                      <a:ext cx="7628255" cy="4291965"/>
                    </a:xfrm>
                    <a:prstGeom prst="rect">
                      <a:avLst/>
                    </a:prstGeom>
                    <a:noFill/>
                    <a:ln w="9525">
                      <a:noFill/>
                    </a:ln>
                  </pic:spPr>
                </pic:pic>
              </a:graphicData>
            </a:graphic>
          </wp:anchor>
        </w:drawing>
      </w: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600"/>
        <w:jc w:val="center"/>
        <w:rPr>
          <w:rFonts w:ascii="黑体" w:hAnsi="黑体" w:eastAsia="黑体" w:cs="黑体"/>
          <w:sz w:val="30"/>
          <w:szCs w:val="30"/>
        </w:rPr>
      </w:pPr>
    </w:p>
    <w:p>
      <w:pPr>
        <w:ind w:firstLine="0" w:firstLineChars="0"/>
        <w:rPr>
          <w:rFonts w:ascii="黑体" w:hAnsi="黑体" w:eastAsia="黑体" w:cs="黑体"/>
          <w:sz w:val="30"/>
          <w:szCs w:val="30"/>
        </w:rPr>
      </w:pPr>
    </w:p>
    <w:p>
      <w:pPr>
        <w:pStyle w:val="9"/>
        <w:tabs>
          <w:tab w:val="right" w:leader="dot" w:pos="8306"/>
        </w:tabs>
        <w:ind w:firstLine="600"/>
        <w:rPr>
          <w:rFonts w:ascii="黑体" w:hAnsi="黑体" w:eastAsia="黑体" w:cs="黑体"/>
          <w:sz w:val="30"/>
          <w:szCs w:val="30"/>
        </w:rPr>
      </w:pPr>
    </w:p>
    <w:p>
      <w:pPr>
        <w:ind w:left="0" w:leftChars="0" w:firstLine="0" w:firstLineChars="0"/>
        <w:rPr>
          <w:rFonts w:ascii="黑体" w:hAnsi="黑体" w:eastAsia="黑体" w:cs="黑体"/>
          <w:sz w:val="30"/>
          <w:szCs w:val="30"/>
        </w:rPr>
      </w:pPr>
    </w:p>
    <w:p>
      <w:pPr>
        <w:pStyle w:val="12"/>
        <w:spacing w:after="0" w:line="240" w:lineRule="auto"/>
        <w:ind w:firstLine="0" w:firstLineChars="0"/>
        <w:jc w:val="center"/>
        <w:rPr>
          <w:rFonts w:ascii="黑体" w:hAnsi="黑体" w:eastAsia="黑体"/>
          <w:sz w:val="32"/>
          <w:szCs w:val="32"/>
        </w:rPr>
      </w:pPr>
      <w:r>
        <w:rPr>
          <w:rFonts w:hint="eastAsia" w:ascii="黑体" w:hAnsi="黑体" w:eastAsia="黑体"/>
          <w:sz w:val="32"/>
          <w:szCs w:val="32"/>
        </w:rPr>
        <w:t>咸</w:t>
      </w:r>
      <w:r>
        <w:rPr>
          <w:rFonts w:ascii="黑体" w:hAnsi="黑体" w:eastAsia="黑体"/>
          <w:sz w:val="32"/>
          <w:szCs w:val="32"/>
        </w:rPr>
        <w:t>亨国际（</w:t>
      </w:r>
      <w:r>
        <w:rPr>
          <w:rFonts w:hint="eastAsia" w:ascii="黑体" w:hAnsi="黑体" w:eastAsia="黑体"/>
          <w:sz w:val="32"/>
          <w:szCs w:val="32"/>
        </w:rPr>
        <w:t>杭州</w:t>
      </w:r>
      <w:r>
        <w:rPr>
          <w:rFonts w:ascii="黑体" w:hAnsi="黑体" w:eastAsia="黑体"/>
          <w:sz w:val="32"/>
          <w:szCs w:val="32"/>
        </w:rPr>
        <w:t>）</w:t>
      </w:r>
      <w:r>
        <w:rPr>
          <w:rFonts w:hint="eastAsia" w:ascii="黑体" w:hAnsi="黑体" w:eastAsia="黑体"/>
          <w:sz w:val="32"/>
          <w:szCs w:val="32"/>
        </w:rPr>
        <w:t>电</w:t>
      </w:r>
      <w:r>
        <w:rPr>
          <w:rFonts w:ascii="黑体" w:hAnsi="黑体" w:eastAsia="黑体"/>
          <w:sz w:val="32"/>
          <w:szCs w:val="32"/>
        </w:rPr>
        <w:t>气科技研究院有限公司</w:t>
      </w:r>
    </w:p>
    <w:p>
      <w:pPr>
        <w:pStyle w:val="12"/>
        <w:spacing w:after="0" w:line="240" w:lineRule="auto"/>
        <w:ind w:firstLine="0" w:firstLineChars="0"/>
        <w:jc w:val="both"/>
        <w:rPr>
          <w:rFonts w:ascii="黑体" w:hAnsi="黑体" w:eastAsia="黑体"/>
          <w:sz w:val="32"/>
          <w:szCs w:val="32"/>
        </w:rPr>
      </w:pPr>
    </w:p>
    <w:p>
      <w:pPr>
        <w:ind w:firstLine="600"/>
        <w:rPr>
          <w:rFonts w:ascii="黑体" w:hAnsi="黑体" w:eastAsia="黑体" w:cs="黑体"/>
          <w:sz w:val="30"/>
          <w:szCs w:val="30"/>
        </w:rPr>
        <w:sectPr>
          <w:headerReference r:id="rId3" w:type="default"/>
          <w:pgSz w:w="11906" w:h="16838"/>
          <w:pgMar w:top="1440" w:right="1800" w:bottom="1440" w:left="1800" w:header="851" w:footer="992" w:gutter="0"/>
          <w:pgNumType w:start="1"/>
          <w:cols w:space="0" w:num="1"/>
          <w:titlePg/>
          <w:rtlGutter w:val="0"/>
          <w:docGrid w:type="lines" w:linePitch="312" w:charSpace="0"/>
        </w:sectPr>
      </w:pPr>
    </w:p>
    <w:p>
      <w:pPr>
        <w:ind w:firstLine="600"/>
        <w:jc w:val="center"/>
        <w:rPr>
          <w:sz w:val="30"/>
          <w:szCs w:val="30"/>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auto"/>
        <w:outlineLvl w:val="9"/>
        <w:rPr>
          <w:sz w:val="30"/>
          <w:szCs w:val="30"/>
        </w:rPr>
      </w:pPr>
      <w:r>
        <w:rPr>
          <w:rFonts w:hint="eastAsia"/>
          <w:sz w:val="30"/>
          <w:szCs w:val="30"/>
        </w:rPr>
        <w:t>目录</w:t>
      </w:r>
    </w:p>
    <w:p>
      <w:pPr>
        <w:pStyle w:val="9"/>
        <w:tabs>
          <w:tab w:val="right" w:leader="dot" w:pos="8306"/>
        </w:tabs>
        <w:ind w:firstLine="420"/>
        <w:jc w:val="center"/>
        <w:rPr>
          <w:rFonts w:ascii="宋体" w:hAnsi="宋体" w:eastAsia="宋体" w:cs="宋体"/>
          <w:szCs w:val="21"/>
        </w:rPr>
      </w:pPr>
    </w:p>
    <w:p>
      <w:pPr>
        <w:tabs>
          <w:tab w:val="right" w:leader="dot" w:pos="8306"/>
        </w:tabs>
        <w:ind w:firstLine="0" w:firstLineChars="0"/>
        <w:rPr>
          <w:rFonts w:hint="eastAsia" w:ascii="黑体" w:hAnsi="黑体" w:eastAsia="黑体" w:cs="黑体"/>
          <w:kern w:val="2"/>
          <w:sz w:val="21"/>
          <w:szCs w:val="30"/>
          <w:lang w:val="en-US" w:eastAsia="zh-CN" w:bidi="ar-SA"/>
        </w:rPr>
      </w:pPr>
      <w:r>
        <w:rPr>
          <w:rFonts w:hint="eastAsia" w:ascii="宋体" w:hAnsi="宋体" w:eastAsia="宋体" w:cs="宋体"/>
          <w:szCs w:val="21"/>
        </w:rPr>
        <w:t xml:space="preserve">    </w:t>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TOC \* MERGEFORMAT </w:instrText>
      </w:r>
      <w:r>
        <w:rPr>
          <w:rFonts w:hint="eastAsia" w:ascii="黑体" w:hAnsi="黑体" w:eastAsia="黑体" w:cs="黑体"/>
          <w:sz w:val="30"/>
          <w:szCs w:val="30"/>
        </w:rPr>
        <w:fldChar w:fldCharType="separate"/>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rPr>
        <w:t>一</w:t>
      </w:r>
      <w:r>
        <w:rPr>
          <w:rFonts w:hint="eastAsia"/>
          <w:sz w:val="24"/>
          <w:szCs w:val="24"/>
          <w:lang w:eastAsia="zh-CN"/>
        </w:rPr>
        <w:t>、</w:t>
      </w:r>
      <w:r>
        <w:rPr>
          <w:rFonts w:hint="eastAsia"/>
          <w:sz w:val="24"/>
          <w:szCs w:val="24"/>
        </w:rPr>
        <w:t>监测意义</w:t>
      </w:r>
      <w:r>
        <w:rPr>
          <w:sz w:val="24"/>
          <w:szCs w:val="24"/>
        </w:rPr>
        <w:tab/>
      </w:r>
      <w:r>
        <w:rPr>
          <w:sz w:val="24"/>
          <w:szCs w:val="24"/>
        </w:rPr>
        <w:fldChar w:fldCharType="begin"/>
      </w:r>
      <w:r>
        <w:rPr>
          <w:sz w:val="24"/>
          <w:szCs w:val="24"/>
        </w:rPr>
        <w:instrText xml:space="preserve"> PAGEREF _Toc4630 </w:instrText>
      </w:r>
      <w:r>
        <w:rPr>
          <w:sz w:val="24"/>
          <w:szCs w:val="24"/>
        </w:rPr>
        <w:fldChar w:fldCharType="separate"/>
      </w:r>
      <w:r>
        <w:rPr>
          <w:sz w:val="24"/>
          <w:szCs w:val="24"/>
        </w:rPr>
        <w:t>1</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1.</w:t>
      </w:r>
      <w:r>
        <w:rPr>
          <w:rFonts w:hint="eastAsia"/>
          <w:sz w:val="24"/>
          <w:szCs w:val="24"/>
        </w:rPr>
        <w:t>1</w:t>
      </w:r>
      <w:r>
        <w:rPr>
          <w:rFonts w:hint="eastAsia"/>
          <w:sz w:val="24"/>
          <w:szCs w:val="24"/>
          <w:lang w:eastAsia="zh-CN"/>
        </w:rPr>
        <w:t>电缆沟道水位</w:t>
      </w:r>
      <w:r>
        <w:rPr>
          <w:rFonts w:hint="eastAsia"/>
          <w:sz w:val="24"/>
          <w:szCs w:val="24"/>
        </w:rPr>
        <w:t>监测的意义</w:t>
      </w:r>
      <w:r>
        <w:rPr>
          <w:sz w:val="24"/>
          <w:szCs w:val="24"/>
        </w:rPr>
        <w:tab/>
      </w:r>
      <w:r>
        <w:rPr>
          <w:sz w:val="24"/>
          <w:szCs w:val="24"/>
        </w:rPr>
        <w:fldChar w:fldCharType="begin"/>
      </w:r>
      <w:r>
        <w:rPr>
          <w:sz w:val="24"/>
          <w:szCs w:val="24"/>
        </w:rPr>
        <w:instrText xml:space="preserve"> PAGEREF _Toc20364 </w:instrText>
      </w:r>
      <w:r>
        <w:rPr>
          <w:sz w:val="24"/>
          <w:szCs w:val="24"/>
        </w:rPr>
        <w:fldChar w:fldCharType="separate"/>
      </w:r>
      <w:r>
        <w:rPr>
          <w:sz w:val="24"/>
          <w:szCs w:val="24"/>
        </w:rPr>
        <w:t>1</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1.</w:t>
      </w:r>
      <w:r>
        <w:rPr>
          <w:rFonts w:hint="eastAsia"/>
          <w:sz w:val="24"/>
          <w:szCs w:val="24"/>
        </w:rPr>
        <w:t>2</w:t>
      </w:r>
      <w:r>
        <w:rPr>
          <w:rFonts w:hint="eastAsia"/>
          <w:sz w:val="24"/>
          <w:szCs w:val="24"/>
          <w:lang w:eastAsia="zh-CN"/>
        </w:rPr>
        <w:t>电缆沟道水位监测的要求</w:t>
      </w:r>
      <w:r>
        <w:rPr>
          <w:sz w:val="24"/>
          <w:szCs w:val="24"/>
        </w:rPr>
        <w:tab/>
      </w:r>
      <w:r>
        <w:rPr>
          <w:sz w:val="24"/>
          <w:szCs w:val="24"/>
        </w:rPr>
        <w:fldChar w:fldCharType="begin"/>
      </w:r>
      <w:r>
        <w:rPr>
          <w:sz w:val="24"/>
          <w:szCs w:val="24"/>
        </w:rPr>
        <w:instrText xml:space="preserve"> PAGEREF _Toc11440 </w:instrText>
      </w:r>
      <w:r>
        <w:rPr>
          <w:sz w:val="24"/>
          <w:szCs w:val="24"/>
        </w:rPr>
        <w:fldChar w:fldCharType="separate"/>
      </w:r>
      <w:r>
        <w:rPr>
          <w:sz w:val="24"/>
          <w:szCs w:val="24"/>
        </w:rPr>
        <w:t>1</w:t>
      </w:r>
      <w:r>
        <w:rPr>
          <w:sz w:val="24"/>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rPr>
        <w:t>二、监测系统架构</w:t>
      </w:r>
      <w:r>
        <w:rPr>
          <w:sz w:val="24"/>
          <w:szCs w:val="24"/>
        </w:rPr>
        <w:tab/>
      </w:r>
      <w:r>
        <w:rPr>
          <w:sz w:val="24"/>
          <w:szCs w:val="24"/>
        </w:rPr>
        <w:fldChar w:fldCharType="begin"/>
      </w:r>
      <w:r>
        <w:rPr>
          <w:sz w:val="24"/>
          <w:szCs w:val="24"/>
        </w:rPr>
        <w:instrText xml:space="preserve"> PAGEREF _Toc18466 </w:instrText>
      </w:r>
      <w:r>
        <w:rPr>
          <w:sz w:val="24"/>
          <w:szCs w:val="24"/>
        </w:rPr>
        <w:fldChar w:fldCharType="separate"/>
      </w:r>
      <w:r>
        <w:rPr>
          <w:sz w:val="24"/>
          <w:szCs w:val="24"/>
        </w:rPr>
        <w:t>2</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rPr>
        <w:t xml:space="preserve">2.1 </w:t>
      </w:r>
      <w:r>
        <w:rPr>
          <w:rFonts w:hint="eastAsia"/>
          <w:sz w:val="24"/>
          <w:szCs w:val="24"/>
          <w:lang w:eastAsia="zh-CN"/>
        </w:rPr>
        <w:t>监测</w:t>
      </w:r>
      <w:r>
        <w:rPr>
          <w:rFonts w:hint="eastAsia"/>
          <w:sz w:val="24"/>
          <w:szCs w:val="24"/>
        </w:rPr>
        <w:t>系统建设目标</w:t>
      </w:r>
      <w:r>
        <w:rPr>
          <w:sz w:val="24"/>
          <w:szCs w:val="24"/>
        </w:rPr>
        <w:tab/>
      </w:r>
      <w:r>
        <w:rPr>
          <w:sz w:val="24"/>
          <w:szCs w:val="24"/>
        </w:rPr>
        <w:fldChar w:fldCharType="begin"/>
      </w:r>
      <w:r>
        <w:rPr>
          <w:sz w:val="24"/>
          <w:szCs w:val="24"/>
        </w:rPr>
        <w:instrText xml:space="preserve"> PAGEREF _Toc17122 </w:instrText>
      </w:r>
      <w:r>
        <w:rPr>
          <w:sz w:val="24"/>
          <w:szCs w:val="24"/>
        </w:rPr>
        <w:fldChar w:fldCharType="separate"/>
      </w:r>
      <w:r>
        <w:rPr>
          <w:sz w:val="24"/>
          <w:szCs w:val="24"/>
        </w:rPr>
        <w:t>2</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rPr>
        <w:t>2.2系统架构设计</w:t>
      </w:r>
      <w:r>
        <w:rPr>
          <w:rFonts w:hint="eastAsia"/>
          <w:sz w:val="24"/>
          <w:szCs w:val="24"/>
          <w:lang w:eastAsia="zh-CN"/>
        </w:rPr>
        <w:t>及供电</w:t>
      </w:r>
      <w:r>
        <w:rPr>
          <w:sz w:val="24"/>
          <w:szCs w:val="24"/>
        </w:rPr>
        <w:tab/>
      </w:r>
      <w:r>
        <w:rPr>
          <w:sz w:val="24"/>
          <w:szCs w:val="24"/>
        </w:rPr>
        <w:fldChar w:fldCharType="begin"/>
      </w:r>
      <w:r>
        <w:rPr>
          <w:sz w:val="24"/>
          <w:szCs w:val="24"/>
        </w:rPr>
        <w:instrText xml:space="preserve"> PAGEREF _Toc31307 </w:instrText>
      </w:r>
      <w:r>
        <w:rPr>
          <w:sz w:val="24"/>
          <w:szCs w:val="24"/>
        </w:rPr>
        <w:fldChar w:fldCharType="separate"/>
      </w:r>
      <w:r>
        <w:rPr>
          <w:sz w:val="24"/>
          <w:szCs w:val="24"/>
        </w:rPr>
        <w:t>2</w:t>
      </w:r>
      <w:r>
        <w:rPr>
          <w:sz w:val="24"/>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rPr>
        <w:t>三、</w:t>
      </w:r>
      <w:r>
        <w:rPr>
          <w:rFonts w:hint="eastAsia"/>
          <w:sz w:val="24"/>
          <w:szCs w:val="24"/>
          <w:lang w:eastAsia="zh-CN"/>
        </w:rPr>
        <w:t>水位监测传感器及联动控制</w:t>
      </w:r>
      <w:r>
        <w:rPr>
          <w:sz w:val="24"/>
          <w:szCs w:val="24"/>
        </w:rPr>
        <w:tab/>
      </w:r>
      <w:r>
        <w:rPr>
          <w:sz w:val="24"/>
          <w:szCs w:val="24"/>
        </w:rPr>
        <w:fldChar w:fldCharType="begin"/>
      </w:r>
      <w:r>
        <w:rPr>
          <w:sz w:val="24"/>
          <w:szCs w:val="24"/>
        </w:rPr>
        <w:instrText xml:space="preserve"> PAGEREF _Toc28737 </w:instrText>
      </w:r>
      <w:r>
        <w:rPr>
          <w:sz w:val="24"/>
          <w:szCs w:val="24"/>
        </w:rPr>
        <w:fldChar w:fldCharType="separate"/>
      </w:r>
      <w:r>
        <w:rPr>
          <w:sz w:val="24"/>
          <w:szCs w:val="24"/>
        </w:rPr>
        <w:t>4</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3.1水位传感器工作原理</w:t>
      </w:r>
      <w:r>
        <w:rPr>
          <w:sz w:val="24"/>
          <w:szCs w:val="24"/>
        </w:rPr>
        <w:tab/>
      </w:r>
      <w:r>
        <w:rPr>
          <w:sz w:val="24"/>
          <w:szCs w:val="24"/>
        </w:rPr>
        <w:fldChar w:fldCharType="begin"/>
      </w:r>
      <w:r>
        <w:rPr>
          <w:sz w:val="24"/>
          <w:szCs w:val="24"/>
        </w:rPr>
        <w:instrText xml:space="preserve"> PAGEREF _Toc16449 </w:instrText>
      </w:r>
      <w:r>
        <w:rPr>
          <w:sz w:val="24"/>
          <w:szCs w:val="24"/>
        </w:rPr>
        <w:fldChar w:fldCharType="separate"/>
      </w:r>
      <w:r>
        <w:rPr>
          <w:sz w:val="24"/>
          <w:szCs w:val="24"/>
        </w:rPr>
        <w:t>4</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3.2安装示例</w:t>
      </w:r>
      <w:r>
        <w:rPr>
          <w:sz w:val="24"/>
          <w:szCs w:val="24"/>
        </w:rPr>
        <w:tab/>
      </w:r>
      <w:r>
        <w:rPr>
          <w:sz w:val="24"/>
          <w:szCs w:val="24"/>
        </w:rPr>
        <w:fldChar w:fldCharType="begin"/>
      </w:r>
      <w:r>
        <w:rPr>
          <w:sz w:val="24"/>
          <w:szCs w:val="24"/>
        </w:rPr>
        <w:instrText xml:space="preserve"> PAGEREF _Toc26438 </w:instrText>
      </w:r>
      <w:r>
        <w:rPr>
          <w:sz w:val="24"/>
          <w:szCs w:val="24"/>
        </w:rPr>
        <w:fldChar w:fldCharType="separate"/>
      </w:r>
      <w:r>
        <w:rPr>
          <w:sz w:val="24"/>
          <w:szCs w:val="24"/>
        </w:rPr>
        <w:t>5</w:t>
      </w:r>
      <w:r>
        <w:rPr>
          <w:sz w:val="24"/>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rPr>
        <w:t>四、</w:t>
      </w:r>
      <w:r>
        <w:rPr>
          <w:rFonts w:hint="eastAsia"/>
          <w:sz w:val="24"/>
          <w:szCs w:val="24"/>
          <w:lang w:eastAsia="zh-CN"/>
        </w:rPr>
        <w:t>水位采集器及后台</w:t>
      </w:r>
      <w:r>
        <w:rPr>
          <w:sz w:val="24"/>
          <w:szCs w:val="24"/>
        </w:rPr>
        <w:tab/>
      </w:r>
      <w:r>
        <w:rPr>
          <w:sz w:val="24"/>
          <w:szCs w:val="24"/>
        </w:rPr>
        <w:fldChar w:fldCharType="begin"/>
      </w:r>
      <w:r>
        <w:rPr>
          <w:sz w:val="24"/>
          <w:szCs w:val="24"/>
        </w:rPr>
        <w:instrText xml:space="preserve"> PAGEREF _Toc26390 </w:instrText>
      </w:r>
      <w:r>
        <w:rPr>
          <w:sz w:val="24"/>
          <w:szCs w:val="24"/>
        </w:rPr>
        <w:fldChar w:fldCharType="separate"/>
      </w:r>
      <w:r>
        <w:rPr>
          <w:sz w:val="24"/>
          <w:szCs w:val="24"/>
        </w:rPr>
        <w:t>5</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sz w:val="24"/>
          <w:szCs w:val="24"/>
        </w:rPr>
        <w:t>4</w:t>
      </w:r>
      <w:r>
        <w:rPr>
          <w:rFonts w:hint="eastAsia"/>
          <w:sz w:val="24"/>
          <w:szCs w:val="24"/>
        </w:rPr>
        <w:t>.1</w:t>
      </w:r>
      <w:r>
        <w:rPr>
          <w:rFonts w:hint="eastAsia"/>
          <w:sz w:val="24"/>
          <w:szCs w:val="24"/>
          <w:lang w:eastAsia="zh-CN"/>
        </w:rPr>
        <w:t>水位采集器</w:t>
      </w:r>
      <w:r>
        <w:rPr>
          <w:sz w:val="24"/>
          <w:szCs w:val="24"/>
        </w:rPr>
        <w:tab/>
      </w:r>
      <w:r>
        <w:rPr>
          <w:sz w:val="24"/>
          <w:szCs w:val="24"/>
        </w:rPr>
        <w:fldChar w:fldCharType="begin"/>
      </w:r>
      <w:r>
        <w:rPr>
          <w:sz w:val="24"/>
          <w:szCs w:val="24"/>
        </w:rPr>
        <w:instrText xml:space="preserve"> PAGEREF _Toc6972 </w:instrText>
      </w:r>
      <w:r>
        <w:rPr>
          <w:sz w:val="24"/>
          <w:szCs w:val="24"/>
        </w:rPr>
        <w:fldChar w:fldCharType="separate"/>
      </w:r>
      <w:r>
        <w:rPr>
          <w:sz w:val="24"/>
          <w:szCs w:val="24"/>
        </w:rPr>
        <w:t>5</w:t>
      </w:r>
      <w:r>
        <w:rPr>
          <w:sz w:val="24"/>
          <w:szCs w:val="24"/>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sz w:val="24"/>
          <w:szCs w:val="24"/>
        </w:rPr>
        <w:t>4</w:t>
      </w:r>
      <w:r>
        <w:rPr>
          <w:rFonts w:hint="eastAsia"/>
          <w:sz w:val="24"/>
          <w:szCs w:val="24"/>
        </w:rPr>
        <w:t>.2</w:t>
      </w:r>
      <w:r>
        <w:rPr>
          <w:rFonts w:hint="eastAsia"/>
          <w:sz w:val="24"/>
          <w:szCs w:val="24"/>
          <w:lang w:eastAsia="zh-CN"/>
        </w:rPr>
        <w:t>监控中心</w:t>
      </w:r>
      <w:r>
        <w:rPr>
          <w:sz w:val="24"/>
          <w:szCs w:val="24"/>
        </w:rPr>
        <w:tab/>
      </w:r>
      <w:r>
        <w:rPr>
          <w:sz w:val="24"/>
          <w:szCs w:val="24"/>
        </w:rPr>
        <w:fldChar w:fldCharType="begin"/>
      </w:r>
      <w:r>
        <w:rPr>
          <w:sz w:val="24"/>
          <w:szCs w:val="24"/>
        </w:rPr>
        <w:instrText xml:space="preserve"> PAGEREF _Toc28031 </w:instrText>
      </w:r>
      <w:r>
        <w:rPr>
          <w:sz w:val="24"/>
          <w:szCs w:val="24"/>
        </w:rPr>
        <w:fldChar w:fldCharType="separate"/>
      </w:r>
      <w:r>
        <w:rPr>
          <w:sz w:val="24"/>
          <w:szCs w:val="24"/>
        </w:rPr>
        <w:t>6</w:t>
      </w:r>
      <w:r>
        <w:rPr>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4</w:t>
      </w:r>
      <w:r>
        <w:rPr>
          <w:rFonts w:hint="eastAsia"/>
          <w:sz w:val="24"/>
          <w:szCs w:val="24"/>
        </w:rPr>
        <w:t>.2.1硬件环境要求</w:t>
      </w:r>
      <w:r>
        <w:rPr>
          <w:sz w:val="24"/>
          <w:szCs w:val="24"/>
        </w:rPr>
        <w:tab/>
      </w:r>
      <w:r>
        <w:rPr>
          <w:sz w:val="24"/>
          <w:szCs w:val="24"/>
        </w:rPr>
        <w:fldChar w:fldCharType="begin"/>
      </w:r>
      <w:r>
        <w:rPr>
          <w:sz w:val="24"/>
          <w:szCs w:val="24"/>
        </w:rPr>
        <w:instrText xml:space="preserve"> PAGEREF _Toc20037 </w:instrText>
      </w:r>
      <w:r>
        <w:rPr>
          <w:sz w:val="24"/>
          <w:szCs w:val="24"/>
        </w:rPr>
        <w:fldChar w:fldCharType="separate"/>
      </w:r>
      <w:r>
        <w:rPr>
          <w:sz w:val="24"/>
          <w:szCs w:val="24"/>
        </w:rPr>
        <w:t>6</w:t>
      </w:r>
      <w:r>
        <w:rPr>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4</w:t>
      </w:r>
      <w:r>
        <w:rPr>
          <w:rFonts w:hint="eastAsia"/>
          <w:sz w:val="24"/>
          <w:szCs w:val="24"/>
        </w:rPr>
        <w:t>.2.2网络要求</w:t>
      </w:r>
      <w:r>
        <w:rPr>
          <w:sz w:val="24"/>
          <w:szCs w:val="24"/>
        </w:rPr>
        <w:tab/>
      </w:r>
      <w:r>
        <w:rPr>
          <w:sz w:val="24"/>
          <w:szCs w:val="24"/>
        </w:rPr>
        <w:fldChar w:fldCharType="begin"/>
      </w:r>
      <w:r>
        <w:rPr>
          <w:sz w:val="24"/>
          <w:szCs w:val="24"/>
        </w:rPr>
        <w:instrText xml:space="preserve"> PAGEREF _Toc31280 </w:instrText>
      </w:r>
      <w:r>
        <w:rPr>
          <w:sz w:val="24"/>
          <w:szCs w:val="24"/>
        </w:rPr>
        <w:fldChar w:fldCharType="separate"/>
      </w:r>
      <w:r>
        <w:rPr>
          <w:sz w:val="24"/>
          <w:szCs w:val="24"/>
        </w:rPr>
        <w:t>7</w:t>
      </w:r>
      <w:r>
        <w:rPr>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lang w:val="en-US" w:eastAsia="zh-CN"/>
        </w:rPr>
        <w:t>4.2.3应用软件</w:t>
      </w:r>
      <w:r>
        <w:rPr>
          <w:sz w:val="24"/>
          <w:szCs w:val="24"/>
        </w:rPr>
        <w:tab/>
      </w:r>
      <w:r>
        <w:rPr>
          <w:sz w:val="24"/>
          <w:szCs w:val="24"/>
        </w:rPr>
        <w:fldChar w:fldCharType="begin"/>
      </w:r>
      <w:r>
        <w:rPr>
          <w:sz w:val="24"/>
          <w:szCs w:val="24"/>
        </w:rPr>
        <w:instrText xml:space="preserve"> PAGEREF _Toc19684 </w:instrText>
      </w:r>
      <w:r>
        <w:rPr>
          <w:sz w:val="24"/>
          <w:szCs w:val="24"/>
        </w:rPr>
        <w:fldChar w:fldCharType="separate"/>
      </w:r>
      <w:r>
        <w:rPr>
          <w:sz w:val="24"/>
          <w:szCs w:val="24"/>
        </w:rPr>
        <w:t>7</w:t>
      </w:r>
      <w:r>
        <w:rPr>
          <w:sz w:val="24"/>
          <w:szCs w:val="24"/>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360" w:lineRule="auto"/>
        <w:ind w:firstLine="0" w:firstLineChars="0"/>
        <w:textAlignment w:val="auto"/>
        <w:outlineLvl w:val="9"/>
        <w:rPr>
          <w:sz w:val="24"/>
          <w:szCs w:val="24"/>
        </w:rPr>
      </w:pPr>
      <w:r>
        <w:rPr>
          <w:rFonts w:hint="eastAsia"/>
          <w:sz w:val="24"/>
          <w:szCs w:val="24"/>
        </w:rPr>
        <w:t>五、联系我们</w:t>
      </w:r>
      <w:r>
        <w:rPr>
          <w:sz w:val="24"/>
          <w:szCs w:val="24"/>
        </w:rPr>
        <w:tab/>
      </w:r>
      <w:r>
        <w:rPr>
          <w:sz w:val="24"/>
          <w:szCs w:val="24"/>
        </w:rPr>
        <w:fldChar w:fldCharType="begin"/>
      </w:r>
      <w:r>
        <w:rPr>
          <w:sz w:val="24"/>
          <w:szCs w:val="24"/>
        </w:rPr>
        <w:instrText xml:space="preserve"> PAGEREF _Toc19932 </w:instrText>
      </w:r>
      <w:r>
        <w:rPr>
          <w:sz w:val="24"/>
          <w:szCs w:val="24"/>
        </w:rPr>
        <w:fldChar w:fldCharType="separate"/>
      </w:r>
      <w:r>
        <w:rPr>
          <w:sz w:val="24"/>
          <w:szCs w:val="24"/>
        </w:rPr>
        <w:t>7</w:t>
      </w:r>
      <w:r>
        <w:rPr>
          <w:sz w:val="24"/>
          <w:szCs w:val="24"/>
        </w:rPr>
        <w:fldChar w:fldCharType="end"/>
      </w:r>
    </w:p>
    <w:p>
      <w:pPr>
        <w:pStyle w:val="9"/>
        <w:tabs>
          <w:tab w:val="right" w:leader="dot" w:pos="8306"/>
        </w:tabs>
        <w:ind w:firstLine="0" w:firstLineChars="0"/>
        <w:rPr>
          <w:rFonts w:ascii="黑体" w:hAnsi="黑体" w:eastAsia="黑体" w:cs="黑体"/>
          <w:sz w:val="30"/>
          <w:szCs w:val="30"/>
        </w:rPr>
      </w:pPr>
      <w:r>
        <w:rPr>
          <w:rFonts w:hint="eastAsia" w:ascii="黑体" w:hAnsi="黑体" w:eastAsia="黑体" w:cs="黑体"/>
          <w:szCs w:val="30"/>
        </w:rPr>
        <w:fldChar w:fldCharType="end"/>
      </w:r>
    </w:p>
    <w:p>
      <w:pPr>
        <w:ind w:firstLine="600"/>
        <w:rPr>
          <w:rFonts w:ascii="黑体" w:hAnsi="黑体" w:eastAsia="黑体" w:cs="黑体"/>
          <w:sz w:val="30"/>
          <w:szCs w:val="30"/>
        </w:rPr>
      </w:pPr>
    </w:p>
    <w:p>
      <w:pPr>
        <w:ind w:firstLine="600"/>
        <w:rPr>
          <w:rFonts w:ascii="黑体" w:hAnsi="黑体" w:eastAsia="黑体" w:cs="黑体"/>
          <w:sz w:val="30"/>
          <w:szCs w:val="30"/>
        </w:rPr>
      </w:pPr>
    </w:p>
    <w:p>
      <w:pPr>
        <w:ind w:firstLine="600"/>
        <w:rPr>
          <w:rFonts w:ascii="黑体" w:hAnsi="黑体" w:eastAsia="黑体" w:cs="黑体"/>
          <w:sz w:val="30"/>
          <w:szCs w:val="30"/>
        </w:rPr>
      </w:pPr>
    </w:p>
    <w:p>
      <w:pPr>
        <w:ind w:firstLine="600"/>
        <w:rPr>
          <w:rFonts w:ascii="黑体" w:hAnsi="黑体" w:eastAsia="黑体" w:cs="黑体"/>
          <w:sz w:val="30"/>
          <w:szCs w:val="30"/>
        </w:rPr>
      </w:pPr>
    </w:p>
    <w:p>
      <w:pPr>
        <w:tabs>
          <w:tab w:val="left" w:pos="1373"/>
        </w:tabs>
        <w:ind w:left="0" w:leftChars="0" w:firstLine="0" w:firstLineChars="0"/>
        <w:jc w:val="left"/>
        <w:rPr>
          <w:lang w:val="en-US" w:eastAsia="zh-CN"/>
        </w:rPr>
        <w:sectPr>
          <w:footerReference r:id="rId4" w:type="default"/>
          <w:pgSz w:w="11906" w:h="16838"/>
          <w:pgMar w:top="1440" w:right="1800" w:bottom="1440" w:left="1800" w:header="851" w:footer="992" w:gutter="0"/>
          <w:pgNumType w:start="1"/>
          <w:cols w:space="425" w:num="1"/>
          <w:docGrid w:type="lines" w:linePitch="312" w:charSpace="0"/>
        </w:sectPr>
      </w:pPr>
      <w:bookmarkStart w:id="0" w:name="_Toc18883"/>
    </w:p>
    <w:p>
      <w:pPr>
        <w:pStyle w:val="2"/>
        <w:ind w:firstLine="0" w:firstLineChars="0"/>
        <w:jc w:val="left"/>
      </w:pPr>
      <w:bookmarkStart w:id="1" w:name="_Toc4630"/>
      <w:r>
        <w:rPr>
          <w:rFonts w:hint="eastAsia"/>
        </w:rPr>
        <w:t>一</w:t>
      </w:r>
      <w:bookmarkEnd w:id="0"/>
      <w:r>
        <w:rPr>
          <w:rFonts w:hint="eastAsia"/>
          <w:lang w:eastAsia="zh-CN"/>
        </w:rPr>
        <w:t>、</w:t>
      </w:r>
      <w:r>
        <w:rPr>
          <w:rFonts w:hint="eastAsia"/>
        </w:rPr>
        <w:t>监测意义</w:t>
      </w:r>
      <w:bookmarkEnd w:id="1"/>
    </w:p>
    <w:p>
      <w:pPr>
        <w:pStyle w:val="3"/>
      </w:pPr>
      <w:bookmarkStart w:id="2" w:name="_Toc20364"/>
      <w:r>
        <w:rPr>
          <w:rFonts w:hint="eastAsia"/>
          <w:lang w:val="en-US" w:eastAsia="zh-CN"/>
        </w:rPr>
        <w:t>1.</w:t>
      </w:r>
      <w:r>
        <w:rPr>
          <w:rFonts w:hint="eastAsia"/>
        </w:rPr>
        <w:t>1</w:t>
      </w:r>
      <w:r>
        <w:rPr>
          <w:rFonts w:hint="eastAsia"/>
          <w:lang w:eastAsia="zh-CN"/>
        </w:rPr>
        <w:t>电缆沟道水位</w:t>
      </w:r>
      <w:r>
        <w:rPr>
          <w:rFonts w:hint="eastAsia"/>
        </w:rPr>
        <w:t>监测的意义</w:t>
      </w:r>
      <w:bookmarkEnd w:id="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bookmarkStart w:id="3" w:name="_Toc2487"/>
      <w:r>
        <w:rPr>
          <w:rFonts w:hint="eastAsia" w:asciiTheme="minorEastAsia" w:hAnsiTheme="minorEastAsia" w:eastAsiaTheme="minorEastAsia" w:cstheme="minorEastAsia"/>
          <w:sz w:val="24"/>
          <w:szCs w:val="24"/>
        </w:rPr>
        <w:t>现阶段电缆中间接头大多裸露在电缆沟道中，有些甚至长期被污水淤泥淹没，易加速电缆电化，也不利于电缆管理与维护，而对于地下层箱变等无防水能力的设备，对于其低洼地区，加固薄弱的中间接头防护能力，并对水位监测更为重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通过监测</w:t>
      </w:r>
      <w:r>
        <w:rPr>
          <w:rFonts w:hint="eastAsia" w:asciiTheme="minorEastAsia" w:hAnsiTheme="minorEastAsia" w:cstheme="minorEastAsia"/>
          <w:sz w:val="24"/>
          <w:szCs w:val="24"/>
          <w:lang w:eastAsia="zh-CN"/>
        </w:rPr>
        <w:t>沟道、积水池及变电站低洼处的水位</w:t>
      </w:r>
      <w:r>
        <w:rPr>
          <w:rFonts w:hint="eastAsia" w:asciiTheme="minorEastAsia" w:hAnsiTheme="minorEastAsia" w:eastAsiaTheme="minorEastAsia" w:cstheme="minorEastAsia"/>
          <w:sz w:val="24"/>
          <w:szCs w:val="24"/>
        </w:rPr>
        <w:t>情况，并</w:t>
      </w:r>
      <w:r>
        <w:rPr>
          <w:rFonts w:hint="eastAsia" w:asciiTheme="minorEastAsia" w:hAnsiTheme="minorEastAsia" w:cstheme="minorEastAsia"/>
          <w:sz w:val="24"/>
          <w:szCs w:val="24"/>
          <w:lang w:eastAsia="zh-CN"/>
        </w:rPr>
        <w:t>在发现水位没过警界线时</w:t>
      </w:r>
      <w:r>
        <w:rPr>
          <w:rFonts w:hint="eastAsia" w:asciiTheme="minorEastAsia" w:hAnsiTheme="minorEastAsia" w:eastAsiaTheme="minorEastAsia" w:cstheme="minorEastAsia"/>
          <w:sz w:val="24"/>
          <w:szCs w:val="24"/>
        </w:rPr>
        <w:t>及时采取措施可及时有效地</w:t>
      </w:r>
      <w:r>
        <w:rPr>
          <w:rFonts w:hint="eastAsia" w:asciiTheme="minorEastAsia" w:hAnsiTheme="minorEastAsia" w:cstheme="minorEastAsia"/>
          <w:sz w:val="24"/>
          <w:szCs w:val="24"/>
          <w:lang w:eastAsia="zh-CN"/>
        </w:rPr>
        <w:t>减少积累产生危情</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eastAsiaTheme="minorEastAsia" w:cstheme="minorEastAsia"/>
          <w:sz w:val="24"/>
          <w:szCs w:val="24"/>
        </w:rPr>
      </w:pPr>
      <w:r>
        <w:rPr>
          <w:rFonts w:hint="eastAsia" w:ascii="宋体" w:hAnsi="宋体" w:eastAsia="宋体" w:cs="宋体"/>
          <w:sz w:val="28"/>
          <w:szCs w:val="28"/>
        </w:rPr>
        <w:drawing>
          <wp:anchor distT="0" distB="0" distL="114300" distR="114300" simplePos="0" relativeHeight="252274688" behindDoc="0" locked="0" layoutInCell="1" allowOverlap="1">
            <wp:simplePos x="0" y="0"/>
            <wp:positionH relativeFrom="column">
              <wp:posOffset>1865630</wp:posOffset>
            </wp:positionH>
            <wp:positionV relativeFrom="paragraph">
              <wp:posOffset>133985</wp:posOffset>
            </wp:positionV>
            <wp:extent cx="1737995" cy="2030095"/>
            <wp:effectExtent l="0" t="0" r="14605" b="8255"/>
            <wp:wrapNone/>
            <wp:docPr id="10" name="图片 53" descr="IMG_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3" descr="IMG_2590"/>
                    <pic:cNvPicPr>
                      <a:picLocks noChangeAspect="1"/>
                    </pic:cNvPicPr>
                  </pic:nvPicPr>
                  <pic:blipFill>
                    <a:blip r:embed="rId8"/>
                    <a:stretch>
                      <a:fillRect/>
                    </a:stretch>
                  </pic:blipFill>
                  <pic:spPr>
                    <a:xfrm>
                      <a:off x="0" y="0"/>
                      <a:ext cx="1737995" cy="2030095"/>
                    </a:xfrm>
                    <a:prstGeom prst="rect">
                      <a:avLst/>
                    </a:prstGeom>
                    <a:noFill/>
                    <a:ln w="9525">
                      <a:noFill/>
                    </a:ln>
                  </pic:spPr>
                </pic:pic>
              </a:graphicData>
            </a:graphic>
          </wp:anchor>
        </w:drawing>
      </w:r>
      <w:r>
        <w:rPr>
          <w:rFonts w:hint="eastAsia" w:ascii="宋体" w:hAnsi="宋体" w:eastAsia="宋体" w:cs="宋体"/>
          <w:sz w:val="28"/>
          <w:szCs w:val="28"/>
        </w:rPr>
        <w:drawing>
          <wp:anchor distT="0" distB="0" distL="114300" distR="114300" simplePos="0" relativeHeight="252735488" behindDoc="0" locked="0" layoutInCell="1" allowOverlap="1">
            <wp:simplePos x="0" y="0"/>
            <wp:positionH relativeFrom="column">
              <wp:posOffset>180975</wp:posOffset>
            </wp:positionH>
            <wp:positionV relativeFrom="paragraph">
              <wp:posOffset>137160</wp:posOffset>
            </wp:positionV>
            <wp:extent cx="1601470" cy="2058035"/>
            <wp:effectExtent l="0" t="0" r="17780" b="18415"/>
            <wp:wrapNone/>
            <wp:docPr id="11" name="图片 12" descr="IMG_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86"/>
                    <pic:cNvPicPr>
                      <a:picLocks noChangeAspect="1"/>
                    </pic:cNvPicPr>
                  </pic:nvPicPr>
                  <pic:blipFill>
                    <a:blip r:embed="rId9"/>
                    <a:stretch>
                      <a:fillRect/>
                    </a:stretch>
                  </pic:blipFill>
                  <pic:spPr>
                    <a:xfrm>
                      <a:off x="0" y="0"/>
                      <a:ext cx="1601470" cy="2058035"/>
                    </a:xfrm>
                    <a:prstGeom prst="rect">
                      <a:avLst/>
                    </a:prstGeom>
                    <a:noFill/>
                    <a:ln w="9525">
                      <a:noFill/>
                    </a:ln>
                  </pic:spPr>
                </pic:pic>
              </a:graphicData>
            </a:graphic>
          </wp:anchor>
        </w:drawing>
      </w:r>
      <w:r>
        <w:drawing>
          <wp:anchor distT="0" distB="0" distL="114300" distR="114300" simplePos="0" relativeHeight="252449792" behindDoc="0" locked="0" layoutInCell="1" allowOverlap="1">
            <wp:simplePos x="0" y="0"/>
            <wp:positionH relativeFrom="column">
              <wp:posOffset>3651250</wp:posOffset>
            </wp:positionH>
            <wp:positionV relativeFrom="paragraph">
              <wp:posOffset>139700</wp:posOffset>
            </wp:positionV>
            <wp:extent cx="1530350" cy="2026285"/>
            <wp:effectExtent l="0" t="0" r="12700" b="12065"/>
            <wp:wrapNone/>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0"/>
                    <a:stretch>
                      <a:fillRect/>
                    </a:stretch>
                  </pic:blipFill>
                  <pic:spPr>
                    <a:xfrm>
                      <a:off x="0" y="0"/>
                      <a:ext cx="1530350" cy="2026285"/>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pStyle w:val="3"/>
      </w:pPr>
      <w:bookmarkStart w:id="4" w:name="_Toc11440"/>
      <w:r>
        <w:rPr>
          <w:rFonts w:hint="eastAsia"/>
          <w:lang w:val="en-US" w:eastAsia="zh-CN"/>
        </w:rPr>
        <w:t>1.</w:t>
      </w:r>
      <w:r>
        <w:rPr>
          <w:rFonts w:hint="eastAsia"/>
        </w:rPr>
        <w:t>2</w:t>
      </w:r>
      <w:r>
        <w:rPr>
          <w:rFonts w:hint="eastAsia"/>
          <w:lang w:eastAsia="zh-CN"/>
        </w:rPr>
        <w:t>电缆沟道水位监测的要求</w:t>
      </w:r>
      <w:bookmarkEnd w:id="4"/>
    </w:p>
    <w:p>
      <w:pPr>
        <w:numPr>
          <w:ilvl w:val="0"/>
          <w:numId w:val="1"/>
        </w:numPr>
        <w:ind w:left="420" w:leftChars="0" w:hanging="420" w:firstLineChars="0"/>
        <w:rPr>
          <w:rFonts w:hint="eastAsia"/>
          <w:sz w:val="24"/>
          <w:szCs w:val="24"/>
          <w:lang w:val="en-US" w:eastAsia="zh-CN"/>
        </w:rPr>
      </w:pPr>
      <w:r>
        <w:rPr>
          <w:rFonts w:hint="eastAsia"/>
          <w:sz w:val="24"/>
          <w:szCs w:val="24"/>
          <w:lang w:val="en-US" w:eastAsia="zh-CN"/>
        </w:rPr>
        <w:t>准确测量，及时反应；</w:t>
      </w:r>
    </w:p>
    <w:p>
      <w:pPr>
        <w:numPr>
          <w:ilvl w:val="0"/>
          <w:numId w:val="1"/>
        </w:numPr>
        <w:ind w:left="420" w:leftChars="0" w:hanging="420" w:firstLineChars="0"/>
        <w:rPr>
          <w:rFonts w:hint="eastAsia"/>
          <w:sz w:val="24"/>
          <w:szCs w:val="24"/>
          <w:lang w:val="en-US" w:eastAsia="zh-CN"/>
        </w:rPr>
      </w:pPr>
      <w:r>
        <w:rPr>
          <w:rFonts w:hint="eastAsia"/>
          <w:sz w:val="24"/>
          <w:szCs w:val="24"/>
          <w:lang w:val="en-US" w:eastAsia="zh-CN"/>
        </w:rPr>
        <w:t>信号稳定性好，易维护，如信号传输不被高压环境干扰；</w:t>
      </w:r>
    </w:p>
    <w:p>
      <w:pPr>
        <w:numPr>
          <w:ilvl w:val="0"/>
          <w:numId w:val="1"/>
        </w:numPr>
        <w:ind w:left="420" w:leftChars="0" w:hanging="420" w:firstLineChars="0"/>
        <w:rPr>
          <w:rFonts w:asciiTheme="minorEastAsia" w:hAnsiTheme="minorEastAsia" w:cstheme="minorEastAsia"/>
          <w:color w:val="000000"/>
          <w:kern w:val="0"/>
          <w:sz w:val="24"/>
        </w:rPr>
      </w:pPr>
      <w:r>
        <w:rPr>
          <w:rFonts w:hint="eastAsia"/>
          <w:sz w:val="24"/>
          <w:szCs w:val="24"/>
          <w:lang w:val="en-US" w:eastAsia="zh-CN"/>
        </w:rPr>
        <w:t>监测数据有联运控制时保证设备正常启动；</w:t>
      </w:r>
    </w:p>
    <w:p>
      <w:pPr>
        <w:numPr>
          <w:numId w:val="0"/>
        </w:numPr>
        <w:ind w:leftChars="0"/>
        <w:rPr>
          <w:rFonts w:hint="eastAsia"/>
          <w:sz w:val="24"/>
          <w:szCs w:val="24"/>
          <w:lang w:val="en-US" w:eastAsia="zh-CN"/>
        </w:rPr>
      </w:pPr>
    </w:p>
    <w:p>
      <w:pPr>
        <w:numPr>
          <w:numId w:val="0"/>
        </w:numPr>
        <w:ind w:leftChars="0"/>
        <w:rPr>
          <w:rFonts w:hint="eastAsia"/>
          <w:sz w:val="24"/>
          <w:szCs w:val="24"/>
          <w:lang w:val="en-US" w:eastAsia="zh-CN"/>
        </w:rPr>
      </w:pPr>
    </w:p>
    <w:bookmarkEnd w:id="3"/>
    <w:p>
      <w:pPr>
        <w:pStyle w:val="2"/>
        <w:ind w:firstLine="0" w:firstLineChars="0"/>
      </w:pPr>
      <w:bookmarkStart w:id="5" w:name="_Toc13801"/>
      <w:bookmarkStart w:id="6" w:name="_Toc18466"/>
      <w:r>
        <w:rPr>
          <w:rFonts w:hint="eastAsia"/>
        </w:rPr>
        <w:t>二、监测系统</w:t>
      </w:r>
      <w:bookmarkEnd w:id="5"/>
      <w:r>
        <w:rPr>
          <w:rFonts w:hint="eastAsia"/>
        </w:rPr>
        <w:t>架构</w:t>
      </w:r>
      <w:bookmarkEnd w:id="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宋体" w:hAnsi="宋体"/>
          <w:sz w:val="28"/>
          <w:szCs w:val="28"/>
        </w:rPr>
      </w:pPr>
      <w:r>
        <w:rPr>
          <w:rFonts w:hint="eastAsia" w:asciiTheme="minorEastAsia" w:hAnsiTheme="minorEastAsia" w:cstheme="minorEastAsia"/>
          <w:sz w:val="24"/>
        </w:rPr>
        <w:t>系统可分为监控中心和远端采集器。其中远端采集器负责信息的采集和预处理，</w:t>
      </w:r>
      <w:r>
        <w:rPr>
          <w:rFonts w:hint="eastAsia" w:asciiTheme="minorEastAsia" w:hAnsiTheme="minorEastAsia" w:cstheme="minorEastAsia"/>
          <w:sz w:val="24"/>
          <w:lang w:eastAsia="zh-CN"/>
        </w:rPr>
        <w:t>根据水位的特点可分为液位测量和液位警界线报警。采集器</w:t>
      </w:r>
      <w:r>
        <w:rPr>
          <w:rFonts w:hint="eastAsia" w:asciiTheme="minorEastAsia" w:hAnsiTheme="minorEastAsia" w:cstheme="minorEastAsia"/>
          <w:sz w:val="24"/>
        </w:rPr>
        <w:t>将</w:t>
      </w:r>
      <w:r>
        <w:rPr>
          <w:rFonts w:hint="eastAsia" w:asciiTheme="minorEastAsia" w:hAnsiTheme="minorEastAsia" w:cstheme="minorEastAsia"/>
          <w:sz w:val="24"/>
          <w:lang w:eastAsia="zh-CN"/>
        </w:rPr>
        <w:t>液位值或者警界信号</w:t>
      </w:r>
      <w:r>
        <w:rPr>
          <w:rFonts w:hint="eastAsia" w:asciiTheme="minorEastAsia" w:hAnsiTheme="minorEastAsia" w:cstheme="minorEastAsia"/>
          <w:sz w:val="24"/>
        </w:rPr>
        <w:t>传送</w:t>
      </w:r>
      <w:r>
        <w:rPr>
          <w:rFonts w:hint="eastAsia" w:asciiTheme="minorEastAsia" w:hAnsiTheme="minorEastAsia" w:cstheme="minorEastAsia"/>
          <w:sz w:val="24"/>
          <w:lang w:eastAsia="zh-CN"/>
        </w:rPr>
        <w:t>到后台</w:t>
      </w:r>
      <w:r>
        <w:rPr>
          <w:rFonts w:hint="eastAsia" w:asciiTheme="minorEastAsia" w:hAnsiTheme="minorEastAsia" w:cstheme="minorEastAsia"/>
          <w:sz w:val="24"/>
        </w:rPr>
        <w:t>。监控中心负责所辖区域内远端采集器上传信号的收集、记录、显示，若出现异常将告警信息传递给相关维护人员。在后期系统扩容中，监控中心配置不必改变，只需增加相应RTU监控点，集中收集到监控中心，即可完成对所辖区域内电缆测温点集中监控管理。若系统发生告警，系统可通过电话、短信、多种方式进行告警，及时通知各责任人，便于采取有效措施进行防范。</w:t>
      </w:r>
    </w:p>
    <w:p>
      <w:pPr>
        <w:pStyle w:val="3"/>
      </w:pPr>
      <w:bookmarkStart w:id="7" w:name="_Toc26787_WPSOffice_Level1"/>
      <w:bookmarkStart w:id="8" w:name="_Toc463712450"/>
      <w:bookmarkStart w:id="9" w:name="_Toc22583"/>
      <w:bookmarkStart w:id="10" w:name="_Toc28886"/>
      <w:bookmarkStart w:id="11" w:name="_Toc5555_WPSOffice_Level1"/>
      <w:bookmarkStart w:id="12" w:name="_Toc25709"/>
      <w:bookmarkStart w:id="13" w:name="_Toc17122"/>
      <w:r>
        <w:rPr>
          <w:rFonts w:hint="eastAsia"/>
        </w:rPr>
        <w:t xml:space="preserve">2.1 </w:t>
      </w:r>
      <w:r>
        <w:rPr>
          <w:rFonts w:hint="eastAsia"/>
          <w:lang w:eastAsia="zh-CN"/>
        </w:rPr>
        <w:t>监测</w:t>
      </w:r>
      <w:r>
        <w:rPr>
          <w:rFonts w:hint="eastAsia"/>
        </w:rPr>
        <w:t>系统建设目标</w:t>
      </w:r>
      <w:bookmarkEnd w:id="7"/>
      <w:bookmarkEnd w:id="8"/>
      <w:bookmarkEnd w:id="9"/>
      <w:bookmarkEnd w:id="10"/>
      <w:bookmarkEnd w:id="11"/>
      <w:bookmarkEnd w:id="12"/>
      <w:bookmarkEnd w:id="13"/>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outlineLvl w:val="9"/>
        <w:rPr>
          <w:rFonts w:hint="eastAsia" w:ascii="宋体" w:hAnsi="宋体"/>
          <w:sz w:val="24"/>
          <w:szCs w:val="24"/>
        </w:rPr>
      </w:pPr>
      <w:r>
        <w:rPr>
          <w:rFonts w:hint="eastAsia" w:ascii="宋体" w:hAnsi="宋体"/>
          <w:sz w:val="24"/>
          <w:szCs w:val="24"/>
        </w:rPr>
        <w:t>实时监测，分级集中管理。具有统计，查询和打印各类表格的功能，提高维护和管理水平。</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outlineLvl w:val="9"/>
        <w:rPr>
          <w:rFonts w:hint="eastAsia" w:ascii="宋体" w:hAnsi="宋体"/>
          <w:sz w:val="24"/>
          <w:szCs w:val="24"/>
        </w:rPr>
      </w:pPr>
      <w:r>
        <w:rPr>
          <w:rFonts w:hint="eastAsia" w:ascii="宋体" w:hAnsi="宋体"/>
          <w:sz w:val="24"/>
          <w:szCs w:val="24"/>
        </w:rPr>
        <w:t>及时报警，自动排障，能实时掌握系统所属各端局设备的维护作业等运行情况。</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outlineLvl w:val="9"/>
        <w:rPr>
          <w:rFonts w:hint="eastAsia" w:ascii="宋体" w:hAnsi="宋体"/>
          <w:sz w:val="24"/>
          <w:szCs w:val="24"/>
        </w:rPr>
      </w:pPr>
      <w:r>
        <w:rPr>
          <w:rFonts w:hint="eastAsia" w:ascii="宋体" w:hAnsi="宋体"/>
          <w:sz w:val="24"/>
          <w:szCs w:val="24"/>
          <w:lang w:eastAsia="zh-CN"/>
        </w:rPr>
        <w:t>优化传统检测方式</w:t>
      </w:r>
      <w:r>
        <w:rPr>
          <w:rFonts w:hint="eastAsia" w:ascii="宋体" w:hAnsi="宋体"/>
          <w:sz w:val="24"/>
          <w:szCs w:val="24"/>
        </w:rPr>
        <w:t>，由人工检查升级到电子科技设备测试，做到了实时在线监测。</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outlineLvl w:val="9"/>
        <w:rPr>
          <w:rFonts w:hint="eastAsia" w:ascii="宋体" w:hAnsi="宋体"/>
          <w:sz w:val="24"/>
          <w:szCs w:val="24"/>
        </w:rPr>
      </w:pPr>
      <w:r>
        <w:rPr>
          <w:rFonts w:hint="eastAsia" w:ascii="宋体" w:hAnsi="宋体"/>
          <w:sz w:val="24"/>
          <w:szCs w:val="24"/>
        </w:rPr>
        <w:t>节省电力部门的运作成本</w:t>
      </w:r>
      <w:r>
        <w:rPr>
          <w:rFonts w:hint="eastAsia" w:ascii="宋体" w:hAnsi="宋体"/>
          <w:sz w:val="24"/>
          <w:szCs w:val="24"/>
          <w:lang w:eastAsia="zh-CN"/>
        </w:rPr>
        <w:t>，</w:t>
      </w:r>
      <w:r>
        <w:rPr>
          <w:rFonts w:hint="eastAsia" w:ascii="宋体" w:hAnsi="宋体"/>
          <w:sz w:val="24"/>
          <w:szCs w:val="24"/>
        </w:rPr>
        <w:t>能有效的提高工作效。</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outlineLvl w:val="9"/>
        <w:rPr>
          <w:rFonts w:hint="eastAsia" w:ascii="宋体" w:hAnsi="宋体"/>
          <w:sz w:val="24"/>
          <w:szCs w:val="24"/>
          <w:lang w:val="en-US" w:eastAsia="zh-CN"/>
        </w:rPr>
      </w:pPr>
      <w:r>
        <w:rPr>
          <w:rFonts w:hint="eastAsia" w:ascii="宋体" w:hAnsi="宋体"/>
          <w:sz w:val="24"/>
          <w:szCs w:val="24"/>
          <w:lang w:val="en-US" w:eastAsia="zh-CN"/>
        </w:rPr>
        <w:t>具备联动装置，险情发生时可以通过自动设置启动联动设备。</w:t>
      </w:r>
    </w:p>
    <w:p>
      <w:pPr>
        <w:pStyle w:val="3"/>
        <w:rPr>
          <w:rFonts w:hint="eastAsia" w:eastAsia="仿宋"/>
          <w:lang w:eastAsia="zh-CN"/>
        </w:rPr>
      </w:pPr>
      <w:bookmarkStart w:id="14" w:name="_Toc2379"/>
      <w:bookmarkStart w:id="15" w:name="_Toc463712451"/>
      <w:bookmarkStart w:id="16" w:name="_Toc21967_WPSOffice_Level1"/>
      <w:bookmarkStart w:id="17" w:name="_Toc9487_WPSOffice_Level1"/>
      <w:bookmarkStart w:id="18" w:name="_Toc14500"/>
      <w:bookmarkStart w:id="19" w:name="_Toc651"/>
      <w:bookmarkStart w:id="20" w:name="_Toc31307"/>
      <w:r>
        <w:rPr>
          <w:rFonts w:hint="eastAsia"/>
        </w:rPr>
        <w:t>2.2系统架构设计</w:t>
      </w:r>
      <w:bookmarkEnd w:id="14"/>
      <w:bookmarkEnd w:id="15"/>
      <w:bookmarkEnd w:id="16"/>
      <w:bookmarkEnd w:id="17"/>
      <w:bookmarkEnd w:id="18"/>
      <w:r>
        <w:rPr>
          <w:rFonts w:hint="eastAsia"/>
          <w:lang w:eastAsia="zh-CN"/>
        </w:rPr>
        <w:t>及供电</w:t>
      </w:r>
      <w:bookmarkEnd w:id="19"/>
      <w:bookmarkEnd w:id="20"/>
    </w:p>
    <w:p>
      <w:pPr>
        <w:snapToGrid w:val="0"/>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我公司基于在本行业的长期积累，针对此类问题进行了深入研究，开发集成了</w:t>
      </w:r>
      <w:r>
        <w:rPr>
          <w:rFonts w:hint="eastAsia" w:ascii="宋体" w:hAnsi="宋体" w:eastAsia="宋体" w:cs="宋体"/>
          <w:sz w:val="24"/>
          <w:szCs w:val="24"/>
          <w:lang w:eastAsia="zh-CN"/>
        </w:rPr>
        <w:t>本体温度</w:t>
      </w:r>
      <w:r>
        <w:rPr>
          <w:rFonts w:hint="eastAsia" w:ascii="宋体" w:hAnsi="宋体" w:eastAsia="宋体" w:cs="宋体"/>
          <w:sz w:val="24"/>
          <w:szCs w:val="24"/>
        </w:rPr>
        <w:t>在线监测系统，对</w:t>
      </w:r>
      <w:r>
        <w:rPr>
          <w:rFonts w:hint="eastAsia" w:ascii="宋体" w:hAnsi="宋体" w:eastAsia="宋体" w:cs="宋体"/>
          <w:sz w:val="24"/>
          <w:szCs w:val="24"/>
          <w:lang w:eastAsia="zh-CN"/>
        </w:rPr>
        <w:t>高压开关柜/环网柜易热部位进行</w:t>
      </w:r>
      <w:r>
        <w:rPr>
          <w:rFonts w:hint="eastAsia" w:ascii="宋体" w:hAnsi="宋体" w:eastAsia="宋体" w:cs="宋体"/>
          <w:sz w:val="24"/>
          <w:szCs w:val="24"/>
        </w:rPr>
        <w:t>全面的实时监测，并对运行中存在的缺陷提供专家诊断及综合解决方案与技术服务。具体而言，</w:t>
      </w:r>
      <w:r>
        <w:rPr>
          <w:rFonts w:hint="eastAsia" w:ascii="宋体" w:hAnsi="宋体" w:eastAsia="宋体" w:cs="宋体"/>
          <w:sz w:val="24"/>
          <w:szCs w:val="24"/>
          <w:lang w:eastAsia="zh-CN"/>
        </w:rPr>
        <w:t>从水位监测、数值上传、危情处理，</w:t>
      </w:r>
      <w:r>
        <w:rPr>
          <w:rFonts w:hint="eastAsia" w:ascii="宋体" w:hAnsi="宋体" w:eastAsia="宋体" w:cs="宋体"/>
          <w:sz w:val="24"/>
          <w:szCs w:val="24"/>
        </w:rPr>
        <w:t>逐个阶段、逐一因素层层监测预警、布控，把事故损失降低到最小，最后对危情进行有效管控。</w:t>
      </w:r>
    </w:p>
    <w:p>
      <w:pPr>
        <w:numPr>
          <w:ilvl w:val="0"/>
          <w:numId w:val="3"/>
        </w:numPr>
        <w:rPr>
          <w:rFonts w:ascii="宋体" w:hAnsi="宋体" w:eastAsia="宋体" w:cs="宋体"/>
          <w:sz w:val="28"/>
          <w:szCs w:val="28"/>
        </w:rPr>
      </w:pPr>
      <w:r>
        <w:rPr>
          <w:rFonts w:hint="eastAsia" w:ascii="宋体" w:hAnsi="宋体" w:eastAsia="宋体" w:cs="宋体"/>
          <w:sz w:val="28"/>
          <w:szCs w:val="28"/>
        </w:rPr>
        <w:t>水位监测（水位监测、水泵联动）</w:t>
      </w:r>
    </w:p>
    <w:p>
      <w:pPr>
        <w:keepNext w:val="0"/>
        <w:keepLines w:val="0"/>
        <w:pageBreakBefore w:val="0"/>
        <w:widowControl w:val="0"/>
        <w:kinsoku/>
        <w:wordWrap/>
        <w:overflowPunct/>
        <w:topLinePunct w:val="0"/>
        <w:autoSpaceDE/>
        <w:autoSpaceDN/>
        <w:bidi w:val="0"/>
        <w:adjustRightInd/>
        <w:snapToGrid w:val="0"/>
        <w:spacing w:line="360" w:lineRule="auto"/>
        <w:ind w:firstLine="0" w:firstLineChars="0"/>
        <w:jc w:val="center"/>
        <w:textAlignment w:val="auto"/>
        <w:outlineLvl w:val="9"/>
        <w:rPr>
          <w:rFonts w:ascii="宋体" w:hAnsi="宋体" w:eastAsia="宋体" w:cs="宋体"/>
          <w:kern w:val="0"/>
          <w:lang w:bidi="ar"/>
        </w:rPr>
      </w:pPr>
      <w:r>
        <w:drawing>
          <wp:inline distT="0" distB="0" distL="114300" distR="114300">
            <wp:extent cx="4055110" cy="3524250"/>
            <wp:effectExtent l="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1"/>
                    <a:stretch>
                      <a:fillRect/>
                    </a:stretch>
                  </pic:blipFill>
                  <pic:spPr>
                    <a:xfrm>
                      <a:off x="0" y="0"/>
                      <a:ext cx="4055110" cy="35242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outlineLvl w:val="9"/>
        <w:rPr>
          <w:rFonts w:hint="eastAsia" w:ascii="宋体" w:hAnsi="宋体"/>
          <w:sz w:val="24"/>
          <w:szCs w:val="24"/>
          <w:lang w:val="en-US" w:eastAsia="zh-CN"/>
        </w:rPr>
      </w:pPr>
      <w:r>
        <w:rPr>
          <w:rFonts w:hint="eastAsia" w:ascii="宋体" w:hAnsi="宋体"/>
          <w:sz w:val="24"/>
          <w:szCs w:val="24"/>
          <w:lang w:val="en-US" w:eastAsia="zh-CN"/>
        </w:rPr>
        <w:t>我司根据电缆沟道及变电站环境的特点在供电上设计有两种类型的电源，分别是CT取电和市电供电，以便多种场合采用合适的方式进行安装配置，是通有市电电源的，这种环境要保障的是转换电源IP等级要高，以满足沟道环境；</w:t>
      </w:r>
    </w:p>
    <w:p>
      <w:pPr>
        <w:ind w:left="0" w:leftChars="0" w:firstLine="0" w:firstLineChars="0"/>
        <w:jc w:val="center"/>
        <w:rPr>
          <w:rFonts w:hint="eastAsia"/>
          <w:sz w:val="24"/>
          <w:szCs w:val="24"/>
          <w:lang w:val="en-US" w:eastAsia="zh-CN"/>
        </w:rPr>
      </w:pPr>
      <w:r>
        <w:drawing>
          <wp:inline distT="0" distB="0" distL="114300" distR="114300">
            <wp:extent cx="2339975" cy="1795780"/>
            <wp:effectExtent l="0" t="0" r="3175"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2"/>
                    <a:stretch>
                      <a:fillRect/>
                    </a:stretch>
                  </pic:blipFill>
                  <pic:spPr>
                    <a:xfrm>
                      <a:off x="0" y="0"/>
                      <a:ext cx="2339975" cy="179578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228215" cy="1757680"/>
            <wp:effectExtent l="0" t="0" r="635" b="1397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3"/>
                    <a:stretch>
                      <a:fillRect/>
                    </a:stretch>
                  </pic:blipFill>
                  <pic:spPr>
                    <a:xfrm>
                      <a:off x="0" y="0"/>
                      <a:ext cx="2228215" cy="1757680"/>
                    </a:xfrm>
                    <a:prstGeom prst="rect">
                      <a:avLst/>
                    </a:prstGeom>
                    <a:noFill/>
                    <a:ln w="9525">
                      <a:noFill/>
                    </a:ln>
                  </pic:spPr>
                </pic:pic>
              </a:graphicData>
            </a:graphic>
          </wp:inline>
        </w:drawing>
      </w:r>
    </w:p>
    <w:p>
      <w:pPr>
        <w:ind w:left="0" w:leftChars="0" w:firstLine="1440" w:firstLineChars="600"/>
        <w:rPr>
          <w:rFonts w:hint="eastAsia"/>
          <w:sz w:val="24"/>
          <w:szCs w:val="24"/>
          <w:lang w:val="en-US" w:eastAsia="zh-CN"/>
        </w:rPr>
      </w:pPr>
      <w:r>
        <w:rPr>
          <w:rFonts w:hint="eastAsia"/>
          <w:sz w:val="24"/>
          <w:szCs w:val="24"/>
          <w:lang w:val="en-US" w:eastAsia="zh-CN"/>
        </w:rPr>
        <w:t>CT取电                          市电供电</w:t>
      </w:r>
    </w:p>
    <w:p>
      <w:pPr>
        <w:ind w:left="0" w:leftChars="0" w:firstLine="0" w:firstLineChars="0"/>
        <w:jc w:val="center"/>
        <w:rPr>
          <w:rFonts w:hint="eastAsia"/>
          <w:sz w:val="24"/>
          <w:szCs w:val="24"/>
          <w:lang w:val="en-US" w:eastAsia="zh-CN"/>
        </w:rPr>
      </w:pPr>
      <w:r>
        <w:drawing>
          <wp:inline distT="0" distB="0" distL="0" distR="0">
            <wp:extent cx="3215005" cy="1847850"/>
            <wp:effectExtent l="0" t="0" r="4445" b="0"/>
            <wp:docPr id="63" name="图片 4" descr="https://ss0.bdstatic.com/94oJfD_bAAcT8t7mm9GUKT-xh_/timg?image&amp;quality=100&amp;size=b4000_4000&amp;sec=1482393609&amp;di=2156aca24afa6a48562b214733c02782&amp;src=http://www.huichikeji.com/uploadfile/20140607/20140607104507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descr="https://ss0.bdstatic.com/94oJfD_bAAcT8t7mm9GUKT-xh_/timg?image&amp;quality=100&amp;size=b4000_4000&amp;sec=1482393609&amp;di=2156aca24afa6a48562b214733c02782&amp;src=http://www.huichikeji.com/uploadfile/20140607/20140607104507668.jpg"/>
                    <pic:cNvPicPr>
                      <a:picLocks noChangeAspect="1" noChangeArrowheads="1"/>
                    </pic:cNvPicPr>
                  </pic:nvPicPr>
                  <pic:blipFill>
                    <a:blip r:embed="rId14"/>
                    <a:srcRect/>
                    <a:stretch>
                      <a:fillRect/>
                    </a:stretch>
                  </pic:blipFill>
                  <pic:spPr>
                    <a:xfrm>
                      <a:off x="0" y="0"/>
                      <a:ext cx="3215005" cy="1847850"/>
                    </a:xfrm>
                    <a:prstGeom prst="rect">
                      <a:avLst/>
                    </a:prstGeom>
                    <a:noFill/>
                    <a:ln w="9525">
                      <a:noFill/>
                      <a:miter lim="800000"/>
                      <a:headEnd/>
                      <a:tailEnd/>
                    </a:ln>
                  </pic:spPr>
                </pic:pic>
              </a:graphicData>
            </a:graphic>
          </wp:inline>
        </w:drawing>
      </w:r>
      <w:r>
        <w:rPr>
          <w:rFonts w:hint="eastAsia"/>
          <w:lang w:val="en-US" w:eastAsia="zh-CN"/>
        </w:rPr>
        <w:t xml:space="preserve"> </w:t>
      </w:r>
      <w:r>
        <w:drawing>
          <wp:inline distT="0" distB="0" distL="114300" distR="114300">
            <wp:extent cx="1377950" cy="1964690"/>
            <wp:effectExtent l="0" t="0" r="12700" b="1651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15"/>
                    <a:stretch>
                      <a:fillRect/>
                    </a:stretch>
                  </pic:blipFill>
                  <pic:spPr>
                    <a:xfrm>
                      <a:off x="0" y="0"/>
                      <a:ext cx="1377950" cy="1964690"/>
                    </a:xfrm>
                    <a:prstGeom prst="rect">
                      <a:avLst/>
                    </a:prstGeom>
                    <a:noFill/>
                    <a:ln w="9525">
                      <a:noFill/>
                    </a:ln>
                  </pic:spPr>
                </pic:pic>
              </a:graphicData>
            </a:graphic>
          </wp:inline>
        </w:drawing>
      </w:r>
    </w:p>
    <w:p>
      <w:pPr>
        <w:ind w:left="0" w:leftChars="0" w:firstLine="0" w:firstLineChars="0"/>
        <w:rPr>
          <w:rFonts w:hint="eastAsia"/>
          <w:sz w:val="24"/>
          <w:szCs w:val="24"/>
          <w:lang w:val="en-US" w:eastAsia="zh-CN"/>
        </w:rPr>
      </w:pPr>
    </w:p>
    <w:p>
      <w:pPr>
        <w:pStyle w:val="2"/>
        <w:ind w:firstLine="0" w:firstLineChars="0"/>
      </w:pPr>
      <w:bookmarkStart w:id="21" w:name="_Toc2076"/>
      <w:bookmarkStart w:id="22" w:name="_Toc28737"/>
      <w:r>
        <w:rPr>
          <w:rFonts w:hint="eastAsia"/>
        </w:rPr>
        <w:t>三、</w:t>
      </w:r>
      <w:bookmarkEnd w:id="21"/>
      <w:r>
        <w:rPr>
          <w:rFonts w:hint="eastAsia"/>
          <w:lang w:eastAsia="zh-CN"/>
        </w:rPr>
        <w:t>水位监测传感器及联动控制</w:t>
      </w:r>
      <w:bookmarkEnd w:id="22"/>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kern w:val="0"/>
          <w:sz w:val="24"/>
          <w:lang w:eastAsia="zh-CN"/>
        </w:rPr>
      </w:pPr>
      <w:r>
        <w:rPr>
          <w:rFonts w:hint="eastAsia" w:ascii="宋体" w:hAnsi="宋体" w:cs="宋体"/>
          <w:kern w:val="0"/>
          <w:sz w:val="24"/>
          <w:lang w:eastAsia="zh-CN"/>
        </w:rPr>
        <w:t>在电缆沟道及变电站低洼处，为满足其对水位监测的要求，应该因地制宜，根据现场特点分别配置如直杆式警界水位报警、雷达式液位值测量、多警界水位式报警等。</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cs="宋体"/>
          <w:kern w:val="0"/>
          <w:sz w:val="24"/>
          <w:lang w:eastAsia="zh-CN"/>
        </w:rPr>
      </w:pPr>
      <w:r>
        <w:rPr>
          <w:rFonts w:hint="eastAsia" w:ascii="宋体" w:hAnsi="宋体" w:cs="宋体"/>
          <w:kern w:val="0"/>
          <w:sz w:val="24"/>
          <w:lang w:eastAsia="zh-CN"/>
        </w:rPr>
        <w:t>特点：</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right="0" w:rightChars="0" w:hanging="420" w:firstLineChars="0"/>
        <w:jc w:val="both"/>
        <w:textAlignment w:val="auto"/>
        <w:outlineLvl w:val="9"/>
        <w:rPr>
          <w:rFonts w:hint="eastAsia" w:ascii="宋体" w:hAnsi="宋体" w:cs="宋体"/>
          <w:kern w:val="0"/>
          <w:sz w:val="24"/>
          <w:lang w:eastAsia="zh-CN"/>
        </w:rPr>
      </w:pPr>
      <w:r>
        <w:rPr>
          <w:rFonts w:hint="eastAsia" w:ascii="宋体" w:hAnsi="宋体" w:cs="宋体"/>
          <w:kern w:val="0"/>
          <w:sz w:val="24"/>
          <w:lang w:eastAsia="zh-CN"/>
        </w:rPr>
        <w:t>直杆式警界水位报警；</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right="0" w:rightChars="0" w:hanging="420" w:firstLineChars="0"/>
        <w:jc w:val="both"/>
        <w:textAlignment w:val="auto"/>
        <w:outlineLvl w:val="9"/>
        <w:rPr>
          <w:rFonts w:hint="eastAsia" w:ascii="宋体" w:hAnsi="宋体" w:cs="宋体"/>
          <w:kern w:val="0"/>
          <w:sz w:val="24"/>
          <w:lang w:eastAsia="zh-CN"/>
        </w:rPr>
      </w:pPr>
      <w:r>
        <w:rPr>
          <w:rFonts w:hint="eastAsia" w:ascii="宋体" w:hAnsi="宋体" w:cs="宋体"/>
          <w:kern w:val="0"/>
          <w:sz w:val="24"/>
          <w:lang w:eastAsia="zh-CN"/>
        </w:rPr>
        <w:t>雷达式液位值测量；</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right="0" w:rightChars="0" w:hanging="420" w:firstLineChars="0"/>
        <w:jc w:val="both"/>
        <w:textAlignment w:val="auto"/>
        <w:outlineLvl w:val="9"/>
        <w:rPr>
          <w:rFonts w:hint="eastAsia" w:ascii="宋体" w:hAnsi="宋体" w:cs="宋体"/>
          <w:kern w:val="0"/>
          <w:sz w:val="24"/>
          <w:lang w:eastAsia="zh-CN"/>
        </w:rPr>
      </w:pPr>
      <w:r>
        <w:rPr>
          <w:rFonts w:hint="eastAsia" w:ascii="宋体" w:hAnsi="宋体" w:cs="宋体"/>
          <w:kern w:val="0"/>
          <w:sz w:val="24"/>
          <w:lang w:eastAsia="zh-CN"/>
        </w:rPr>
        <w:t>多警界水位式报警；</w:t>
      </w:r>
    </w:p>
    <w:p>
      <w:pPr>
        <w:pStyle w:val="3"/>
        <w:rPr>
          <w:rFonts w:hint="eastAsia" w:eastAsia="黑体"/>
          <w:szCs w:val="22"/>
          <w:lang w:val="en-US" w:eastAsia="zh-CN"/>
        </w:rPr>
      </w:pPr>
      <w:bookmarkStart w:id="23" w:name="_Toc16449"/>
      <w:r>
        <w:rPr>
          <w:rFonts w:hint="eastAsia"/>
          <w:szCs w:val="22"/>
          <w:lang w:val="en-US" w:eastAsia="zh-CN"/>
        </w:rPr>
        <w:t>3.1水位传感器工作原理</w:t>
      </w:r>
      <w:bookmarkEnd w:id="23"/>
    </w:p>
    <w:p>
      <w:pPr>
        <w:rPr>
          <w:rFonts w:hint="eastAsia"/>
          <w:sz w:val="24"/>
          <w:szCs w:val="24"/>
          <w:lang w:val="en-US" w:eastAsia="zh-CN"/>
        </w:rPr>
      </w:pPr>
      <w:r>
        <w:rPr>
          <w:rFonts w:hint="eastAsia"/>
          <w:sz w:val="24"/>
          <w:szCs w:val="24"/>
          <w:lang w:val="en-US" w:eastAsia="zh-CN"/>
        </w:rPr>
        <w:t>射频导纳我们开关工作原理是基于射频电容技术，将一个无线电频率施加在探头上，通过连续的分析，确定周围环境造成的影响。因所有材料均具有介电常数，而且其导电率都不同于空气，当探头与材料接触时，由于微小电容量偏移所反映的总阻抗发生变化。因为通电的探头和容器壁构成电容器的二块极板，探头的绝缘体和周围空气成为介电材料，当空气被任何其它材料转换时，电容效应加强。从而改变应用场合的阻抗，即电容值的变化造成了阻抗的变化，这一影响被 电路测量后，再与由灵敏设置建立的参考基准相比较。</w:t>
      </w:r>
    </w:p>
    <w:p>
      <w:pPr>
        <w:rPr>
          <w:rFonts w:hint="eastAsia"/>
          <w:sz w:val="24"/>
          <w:szCs w:val="24"/>
          <w:lang w:val="en-US" w:eastAsia="zh-CN"/>
        </w:rPr>
      </w:pPr>
      <w:r>
        <w:rPr>
          <w:rFonts w:hint="eastAsia"/>
          <w:sz w:val="24"/>
          <w:szCs w:val="24"/>
          <w:lang w:val="en-US" w:eastAsia="zh-CN"/>
        </w:rPr>
        <w:t>而多警界线报警是利用浮球内倾角的变化来检测水位高低，并且根据每个浮球的多少来检测属于哪个报警级别。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eastAsiaTheme="minorEastAsia"/>
          <w:sz w:val="24"/>
          <w:szCs w:val="24"/>
          <w:lang w:val="en-US" w:eastAsia="zh-CN"/>
        </w:rPr>
      </w:pPr>
      <w:r>
        <w:drawing>
          <wp:inline distT="0" distB="0" distL="114300" distR="114300">
            <wp:extent cx="1209675" cy="1685925"/>
            <wp:effectExtent l="0" t="0" r="9525" b="952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6"/>
                    <a:stretch>
                      <a:fillRect/>
                    </a:stretch>
                  </pic:blipFill>
                  <pic:spPr>
                    <a:xfrm>
                      <a:off x="0" y="0"/>
                      <a:ext cx="1209675" cy="16859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590550" cy="1638300"/>
            <wp:effectExtent l="0" t="0" r="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7"/>
                    <a:stretch>
                      <a:fillRect/>
                    </a:stretch>
                  </pic:blipFill>
                  <pic:spPr>
                    <a:xfrm>
                      <a:off x="0" y="0"/>
                      <a:ext cx="590550" cy="163830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581660" cy="1552575"/>
            <wp:effectExtent l="0" t="0" r="8890" b="952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8"/>
                    <a:stretch>
                      <a:fillRect/>
                    </a:stretch>
                  </pic:blipFill>
                  <pic:spPr>
                    <a:xfrm>
                      <a:off x="0" y="0"/>
                      <a:ext cx="581660" cy="15525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692785" cy="1620520"/>
            <wp:effectExtent l="0" t="0" r="12065" b="1778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19"/>
                    <a:stretch>
                      <a:fillRect/>
                    </a:stretch>
                  </pic:blipFill>
                  <pic:spPr>
                    <a:xfrm>
                      <a:off x="0" y="0"/>
                      <a:ext cx="692785" cy="1620520"/>
                    </a:xfrm>
                    <a:prstGeom prst="rect">
                      <a:avLst/>
                    </a:prstGeom>
                    <a:noFill/>
                    <a:ln w="9525">
                      <a:noFill/>
                    </a:ln>
                  </pic:spPr>
                </pic:pic>
              </a:graphicData>
            </a:graphic>
          </wp:inline>
        </w:drawing>
      </w:r>
    </w:p>
    <w:p>
      <w:pPr>
        <w:pStyle w:val="3"/>
        <w:jc w:val="left"/>
        <w:rPr>
          <w:rFonts w:hint="eastAsia"/>
          <w:szCs w:val="22"/>
          <w:lang w:val="en-US" w:eastAsia="zh-CN"/>
        </w:rPr>
      </w:pPr>
      <w:bookmarkStart w:id="24" w:name="_Toc26438"/>
      <w:r>
        <w:rPr>
          <w:rFonts w:hint="eastAsia"/>
          <w:szCs w:val="22"/>
          <w:lang w:val="en-US" w:eastAsia="zh-CN"/>
        </w:rPr>
        <w:t>3.2安装示例</w:t>
      </w:r>
      <w:bookmarkEnd w:id="2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lang w:val="en-US" w:eastAsia="zh-CN"/>
        </w:rPr>
      </w:pPr>
      <w:r>
        <w:rPr>
          <w:rFonts w:ascii="宋体" w:hAnsi="宋体" w:eastAsia="宋体" w:cs="宋体"/>
          <w:kern w:val="0"/>
        </w:rPr>
        <w:drawing>
          <wp:inline distT="0" distB="0" distL="114300" distR="114300">
            <wp:extent cx="2004695" cy="2000885"/>
            <wp:effectExtent l="0" t="0" r="14605" b="18415"/>
            <wp:docPr id="6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IMG_256"/>
                    <pic:cNvPicPr>
                      <a:picLocks noChangeAspect="1"/>
                    </pic:cNvPicPr>
                  </pic:nvPicPr>
                  <pic:blipFill>
                    <a:blip r:embed="rId20"/>
                    <a:stretch>
                      <a:fillRect/>
                    </a:stretch>
                  </pic:blipFill>
                  <pic:spPr>
                    <a:xfrm>
                      <a:off x="0" y="0"/>
                      <a:ext cx="2004695" cy="2000885"/>
                    </a:xfrm>
                    <a:prstGeom prst="rect">
                      <a:avLst/>
                    </a:prstGeom>
                    <a:noFill/>
                    <a:ln w="9525">
                      <a:noFill/>
                    </a:ln>
                  </pic:spPr>
                </pic:pic>
              </a:graphicData>
            </a:graphic>
          </wp:inline>
        </w:drawing>
      </w:r>
      <w:r>
        <w:rPr>
          <w:rFonts w:hint="eastAsia" w:ascii="宋体" w:hAnsi="宋体" w:eastAsia="宋体" w:cs="宋体"/>
          <w:kern w:val="0"/>
          <w:lang w:val="en-US" w:eastAsia="zh-CN"/>
        </w:rPr>
        <w:t xml:space="preserve">   </w:t>
      </w:r>
      <w:r>
        <w:drawing>
          <wp:inline distT="0" distB="0" distL="114300" distR="114300">
            <wp:extent cx="1833880" cy="1989455"/>
            <wp:effectExtent l="0" t="0" r="13970" b="1079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1"/>
                    <a:stretch>
                      <a:fillRect/>
                    </a:stretch>
                  </pic:blipFill>
                  <pic:spPr>
                    <a:xfrm>
                      <a:off x="0" y="0"/>
                      <a:ext cx="1833880" cy="1989455"/>
                    </a:xfrm>
                    <a:prstGeom prst="rect">
                      <a:avLst/>
                    </a:prstGeom>
                    <a:noFill/>
                    <a:ln w="9525">
                      <a:noFill/>
                    </a:ln>
                  </pic:spPr>
                </pic:pic>
              </a:graphicData>
            </a:graphic>
          </wp:inline>
        </w:drawing>
      </w:r>
      <w:r>
        <w:rPr>
          <w:rFonts w:hint="eastAsia"/>
          <w:sz w:val="24"/>
          <w:szCs w:val="24"/>
          <w:lang w:val="en-US" w:eastAsia="zh-CN"/>
        </w:rPr>
        <w:t xml:space="preserve">  </w:t>
      </w:r>
    </w:p>
    <w:p>
      <w:pPr>
        <w:keepNext w:val="0"/>
        <w:keepLines w:val="0"/>
        <w:pageBreakBefore w:val="0"/>
        <w:widowControl w:val="0"/>
        <w:tabs>
          <w:tab w:val="left" w:pos="1800"/>
        </w:tabs>
        <w:kinsoku/>
        <w:wordWrap/>
        <w:overflowPunct/>
        <w:topLinePunct w:val="0"/>
        <w:autoSpaceDE w:val="0"/>
        <w:autoSpaceDN/>
        <w:bidi w:val="0"/>
        <w:adjustRightInd w:val="0"/>
        <w:snapToGrid w:val="0"/>
        <w:spacing w:line="360" w:lineRule="auto"/>
        <w:ind w:left="0" w:leftChars="0" w:right="0" w:rightChars="0" w:firstLine="560" w:firstLineChars="200"/>
        <w:jc w:val="both"/>
        <w:textAlignment w:val="baseline"/>
        <w:outlineLvl w:val="9"/>
        <w:rPr>
          <w:rFonts w:hint="eastAsia" w:ascii="宋体" w:hAnsi="宋体"/>
          <w:sz w:val="28"/>
          <w:szCs w:val="28"/>
          <w:lang w:val="en-US" w:eastAsia="zh-CN"/>
        </w:rPr>
      </w:pPr>
      <w:r>
        <w:rPr>
          <w:rFonts w:hint="eastAsia" w:ascii="宋体" w:hAnsi="宋体"/>
          <w:sz w:val="28"/>
          <w:szCs w:val="28"/>
          <w:lang w:val="en-US" w:eastAsia="zh-CN"/>
        </w:rPr>
        <w:t>水位在线监测传感器，要求数值准确、联动性好、耐腐蚀能力强，具备在恶劣环境当中长期准确监测水位的能力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lang w:val="en-US" w:eastAsia="zh-CN"/>
        </w:rPr>
      </w:pPr>
      <w:r>
        <w:drawing>
          <wp:inline distT="0" distB="0" distL="114300" distR="114300">
            <wp:extent cx="2202815" cy="1923415"/>
            <wp:effectExtent l="0" t="0" r="6985" b="63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2"/>
                    <a:stretch>
                      <a:fillRect/>
                    </a:stretch>
                  </pic:blipFill>
                  <pic:spPr>
                    <a:xfrm>
                      <a:off x="0" y="0"/>
                      <a:ext cx="2202815" cy="1923415"/>
                    </a:xfrm>
                    <a:prstGeom prst="rect">
                      <a:avLst/>
                    </a:prstGeom>
                    <a:noFill/>
                    <a:ln w="9525">
                      <a:noFill/>
                    </a:ln>
                  </pic:spPr>
                </pic:pic>
              </a:graphicData>
            </a:graphic>
          </wp:inline>
        </w:drawing>
      </w:r>
      <w:r>
        <w:rPr>
          <w:rFonts w:hint="eastAsia"/>
          <w:lang w:val="en-US" w:eastAsia="zh-CN"/>
        </w:rPr>
        <w:t xml:space="preserve">   </w:t>
      </w:r>
      <w:r>
        <w:rPr>
          <w:rFonts w:ascii="宋体" w:hAnsi="宋体" w:eastAsia="宋体" w:cs="宋体"/>
          <w:kern w:val="0"/>
        </w:rPr>
        <w:drawing>
          <wp:inline distT="0" distB="0" distL="114300" distR="114300">
            <wp:extent cx="2002790" cy="1908175"/>
            <wp:effectExtent l="0" t="0" r="16510" b="15875"/>
            <wp:docPr id="6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descr="IMG_256"/>
                    <pic:cNvPicPr>
                      <a:picLocks noChangeAspect="1"/>
                    </pic:cNvPicPr>
                  </pic:nvPicPr>
                  <pic:blipFill>
                    <a:blip r:embed="rId23"/>
                    <a:stretch>
                      <a:fillRect/>
                    </a:stretch>
                  </pic:blipFill>
                  <pic:spPr>
                    <a:xfrm>
                      <a:off x="0" y="0"/>
                      <a:ext cx="2002790" cy="1908175"/>
                    </a:xfrm>
                    <a:prstGeom prst="rect">
                      <a:avLst/>
                    </a:prstGeom>
                    <a:noFill/>
                    <a:ln w="9525">
                      <a:noFill/>
                    </a:ln>
                  </pic:spPr>
                </pic:pic>
              </a:graphicData>
            </a:graphic>
          </wp:inline>
        </w:drawing>
      </w:r>
      <w:r>
        <w:rPr>
          <w:rFonts w:hint="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sz w:val="24"/>
          <w:szCs w:val="24"/>
          <w:lang w:val="en-US" w:eastAsia="zh-CN"/>
        </w:rPr>
      </w:pPr>
      <w:bookmarkStart w:id="40" w:name="_GoBack"/>
      <w:bookmarkEnd w:id="40"/>
    </w:p>
    <w:p>
      <w:pPr>
        <w:pStyle w:val="2"/>
        <w:ind w:firstLine="0" w:firstLineChars="0"/>
      </w:pPr>
      <w:bookmarkStart w:id="25" w:name="_Toc6307"/>
      <w:bookmarkStart w:id="26" w:name="_Toc26390"/>
      <w:r>
        <w:rPr>
          <w:rFonts w:hint="eastAsia"/>
        </w:rPr>
        <w:t>四、</w:t>
      </w:r>
      <w:bookmarkEnd w:id="25"/>
      <w:r>
        <w:rPr>
          <w:rFonts w:hint="eastAsia"/>
          <w:lang w:eastAsia="zh-CN"/>
        </w:rPr>
        <w:t>水位采集器及后台</w:t>
      </w:r>
      <w:bookmarkEnd w:id="26"/>
    </w:p>
    <w:p>
      <w:pPr>
        <w:pStyle w:val="3"/>
      </w:pPr>
      <w:bookmarkStart w:id="27" w:name="_Toc23397"/>
      <w:bookmarkStart w:id="28" w:name="_Toc12148"/>
      <w:bookmarkStart w:id="29" w:name="_Toc5467"/>
      <w:bookmarkStart w:id="30" w:name="_Toc6972"/>
      <w:r>
        <w:t>4</w:t>
      </w:r>
      <w:r>
        <w:rPr>
          <w:rFonts w:hint="eastAsia"/>
        </w:rPr>
        <w:t>.1</w:t>
      </w:r>
      <w:bookmarkEnd w:id="27"/>
      <w:bookmarkEnd w:id="28"/>
      <w:bookmarkEnd w:id="29"/>
      <w:r>
        <w:rPr>
          <w:rFonts w:hint="eastAsia"/>
          <w:lang w:eastAsia="zh-CN"/>
        </w:rPr>
        <w:t>水位采集器</w:t>
      </w:r>
      <w:bookmarkEnd w:id="30"/>
    </w:p>
    <w:p>
      <w:pPr>
        <w:keepNext w:val="0"/>
        <w:keepLines w:val="0"/>
        <w:pageBreakBefore w:val="0"/>
        <w:widowControl w:val="0"/>
        <w:tabs>
          <w:tab w:val="left" w:pos="1800"/>
        </w:tabs>
        <w:kinsoku/>
        <w:wordWrap/>
        <w:overflowPunct/>
        <w:topLinePunct w:val="0"/>
        <w:autoSpaceDE w:val="0"/>
        <w:autoSpaceDN/>
        <w:bidi w:val="0"/>
        <w:adjustRightInd w:val="0"/>
        <w:snapToGrid w:val="0"/>
        <w:spacing w:line="360" w:lineRule="auto"/>
        <w:ind w:left="0" w:leftChars="0" w:right="0" w:rightChars="0" w:firstLine="0" w:firstLineChars="0"/>
        <w:jc w:val="center"/>
        <w:textAlignment w:val="baseline"/>
        <w:outlineLvl w:val="9"/>
        <w:rPr>
          <w:rFonts w:hint="eastAsia" w:ascii="宋体" w:hAnsi="宋体"/>
          <w:sz w:val="28"/>
          <w:szCs w:val="28"/>
          <w:lang w:eastAsia="zh-CN"/>
        </w:rPr>
      </w:pPr>
      <w:r>
        <w:drawing>
          <wp:inline distT="0" distB="0" distL="114300" distR="114300">
            <wp:extent cx="4323715" cy="1238885"/>
            <wp:effectExtent l="0" t="0" r="635" b="184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4"/>
                    <a:stretch>
                      <a:fillRect/>
                    </a:stretch>
                  </pic:blipFill>
                  <pic:spPr>
                    <a:xfrm>
                      <a:off x="0" y="0"/>
                      <a:ext cx="4323715" cy="1238885"/>
                    </a:xfrm>
                    <a:prstGeom prst="rect">
                      <a:avLst/>
                    </a:prstGeom>
                    <a:noFill/>
                    <a:ln w="9525">
                      <a:noFill/>
                    </a:ln>
                  </pic:spPr>
                </pic:pic>
              </a:graphicData>
            </a:graphic>
          </wp:inline>
        </w:drawing>
      </w:r>
    </w:p>
    <w:p>
      <w:pPr>
        <w:keepNext w:val="0"/>
        <w:keepLines w:val="0"/>
        <w:pageBreakBefore w:val="0"/>
        <w:widowControl w:val="0"/>
        <w:tabs>
          <w:tab w:val="left" w:pos="1800"/>
        </w:tabs>
        <w:kinsoku/>
        <w:wordWrap/>
        <w:overflowPunct/>
        <w:topLinePunct w:val="0"/>
        <w:autoSpaceDE w:val="0"/>
        <w:autoSpaceDN/>
        <w:bidi w:val="0"/>
        <w:adjustRightInd w:val="0"/>
        <w:snapToGrid w:val="0"/>
        <w:spacing w:line="360" w:lineRule="auto"/>
        <w:ind w:left="0" w:leftChars="0" w:right="0" w:rightChars="0" w:firstLine="560" w:firstLineChars="200"/>
        <w:jc w:val="both"/>
        <w:textAlignment w:val="baseline"/>
        <w:outlineLvl w:val="9"/>
        <w:rPr>
          <w:rFonts w:hint="eastAsia" w:ascii="宋体" w:hAnsi="宋体"/>
          <w:sz w:val="28"/>
          <w:szCs w:val="28"/>
          <w:lang w:val="en-US" w:eastAsia="zh-CN"/>
        </w:rPr>
      </w:pPr>
      <w:r>
        <w:rPr>
          <w:rFonts w:hint="eastAsia" w:ascii="宋体" w:hAnsi="宋体"/>
          <w:sz w:val="28"/>
          <w:szCs w:val="28"/>
          <w:lang w:eastAsia="zh-CN"/>
        </w:rPr>
        <w:t>功能框图表示的是温度采集器实现的功能，传感器输出数据主要是被测水位及该水位检测的时间。传感器根据检测到的水位高低，会主动上传水位给数据采集器，采集器接收到数据进行数据处理并进行缓存，等待上位机发来接收命令接收信号，综合这些功能，采集器的设计融入了微电子技术、无线组网技术、存储技术和广域网传输技术。为了适合开关柜的周边的环境，温度采集器设计了多种取电方式保障设备正常运行，在满足市电的情况下，首选市电供电、若开关柜所在位置没有市电，则可根据现场情况选用太阳能供电和</w:t>
      </w:r>
      <w:r>
        <w:rPr>
          <w:rFonts w:hint="eastAsia" w:ascii="宋体" w:hAnsi="宋体"/>
          <w:sz w:val="28"/>
          <w:szCs w:val="28"/>
          <w:lang w:val="en-US" w:eastAsia="zh-CN"/>
        </w:rPr>
        <w:t>CT取电，下图为根据现场设计两种不同外形结构的采集器，第一种放在柜内，第二种挂在室友的配电房内。</w:t>
      </w:r>
    </w:p>
    <w:p>
      <w:pPr>
        <w:keepNext w:val="0"/>
        <w:keepLines w:val="0"/>
        <w:pageBreakBefore w:val="0"/>
        <w:widowControl w:val="0"/>
        <w:tabs>
          <w:tab w:val="left" w:pos="1800"/>
        </w:tabs>
        <w:kinsoku/>
        <w:wordWrap/>
        <w:overflowPunct/>
        <w:topLinePunct w:val="0"/>
        <w:autoSpaceDE w:val="0"/>
        <w:autoSpaceDN/>
        <w:bidi w:val="0"/>
        <w:adjustRightInd w:val="0"/>
        <w:snapToGrid w:val="0"/>
        <w:spacing w:line="360" w:lineRule="auto"/>
        <w:ind w:left="0" w:leftChars="0" w:right="0" w:rightChars="0" w:firstLine="0" w:firstLineChars="0"/>
        <w:jc w:val="center"/>
        <w:textAlignment w:val="baseline"/>
        <w:outlineLvl w:val="9"/>
        <w:rPr>
          <w:rFonts w:hint="eastAsia" w:ascii="宋体" w:hAnsi="宋体"/>
          <w:sz w:val="28"/>
          <w:szCs w:val="28"/>
          <w:lang w:val="en-US" w:eastAsia="zh-CN"/>
        </w:rPr>
      </w:pPr>
      <w:r>
        <w:rPr>
          <w:rFonts w:hint="eastAsia" w:ascii="宋体" w:hAnsi="宋体"/>
          <w:sz w:val="28"/>
          <w:szCs w:val="28"/>
          <w:lang w:val="en-US" w:eastAsia="zh-CN"/>
        </w:rPr>
        <w:drawing>
          <wp:inline distT="0" distB="0" distL="114300" distR="114300">
            <wp:extent cx="2614295" cy="1981200"/>
            <wp:effectExtent l="0" t="0" r="14605" b="0"/>
            <wp:docPr id="13" name="图片 13"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2"/>
                    <pic:cNvPicPr>
                      <a:picLocks noChangeAspect="1"/>
                    </pic:cNvPicPr>
                  </pic:nvPicPr>
                  <pic:blipFill>
                    <a:blip r:embed="rId25"/>
                    <a:stretch>
                      <a:fillRect/>
                    </a:stretch>
                  </pic:blipFill>
                  <pic:spPr>
                    <a:xfrm>
                      <a:off x="0" y="0"/>
                      <a:ext cx="2614295" cy="1981200"/>
                    </a:xfrm>
                    <a:prstGeom prst="rect">
                      <a:avLst/>
                    </a:prstGeom>
                  </pic:spPr>
                </pic:pic>
              </a:graphicData>
            </a:graphic>
          </wp:inline>
        </w:drawing>
      </w:r>
    </w:p>
    <w:p>
      <w:pPr>
        <w:keepNext w:val="0"/>
        <w:keepLines w:val="0"/>
        <w:pageBreakBefore w:val="0"/>
        <w:widowControl w:val="0"/>
        <w:tabs>
          <w:tab w:val="left" w:pos="1800"/>
        </w:tabs>
        <w:kinsoku/>
        <w:wordWrap/>
        <w:overflowPunct/>
        <w:topLinePunct w:val="0"/>
        <w:autoSpaceDE w:val="0"/>
        <w:autoSpaceDN/>
        <w:bidi w:val="0"/>
        <w:adjustRightInd w:val="0"/>
        <w:snapToGrid w:val="0"/>
        <w:spacing w:line="360" w:lineRule="auto"/>
        <w:ind w:left="0" w:leftChars="0" w:right="0" w:rightChars="0" w:firstLine="560" w:firstLineChars="200"/>
        <w:jc w:val="both"/>
        <w:textAlignment w:val="baseline"/>
        <w:outlineLvl w:val="9"/>
        <w:rPr>
          <w:rFonts w:hint="eastAsia" w:ascii="宋体" w:hAnsi="宋体"/>
          <w:sz w:val="28"/>
          <w:szCs w:val="28"/>
          <w:lang w:val="en-US" w:eastAsia="zh-CN"/>
        </w:rPr>
      </w:pPr>
    </w:p>
    <w:p>
      <w:pPr>
        <w:pStyle w:val="3"/>
      </w:pPr>
      <w:bookmarkStart w:id="31" w:name="_Toc17407"/>
      <w:bookmarkStart w:id="32" w:name="_Toc25926"/>
      <w:bookmarkStart w:id="33" w:name="_Toc225"/>
      <w:bookmarkStart w:id="34" w:name="_Toc28031"/>
      <w:r>
        <w:t>4</w:t>
      </w:r>
      <w:r>
        <w:rPr>
          <w:rFonts w:hint="eastAsia"/>
        </w:rPr>
        <w:t>.2</w:t>
      </w:r>
      <w:bookmarkEnd w:id="31"/>
      <w:bookmarkEnd w:id="32"/>
      <w:bookmarkEnd w:id="33"/>
      <w:r>
        <w:rPr>
          <w:rFonts w:hint="eastAsia"/>
          <w:lang w:eastAsia="zh-CN"/>
        </w:rPr>
        <w:t>监控中心</w:t>
      </w:r>
      <w:bookmarkEnd w:id="34"/>
    </w:p>
    <w:p>
      <w:pPr>
        <w:pStyle w:val="4"/>
      </w:pPr>
      <w:bookmarkStart w:id="35" w:name="_Toc20037"/>
      <w:r>
        <w:rPr>
          <w:rFonts w:hint="eastAsia"/>
          <w:lang w:val="en-US" w:eastAsia="zh-CN"/>
        </w:rPr>
        <w:t>4</w:t>
      </w:r>
      <w:r>
        <w:rPr>
          <w:rFonts w:hint="eastAsia"/>
        </w:rPr>
        <w:t>.2.1硬件环境要求</w:t>
      </w:r>
      <w:bookmarkEnd w:id="35"/>
    </w:p>
    <w:p>
      <w:pPr>
        <w:numPr>
          <w:ilvl w:val="0"/>
          <w:numId w:val="4"/>
        </w:numPr>
        <w:ind w:firstLine="480"/>
        <w:rPr>
          <w:rFonts w:asciiTheme="minorEastAsia" w:hAnsiTheme="minorEastAsia" w:cstheme="minorEastAsia"/>
          <w:sz w:val="24"/>
        </w:rPr>
      </w:pPr>
      <w:r>
        <w:rPr>
          <w:rFonts w:hint="eastAsia" w:asciiTheme="minorEastAsia" w:hAnsiTheme="minorEastAsia" w:cstheme="minorEastAsia"/>
          <w:sz w:val="24"/>
        </w:rPr>
        <w:t>CPU：双核</w:t>
      </w:r>
    </w:p>
    <w:p>
      <w:pPr>
        <w:numPr>
          <w:ilvl w:val="0"/>
          <w:numId w:val="4"/>
        </w:numPr>
        <w:ind w:firstLine="480"/>
        <w:rPr>
          <w:rFonts w:asciiTheme="minorEastAsia" w:hAnsiTheme="minorEastAsia" w:cstheme="minorEastAsia"/>
          <w:sz w:val="24"/>
        </w:rPr>
      </w:pPr>
      <w:r>
        <w:rPr>
          <w:rFonts w:hint="eastAsia" w:asciiTheme="minorEastAsia" w:hAnsiTheme="minorEastAsia" w:cstheme="minorEastAsia"/>
          <w:sz w:val="24"/>
        </w:rPr>
        <w:t>内存：2G</w:t>
      </w:r>
    </w:p>
    <w:p>
      <w:pPr>
        <w:numPr>
          <w:ilvl w:val="0"/>
          <w:numId w:val="4"/>
        </w:numPr>
        <w:ind w:firstLine="480"/>
        <w:rPr>
          <w:rFonts w:asciiTheme="minorEastAsia" w:hAnsiTheme="minorEastAsia" w:cstheme="minorEastAsia"/>
          <w:sz w:val="24"/>
        </w:rPr>
      </w:pPr>
      <w:r>
        <w:rPr>
          <w:rFonts w:hint="eastAsia" w:asciiTheme="minorEastAsia" w:hAnsiTheme="minorEastAsia" w:cstheme="minorEastAsia"/>
          <w:sz w:val="24"/>
        </w:rPr>
        <w:t>显示卡：Nvidia Geforce FX5200 或者 ATI RADEON 7000(9000) 系列128M显存，显卡需支持硬件缩放功能</w:t>
      </w:r>
    </w:p>
    <w:p>
      <w:pPr>
        <w:numPr>
          <w:ilvl w:val="0"/>
          <w:numId w:val="4"/>
        </w:numPr>
        <w:ind w:firstLine="480"/>
        <w:rPr>
          <w:rFonts w:asciiTheme="minorEastAsia" w:hAnsiTheme="minorEastAsia" w:cstheme="minorEastAsia"/>
          <w:sz w:val="24"/>
        </w:rPr>
      </w:pPr>
      <w:r>
        <w:rPr>
          <w:rFonts w:hint="eastAsia" w:asciiTheme="minorEastAsia" w:hAnsiTheme="minorEastAsia" w:cstheme="minorEastAsia"/>
          <w:sz w:val="24"/>
        </w:rPr>
        <w:t>操作系统：32位简体中文\英文Windows2000、WindowsXP、Windows2003、Windows Vista和64位简体中\英文Windows2003、WindowsXP、Windwos 7等操作系统</w:t>
      </w:r>
    </w:p>
    <w:p>
      <w:pPr>
        <w:numPr>
          <w:ilvl w:val="0"/>
          <w:numId w:val="4"/>
        </w:numPr>
        <w:ind w:firstLine="480"/>
        <w:rPr>
          <w:rFonts w:asciiTheme="minorEastAsia" w:hAnsiTheme="minorEastAsia" w:cstheme="minorEastAsia"/>
          <w:sz w:val="24"/>
        </w:rPr>
      </w:pPr>
      <w:r>
        <w:rPr>
          <w:rFonts w:hint="eastAsia" w:asciiTheme="minorEastAsia" w:hAnsiTheme="minorEastAsia" w:cstheme="minorEastAsia"/>
          <w:sz w:val="24"/>
        </w:rPr>
        <w:t>软件环境：IE 6.0以上版本，DirectX8.0以上版本，TCP／IP网络协议</w:t>
      </w:r>
    </w:p>
    <w:p>
      <w:pPr>
        <w:numPr>
          <w:ilvl w:val="0"/>
          <w:numId w:val="4"/>
        </w:numPr>
        <w:ind w:firstLine="480"/>
        <w:rPr>
          <w:rFonts w:asciiTheme="minorEastAsia" w:hAnsiTheme="minorEastAsia" w:cstheme="minorEastAsia"/>
          <w:sz w:val="24"/>
        </w:rPr>
      </w:pPr>
      <w:r>
        <w:rPr>
          <w:rFonts w:hint="eastAsia" w:asciiTheme="minorEastAsia" w:hAnsiTheme="minorEastAsia" w:cstheme="minorEastAsia"/>
          <w:sz w:val="24"/>
        </w:rPr>
        <w:t>系统需求：安装本软件的PC显卡需支持的颜色转换及缩放，目前已测试的有Nvidia Tnt/Tnt2、Geforce Mx200/400/420/440 Fx5200/5600等系列,MatroxG450/550，INTEL845G/865G等系列显卡。注意显卡的驱动必须支持硬件缩放功能。</w:t>
      </w:r>
    </w:p>
    <w:p>
      <w:pPr>
        <w:pStyle w:val="4"/>
      </w:pPr>
      <w:bookmarkStart w:id="36" w:name="_Toc31280"/>
      <w:r>
        <w:rPr>
          <w:rFonts w:hint="eastAsia"/>
          <w:lang w:val="en-US" w:eastAsia="zh-CN"/>
        </w:rPr>
        <w:t>4</w:t>
      </w:r>
      <w:r>
        <w:rPr>
          <w:rFonts w:hint="eastAsia"/>
        </w:rPr>
        <w:t>.2.2网络要求</w:t>
      </w:r>
      <w:bookmarkEnd w:id="36"/>
    </w:p>
    <w:p>
      <w:pPr>
        <w:numPr>
          <w:ilvl w:val="0"/>
          <w:numId w:val="5"/>
        </w:numPr>
        <w:ind w:firstLine="480"/>
        <w:rPr>
          <w:rFonts w:asciiTheme="minorEastAsia" w:hAnsiTheme="minorEastAsia" w:cstheme="minorEastAsia"/>
          <w:sz w:val="24"/>
        </w:rPr>
      </w:pPr>
      <w:r>
        <w:rPr>
          <w:rFonts w:hint="eastAsia" w:asciiTheme="minorEastAsia" w:hAnsiTheme="minorEastAsia" w:cstheme="minorEastAsia"/>
          <w:sz w:val="24"/>
        </w:rPr>
        <w:t>要求2M以上ADSL宽带；</w:t>
      </w:r>
    </w:p>
    <w:p>
      <w:pPr>
        <w:numPr>
          <w:ilvl w:val="0"/>
          <w:numId w:val="5"/>
        </w:numPr>
        <w:ind w:firstLine="480"/>
        <w:rPr>
          <w:rFonts w:asciiTheme="minorEastAsia" w:hAnsiTheme="minorEastAsia" w:cstheme="minorEastAsia"/>
          <w:sz w:val="24"/>
        </w:rPr>
      </w:pPr>
      <w:r>
        <w:rPr>
          <w:rFonts w:hint="eastAsia" w:asciiTheme="minorEastAsia" w:hAnsiTheme="minorEastAsia" w:cstheme="minorEastAsia"/>
          <w:sz w:val="24"/>
        </w:rPr>
        <w:t>开通服务器及相应客户端的端口（如3</w:t>
      </w:r>
      <w:r>
        <w:rPr>
          <w:rFonts w:hint="eastAsia" w:asciiTheme="minorEastAsia" w:hAnsiTheme="minorEastAsia" w:cstheme="minorEastAsia"/>
          <w:sz w:val="24"/>
          <w:lang w:val="en-US" w:eastAsia="zh-CN"/>
        </w:rPr>
        <w:t>0</w:t>
      </w:r>
      <w:r>
        <w:rPr>
          <w:rFonts w:hint="eastAsia" w:asciiTheme="minorEastAsia" w:hAnsiTheme="minorEastAsia" w:cstheme="minorEastAsia"/>
          <w:sz w:val="24"/>
        </w:rPr>
        <w:t>000、3</w:t>
      </w:r>
      <w:r>
        <w:rPr>
          <w:rFonts w:hint="eastAsia" w:asciiTheme="minorEastAsia" w:hAnsiTheme="minorEastAsia" w:cstheme="minorEastAsia"/>
          <w:sz w:val="24"/>
          <w:lang w:val="en-US" w:eastAsia="zh-CN"/>
        </w:rPr>
        <w:t>0</w:t>
      </w:r>
      <w:r>
        <w:rPr>
          <w:rFonts w:hint="eastAsia" w:asciiTheme="minorEastAsia" w:hAnsiTheme="minorEastAsia" w:cstheme="minorEastAsia"/>
          <w:sz w:val="24"/>
        </w:rPr>
        <w:t>001等）；</w:t>
      </w:r>
    </w:p>
    <w:p>
      <w:pPr>
        <w:numPr>
          <w:ilvl w:val="0"/>
          <w:numId w:val="5"/>
        </w:numPr>
        <w:ind w:firstLine="480"/>
        <w:rPr>
          <w:rFonts w:asciiTheme="minorEastAsia" w:hAnsiTheme="minorEastAsia" w:cstheme="minorEastAsia"/>
          <w:sz w:val="24"/>
        </w:rPr>
      </w:pPr>
      <w:r>
        <w:rPr>
          <w:rFonts w:hint="eastAsia" w:asciiTheme="minorEastAsia" w:hAnsiTheme="minorEastAsia" w:cstheme="minorEastAsia"/>
          <w:sz w:val="24"/>
        </w:rPr>
        <w:t>开放防火墙的端口</w:t>
      </w:r>
    </w:p>
    <w:p>
      <w:pPr>
        <w:pStyle w:val="4"/>
        <w:rPr>
          <w:rFonts w:hint="eastAsia"/>
          <w:szCs w:val="22"/>
          <w:lang w:val="en-US" w:eastAsia="zh-CN"/>
        </w:rPr>
      </w:pPr>
      <w:bookmarkStart w:id="37" w:name="_Toc19684"/>
      <w:r>
        <w:rPr>
          <w:rFonts w:hint="eastAsia"/>
          <w:szCs w:val="22"/>
          <w:lang w:val="en-US" w:eastAsia="zh-CN"/>
        </w:rPr>
        <w:t>4.2.3应用软件</w:t>
      </w:r>
      <w:bookmarkEnd w:id="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cstheme="minorEastAsia"/>
          <w:sz w:val="24"/>
          <w:lang w:eastAsia="zh-CN"/>
        </w:rPr>
      </w:pPr>
      <w:r>
        <w:rPr>
          <w:rFonts w:hint="eastAsia" w:asciiTheme="minorEastAsia" w:hAnsiTheme="minorEastAsia" w:cstheme="minorEastAsia"/>
          <w:sz w:val="24"/>
          <w:lang w:eastAsia="zh-CN"/>
        </w:rPr>
        <w:t>软件注重功能需求，具备水位测端点可编辑、实时反映水位、历史水位记录、越高限报警等功能，检测到越高限报警信号后可定制化选择语音、短信、邮件等方式报警提醒值守人员查看异常情况。在界面设计上可定制化提供需求，一般采用简洁大方风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heme="minorEastAsia" w:hAnsiTheme="minorEastAsia" w:cstheme="minorEastAsia"/>
          <w:sz w:val="24"/>
          <w:lang w:eastAsia="zh-CN"/>
        </w:rPr>
      </w:pPr>
      <w:r>
        <w:rPr>
          <w:rFonts w:hint="eastAsia" w:asciiTheme="minorEastAsia" w:hAnsiTheme="minorEastAsia" w:cstheme="minorEastAsia"/>
          <w:sz w:val="24"/>
          <w:lang w:eastAsia="zh-CN"/>
        </w:rPr>
        <w:drawing>
          <wp:inline distT="0" distB="0" distL="114300" distR="114300">
            <wp:extent cx="5266055" cy="3154045"/>
            <wp:effectExtent l="0" t="0" r="10795" b="8255"/>
            <wp:docPr id="2" name="图片 2" descr="07-系统概况-项目-站点详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7-系统概况-项目-站点详页"/>
                    <pic:cNvPicPr>
                      <a:picLocks noChangeAspect="1"/>
                    </pic:cNvPicPr>
                  </pic:nvPicPr>
                  <pic:blipFill>
                    <a:blip r:embed="rId26"/>
                    <a:stretch>
                      <a:fillRect/>
                    </a:stretch>
                  </pic:blipFill>
                  <pic:spPr>
                    <a:xfrm>
                      <a:off x="0" y="0"/>
                      <a:ext cx="5266055" cy="3154045"/>
                    </a:xfrm>
                    <a:prstGeom prst="rect">
                      <a:avLst/>
                    </a:prstGeom>
                  </pic:spPr>
                </pic:pic>
              </a:graphicData>
            </a:graphic>
          </wp:inline>
        </w:drawing>
      </w:r>
    </w:p>
    <w:p>
      <w:pPr>
        <w:pStyle w:val="2"/>
        <w:ind w:firstLine="0" w:firstLineChars="0"/>
        <w:rPr>
          <w:rFonts w:ascii="宋体" w:hAnsi="宋体" w:cs="宋体"/>
          <w:kern w:val="0"/>
          <w:sz w:val="28"/>
        </w:rPr>
      </w:pPr>
      <w:bookmarkStart w:id="38" w:name="_Toc15056"/>
      <w:bookmarkStart w:id="39" w:name="_Toc19932"/>
      <w:r>
        <w:rPr>
          <w:rFonts w:hint="eastAsia"/>
        </w:rPr>
        <w:t>五、联系我们</w:t>
      </w:r>
      <w:bookmarkEnd w:id="38"/>
      <w:bookmarkEnd w:id="39"/>
    </w:p>
    <w:p>
      <w:pPr>
        <w:numPr>
          <w:ilvl w:val="0"/>
          <w:numId w:val="0"/>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地址：浙江省杭州市</w:t>
      </w:r>
      <w:r>
        <w:rPr>
          <w:rFonts w:hint="eastAsia" w:asciiTheme="minorEastAsia" w:hAnsiTheme="minorEastAsia" w:cstheme="minorEastAsia"/>
          <w:sz w:val="24"/>
          <w:szCs w:val="24"/>
          <w:lang w:val="en-US" w:eastAsia="zh-CN"/>
        </w:rPr>
        <w:t>上</w:t>
      </w:r>
      <w:r>
        <w:rPr>
          <w:rFonts w:hint="eastAsia" w:asciiTheme="minorEastAsia" w:hAnsiTheme="minorEastAsia" w:eastAsiaTheme="minorEastAsia" w:cstheme="minorEastAsia"/>
          <w:sz w:val="24"/>
          <w:szCs w:val="24"/>
          <w:lang w:val="en-US" w:eastAsia="zh-CN"/>
        </w:rPr>
        <w:t>城区</w:t>
      </w:r>
      <w:r>
        <w:rPr>
          <w:rFonts w:hint="eastAsia" w:asciiTheme="minorEastAsia" w:hAnsiTheme="minorEastAsia" w:cstheme="minorEastAsia"/>
          <w:sz w:val="24"/>
          <w:szCs w:val="24"/>
          <w:lang w:val="en-US" w:eastAsia="zh-CN"/>
        </w:rPr>
        <w:t>婺江路217</w:t>
      </w:r>
      <w:r>
        <w:rPr>
          <w:rFonts w:hint="eastAsia" w:asciiTheme="minorEastAsia" w:hAnsiTheme="minorEastAsia" w:eastAsiaTheme="minorEastAsia" w:cstheme="minorEastAsia"/>
          <w:sz w:val="24"/>
          <w:szCs w:val="24"/>
          <w:lang w:val="en-US" w:eastAsia="zh-CN"/>
        </w:rPr>
        <w:t>号</w:t>
      </w:r>
      <w:r>
        <w:rPr>
          <w:rFonts w:hint="eastAsia" w:asciiTheme="minorEastAsia" w:hAnsiTheme="minorEastAsia" w:cstheme="minorEastAsia"/>
          <w:sz w:val="24"/>
          <w:szCs w:val="24"/>
          <w:lang w:val="en-US" w:eastAsia="zh-CN"/>
        </w:rPr>
        <w:t>近江时代大厦B座C</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cstheme="minorEastAsia"/>
          <w:sz w:val="24"/>
          <w:szCs w:val="24"/>
          <w:lang w:val="en-US" w:eastAsia="zh-CN"/>
        </w:rPr>
        <w:t>02室</w:t>
      </w:r>
    </w:p>
    <w:p>
      <w:pPr>
        <w:numPr>
          <w:ilvl w:val="0"/>
          <w:numId w:val="0"/>
        </w:num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TEL</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cstheme="minorEastAsia"/>
          <w:sz w:val="24"/>
          <w:szCs w:val="24"/>
          <w:lang w:val="en-US" w:eastAsia="zh-CN"/>
        </w:rPr>
        <w:t>18705816798</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谢</w:t>
      </w:r>
      <w:r>
        <w:rPr>
          <w:rFonts w:hint="eastAsia" w:asciiTheme="minorEastAsia" w:hAnsiTheme="minorEastAsia" w:eastAsiaTheme="minorEastAsia" w:cstheme="minorEastAsia"/>
          <w:sz w:val="24"/>
          <w:szCs w:val="24"/>
          <w:lang w:val="en-US" w:eastAsia="zh-CN"/>
        </w:rPr>
        <w:t>工）</w:t>
      </w:r>
    </w:p>
    <w:p>
      <w:pPr>
        <w:spacing w:line="360" w:lineRule="auto"/>
        <w:ind w:left="0" w:leftChars="0" w:firstLine="0" w:firstLineChars="0"/>
        <w:rPr>
          <w:rFonts w:hint="eastAsia"/>
          <w:lang w:val="en-US" w:eastAsia="zh-CN"/>
        </w:rPr>
      </w:pPr>
      <w:r>
        <w:rPr>
          <w:rFonts w:hint="eastAsia"/>
          <w:lang w:val="en-US" w:eastAsia="zh-CN"/>
        </w:rPr>
        <w:drawing>
          <wp:anchor distT="0" distB="0" distL="114300" distR="114300" simplePos="0" relativeHeight="251833344" behindDoc="0" locked="0" layoutInCell="1" allowOverlap="1">
            <wp:simplePos x="0" y="0"/>
            <wp:positionH relativeFrom="column">
              <wp:posOffset>-47625</wp:posOffset>
            </wp:positionH>
            <wp:positionV relativeFrom="paragraph">
              <wp:posOffset>259080</wp:posOffset>
            </wp:positionV>
            <wp:extent cx="1220470" cy="1220470"/>
            <wp:effectExtent l="0" t="0" r="17780" b="17780"/>
            <wp:wrapNone/>
            <wp:docPr id="16" name="图片 16" descr="qrcode_for_gh_deff558c2b68_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rcode_for_gh_deff558c2b68_430"/>
                    <pic:cNvPicPr>
                      <a:picLocks noChangeAspect="1"/>
                    </pic:cNvPicPr>
                  </pic:nvPicPr>
                  <pic:blipFill>
                    <a:blip r:embed="rId27"/>
                    <a:stretch>
                      <a:fillRect/>
                    </a:stretch>
                  </pic:blipFill>
                  <pic:spPr>
                    <a:xfrm>
                      <a:off x="0" y="0"/>
                      <a:ext cx="1220470" cy="1220470"/>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微信公众平台</w:t>
      </w:r>
    </w:p>
    <w:p>
      <w:pPr>
        <w:numPr>
          <w:ilvl w:val="0"/>
          <w:numId w:val="0"/>
        </w:numPr>
        <w:rPr>
          <w:rFonts w:hint="eastAsia"/>
          <w:lang w:val="en-US" w:eastAsia="zh-CN"/>
        </w:rPr>
      </w:pPr>
    </w:p>
    <w:p>
      <w:pPr>
        <w:spacing w:line="360" w:lineRule="auto"/>
        <w:rPr>
          <w:rFonts w:hint="eastAsia"/>
          <w:lang w:val="en-US" w:eastAsia="zh-CN"/>
        </w:rPr>
      </w:pPr>
      <w:r>
        <w:rPr>
          <w:rFonts w:hint="eastAsia" w:ascii="宋体" w:hAnsi="宋体" w:cs="宋体"/>
          <w:kern w:val="0"/>
          <w:sz w:val="28"/>
          <w:lang w:val="en-US" w:eastAsia="zh-CN"/>
        </w:rPr>
        <w:t xml:space="preserve">   </w:t>
      </w:r>
    </w:p>
    <w:p>
      <w:pPr>
        <w:numPr>
          <w:ilvl w:val="0"/>
          <w:numId w:val="0"/>
        </w:numPr>
        <w:rPr>
          <w:rFonts w:hint="eastAsia"/>
          <w:lang w:val="en-US" w:eastAsia="zh-CN"/>
        </w:rPr>
      </w:pPr>
    </w:p>
    <w:p>
      <w:pPr>
        <w:spacing w:line="360" w:lineRule="auto"/>
        <w:ind w:firstLine="560"/>
        <w:rPr>
          <w:rFonts w:hint="eastAsia"/>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仿宋">
    <w:panose1 w:val="02010609060101010101"/>
    <w:charset w:val="86"/>
    <w:family w:val="auto"/>
    <w:pitch w:val="default"/>
    <w:sig w:usb0="800002BF" w:usb1="38CF7CFA" w:usb2="00000016" w:usb3="00000000" w:csb0="00040001" w:csb1="00000000"/>
  </w:font>
  <w:font w:name="Calibri Light">
    <w:altName w:val="Calibri"/>
    <w:panose1 w:val="020F0302020204030204"/>
    <w:charset w:val="00"/>
    <w:family w:val="auto"/>
    <w:pitch w:val="default"/>
    <w:sig w:usb0="00000000" w:usb1="00000000" w:usb2="00000000" w:usb3="00000000" w:csb0="2000019F" w:csb1="00000000"/>
  </w:font>
  <w:font w:name="Tianshi-HeiOld-Identity-H">
    <w:altName w:val="Times New Roman"/>
    <w:panose1 w:val="00000000000000000000"/>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349885" cy="170815"/>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349885" cy="170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14</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3.45pt;width:27.55pt;mso-position-horizontal:center;mso-position-horizontal-relative:margin;mso-wrap-style:none;z-index:251661312;mso-width-relative:page;mso-height-relative:page;" filled="f" stroked="f" coordsize="21600,21600" o:gfxdata="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bUnDjSAAAAAwEAAA8AAAAAAAAAAQAg&#10;AAAAIgAAAGRycy9kb3ducmV2LnhtbFBLAQIUABQAAAAIAIdO4kDj1kExFAIAAAcEAAAOAAAAAAAA&#10;AAEAIAAAACEBAABkcnMvZTJvRG9jLnhtbFBLBQYAAAAABgAGAFkBAACnBQ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14</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0" w:leftChars="0" w:firstLine="0" w:firstLineChars="0"/>
      <w:jc w:val="both"/>
    </w:pPr>
    <w:r>
      <w:rPr>
        <w:rFonts w:hint="eastAsia" w:eastAsia="宋体"/>
        <w:sz w:val="28"/>
        <w:szCs w:val="28"/>
        <w:u w:val="single" w:color="auto"/>
        <w:lang w:val="en-US" w:eastAsia="zh-CN"/>
      </w:rPr>
      <w:t>咸亨国际（杭州）电气科技研究院有限公司</w:t>
    </w:r>
    <w:r>
      <w:rPr>
        <w:rFonts w:hint="eastAsia" w:eastAsia="宋体"/>
        <w:u w:val="single" w:color="auto"/>
        <w:lang w:val="en-US" w:eastAsia="zh-CN"/>
      </w:rPr>
      <w:t xml:space="preserve">                  </w:t>
    </w:r>
    <w:r>
      <w:rPr>
        <w:u w:val="single" w:color="auto"/>
      </w:rPr>
      <w:drawing>
        <wp:inline distT="0" distB="0" distL="114300" distR="114300">
          <wp:extent cx="996950" cy="153670"/>
          <wp:effectExtent l="0" t="0" r="12700" b="17780"/>
          <wp:docPr id="35" name="图片 17" descr="QQ截图2018060714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QQ截图20180607144930"/>
                  <pic:cNvPicPr>
                    <a:picLocks noChangeAspect="1"/>
                  </pic:cNvPicPr>
                </pic:nvPicPr>
                <pic:blipFill>
                  <a:blip r:embed="rId1"/>
                  <a:stretch>
                    <a:fillRect/>
                  </a:stretch>
                </pic:blipFill>
                <pic:spPr>
                  <a:xfrm>
                    <a:off x="0" y="0"/>
                    <a:ext cx="996950" cy="153670"/>
                  </a:xfrm>
                  <a:prstGeom prst="rect">
                    <a:avLst/>
                  </a:prstGeom>
                  <a:noFill/>
                  <a:ln w="9525">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8249B"/>
    <w:multiLevelType w:val="singleLevel"/>
    <w:tmpl w:val="10A8249B"/>
    <w:lvl w:ilvl="0" w:tentative="0">
      <w:start w:val="1"/>
      <w:numFmt w:val="bullet"/>
      <w:lvlText w:val=""/>
      <w:lvlJc w:val="left"/>
      <w:pPr>
        <w:ind w:left="420" w:hanging="420"/>
      </w:pPr>
      <w:rPr>
        <w:rFonts w:hint="default" w:ascii="Wingdings" w:hAnsi="Wingdings"/>
      </w:rPr>
    </w:lvl>
  </w:abstractNum>
  <w:abstractNum w:abstractNumId="1">
    <w:nsid w:val="58DC5E33"/>
    <w:multiLevelType w:val="singleLevel"/>
    <w:tmpl w:val="58DC5E33"/>
    <w:lvl w:ilvl="0" w:tentative="0">
      <w:start w:val="1"/>
      <w:numFmt w:val="decimal"/>
      <w:lvlText w:val="%1)"/>
      <w:lvlJc w:val="left"/>
      <w:pPr>
        <w:ind w:left="425" w:hanging="425"/>
      </w:pPr>
      <w:rPr>
        <w:rFonts w:hint="default"/>
      </w:rPr>
    </w:lvl>
  </w:abstractNum>
  <w:abstractNum w:abstractNumId="2">
    <w:nsid w:val="58DC5E68"/>
    <w:multiLevelType w:val="singleLevel"/>
    <w:tmpl w:val="58DC5E68"/>
    <w:lvl w:ilvl="0" w:tentative="0">
      <w:start w:val="1"/>
      <w:numFmt w:val="decimal"/>
      <w:lvlText w:val="%1)"/>
      <w:lvlJc w:val="left"/>
      <w:pPr>
        <w:ind w:left="425" w:hanging="425"/>
      </w:pPr>
      <w:rPr>
        <w:rFonts w:hint="default"/>
      </w:rPr>
    </w:lvl>
  </w:abstractNum>
  <w:abstractNum w:abstractNumId="3">
    <w:nsid w:val="59EAF28A"/>
    <w:multiLevelType w:val="singleLevel"/>
    <w:tmpl w:val="59EAF28A"/>
    <w:lvl w:ilvl="0" w:tentative="0">
      <w:start w:val="1"/>
      <w:numFmt w:val="bullet"/>
      <w:lvlText w:val=""/>
      <w:lvlJc w:val="left"/>
      <w:pPr>
        <w:ind w:left="420" w:hanging="420"/>
      </w:pPr>
      <w:rPr>
        <w:rFonts w:hint="default" w:ascii="Wingdings" w:hAnsi="Wingdings"/>
      </w:rPr>
    </w:lvl>
  </w:abstractNum>
  <w:abstractNum w:abstractNumId="4">
    <w:nsid w:val="5A45D329"/>
    <w:multiLevelType w:val="singleLevel"/>
    <w:tmpl w:val="5A45D329"/>
    <w:lvl w:ilvl="0" w:tentative="0">
      <w:start w:val="1"/>
      <w:numFmt w:val="bullet"/>
      <w:lvlText w:val=""/>
      <w:lvlJc w:val="left"/>
      <w:pPr>
        <w:ind w:left="420" w:hanging="420"/>
      </w:pPr>
      <w:rPr>
        <w:rFonts w:hint="default" w:ascii="Wingdings" w:hAnsi="Wingdings"/>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460"/>
    <w:rsid w:val="00055683"/>
    <w:rsid w:val="000D52F0"/>
    <w:rsid w:val="000F27CE"/>
    <w:rsid w:val="00172A27"/>
    <w:rsid w:val="0021377E"/>
    <w:rsid w:val="002212D3"/>
    <w:rsid w:val="002405F3"/>
    <w:rsid w:val="002F1F3E"/>
    <w:rsid w:val="003D6117"/>
    <w:rsid w:val="00494C1E"/>
    <w:rsid w:val="004E3A89"/>
    <w:rsid w:val="00507797"/>
    <w:rsid w:val="0055530C"/>
    <w:rsid w:val="005D6CDC"/>
    <w:rsid w:val="007033E3"/>
    <w:rsid w:val="007475A5"/>
    <w:rsid w:val="007A4A09"/>
    <w:rsid w:val="007D5C14"/>
    <w:rsid w:val="008C3C6E"/>
    <w:rsid w:val="008D4352"/>
    <w:rsid w:val="00967DC3"/>
    <w:rsid w:val="009922EB"/>
    <w:rsid w:val="009D3765"/>
    <w:rsid w:val="00A13897"/>
    <w:rsid w:val="00A57733"/>
    <w:rsid w:val="00A92873"/>
    <w:rsid w:val="00B45191"/>
    <w:rsid w:val="00BB1CBC"/>
    <w:rsid w:val="00C241D3"/>
    <w:rsid w:val="00C63B3B"/>
    <w:rsid w:val="00CB2A4E"/>
    <w:rsid w:val="00D66710"/>
    <w:rsid w:val="00E24653"/>
    <w:rsid w:val="00FF0441"/>
    <w:rsid w:val="012A3ED5"/>
    <w:rsid w:val="01D416AE"/>
    <w:rsid w:val="022C0C45"/>
    <w:rsid w:val="022F2D54"/>
    <w:rsid w:val="02F759E4"/>
    <w:rsid w:val="036C1E9A"/>
    <w:rsid w:val="03EE1369"/>
    <w:rsid w:val="045635B5"/>
    <w:rsid w:val="04A311FD"/>
    <w:rsid w:val="04DB2A49"/>
    <w:rsid w:val="0545465A"/>
    <w:rsid w:val="05F75771"/>
    <w:rsid w:val="06BB779F"/>
    <w:rsid w:val="08A62EBB"/>
    <w:rsid w:val="092D6C19"/>
    <w:rsid w:val="097F46E4"/>
    <w:rsid w:val="09FB461F"/>
    <w:rsid w:val="0A1D5C5D"/>
    <w:rsid w:val="0A453CAD"/>
    <w:rsid w:val="0A69635E"/>
    <w:rsid w:val="0A877BD6"/>
    <w:rsid w:val="0AC67A8B"/>
    <w:rsid w:val="0AD04266"/>
    <w:rsid w:val="0AEE450A"/>
    <w:rsid w:val="0B3C1195"/>
    <w:rsid w:val="0B804D37"/>
    <w:rsid w:val="0BDB4CF5"/>
    <w:rsid w:val="0C3F5849"/>
    <w:rsid w:val="0CEE7A7B"/>
    <w:rsid w:val="0D1524E5"/>
    <w:rsid w:val="0D367A0F"/>
    <w:rsid w:val="0E6154AB"/>
    <w:rsid w:val="0E8748BB"/>
    <w:rsid w:val="0ED06EE0"/>
    <w:rsid w:val="0EDE4FDE"/>
    <w:rsid w:val="0EEC32D4"/>
    <w:rsid w:val="0F0C7D27"/>
    <w:rsid w:val="0FCB1406"/>
    <w:rsid w:val="0FD2262B"/>
    <w:rsid w:val="10583366"/>
    <w:rsid w:val="10A359BA"/>
    <w:rsid w:val="10CA1225"/>
    <w:rsid w:val="10DC093D"/>
    <w:rsid w:val="111805CC"/>
    <w:rsid w:val="1161797C"/>
    <w:rsid w:val="11850F42"/>
    <w:rsid w:val="119110AA"/>
    <w:rsid w:val="119E7170"/>
    <w:rsid w:val="12327736"/>
    <w:rsid w:val="12362774"/>
    <w:rsid w:val="12656349"/>
    <w:rsid w:val="130709AC"/>
    <w:rsid w:val="132C7446"/>
    <w:rsid w:val="13845A67"/>
    <w:rsid w:val="13CC2226"/>
    <w:rsid w:val="13E35C76"/>
    <w:rsid w:val="14381E75"/>
    <w:rsid w:val="14640A83"/>
    <w:rsid w:val="14F511D4"/>
    <w:rsid w:val="150023D6"/>
    <w:rsid w:val="15466169"/>
    <w:rsid w:val="155C5115"/>
    <w:rsid w:val="15A436E8"/>
    <w:rsid w:val="15DD06A2"/>
    <w:rsid w:val="166A1368"/>
    <w:rsid w:val="16AB5262"/>
    <w:rsid w:val="16AE17F7"/>
    <w:rsid w:val="16B446A9"/>
    <w:rsid w:val="16B50658"/>
    <w:rsid w:val="170414AC"/>
    <w:rsid w:val="170664AA"/>
    <w:rsid w:val="171F5A51"/>
    <w:rsid w:val="17A84173"/>
    <w:rsid w:val="185118E1"/>
    <w:rsid w:val="18CA7009"/>
    <w:rsid w:val="1930192E"/>
    <w:rsid w:val="19505DF7"/>
    <w:rsid w:val="19B92355"/>
    <w:rsid w:val="1A193470"/>
    <w:rsid w:val="1A5F251F"/>
    <w:rsid w:val="1AAC7492"/>
    <w:rsid w:val="1AF95626"/>
    <w:rsid w:val="1AFD7313"/>
    <w:rsid w:val="1B4A49B0"/>
    <w:rsid w:val="1C0E7239"/>
    <w:rsid w:val="1C1A0BE5"/>
    <w:rsid w:val="1C5A0510"/>
    <w:rsid w:val="1E13429F"/>
    <w:rsid w:val="1E1E5764"/>
    <w:rsid w:val="1E653573"/>
    <w:rsid w:val="1E8C59C3"/>
    <w:rsid w:val="1E9C0BE8"/>
    <w:rsid w:val="1EA92160"/>
    <w:rsid w:val="1ECD42C8"/>
    <w:rsid w:val="1F047738"/>
    <w:rsid w:val="1F243547"/>
    <w:rsid w:val="1F6C4774"/>
    <w:rsid w:val="1F8C4EE9"/>
    <w:rsid w:val="1FD210AF"/>
    <w:rsid w:val="1FED657F"/>
    <w:rsid w:val="200229BC"/>
    <w:rsid w:val="200D6F03"/>
    <w:rsid w:val="201B4BFB"/>
    <w:rsid w:val="208D32F3"/>
    <w:rsid w:val="20AD1AB5"/>
    <w:rsid w:val="21452B67"/>
    <w:rsid w:val="222D0819"/>
    <w:rsid w:val="228D277C"/>
    <w:rsid w:val="22B04CF4"/>
    <w:rsid w:val="22B75672"/>
    <w:rsid w:val="23E131E1"/>
    <w:rsid w:val="23E85308"/>
    <w:rsid w:val="24030531"/>
    <w:rsid w:val="24276A28"/>
    <w:rsid w:val="245F7CAE"/>
    <w:rsid w:val="24A07424"/>
    <w:rsid w:val="24AA634A"/>
    <w:rsid w:val="24D075F7"/>
    <w:rsid w:val="25185611"/>
    <w:rsid w:val="25322ACE"/>
    <w:rsid w:val="25B80D58"/>
    <w:rsid w:val="25CE4985"/>
    <w:rsid w:val="25DA77CC"/>
    <w:rsid w:val="26041880"/>
    <w:rsid w:val="261F4FC6"/>
    <w:rsid w:val="26E67854"/>
    <w:rsid w:val="2726521F"/>
    <w:rsid w:val="2760601E"/>
    <w:rsid w:val="27CB3A3C"/>
    <w:rsid w:val="27DD2205"/>
    <w:rsid w:val="28307399"/>
    <w:rsid w:val="284F0306"/>
    <w:rsid w:val="288B0113"/>
    <w:rsid w:val="29390599"/>
    <w:rsid w:val="2A1607FB"/>
    <w:rsid w:val="2A676BD4"/>
    <w:rsid w:val="2AF41B37"/>
    <w:rsid w:val="2B0A318F"/>
    <w:rsid w:val="2B260CD5"/>
    <w:rsid w:val="2CBB6EDB"/>
    <w:rsid w:val="2CC76462"/>
    <w:rsid w:val="2F0519C5"/>
    <w:rsid w:val="2F230A1E"/>
    <w:rsid w:val="2F29603D"/>
    <w:rsid w:val="2FCA7EFA"/>
    <w:rsid w:val="2FDC76C6"/>
    <w:rsid w:val="2FF50692"/>
    <w:rsid w:val="30423429"/>
    <w:rsid w:val="313647D6"/>
    <w:rsid w:val="31974A5F"/>
    <w:rsid w:val="319A1486"/>
    <w:rsid w:val="3229027E"/>
    <w:rsid w:val="323608E3"/>
    <w:rsid w:val="32792E5C"/>
    <w:rsid w:val="33E27803"/>
    <w:rsid w:val="33FF7521"/>
    <w:rsid w:val="345352F3"/>
    <w:rsid w:val="35270140"/>
    <w:rsid w:val="36A52549"/>
    <w:rsid w:val="36D774D4"/>
    <w:rsid w:val="376F1CE4"/>
    <w:rsid w:val="37814290"/>
    <w:rsid w:val="37B31416"/>
    <w:rsid w:val="38BB5F8A"/>
    <w:rsid w:val="38FD681F"/>
    <w:rsid w:val="395C67D7"/>
    <w:rsid w:val="39B82D65"/>
    <w:rsid w:val="39F45223"/>
    <w:rsid w:val="3A0670B5"/>
    <w:rsid w:val="3A453E22"/>
    <w:rsid w:val="3B280A70"/>
    <w:rsid w:val="3C723A8F"/>
    <w:rsid w:val="3CA512F2"/>
    <w:rsid w:val="3CFC1C3A"/>
    <w:rsid w:val="3D132CDD"/>
    <w:rsid w:val="3D1B650C"/>
    <w:rsid w:val="3E0B379C"/>
    <w:rsid w:val="3E684749"/>
    <w:rsid w:val="3E744DCA"/>
    <w:rsid w:val="3F036587"/>
    <w:rsid w:val="3F741466"/>
    <w:rsid w:val="3F9B52C9"/>
    <w:rsid w:val="3FB32F3B"/>
    <w:rsid w:val="3FD029F0"/>
    <w:rsid w:val="409A5175"/>
    <w:rsid w:val="40D241D6"/>
    <w:rsid w:val="4143494A"/>
    <w:rsid w:val="41E66B39"/>
    <w:rsid w:val="41ED1341"/>
    <w:rsid w:val="42CC31CF"/>
    <w:rsid w:val="43D344DB"/>
    <w:rsid w:val="43EB5336"/>
    <w:rsid w:val="440E0785"/>
    <w:rsid w:val="443004A5"/>
    <w:rsid w:val="45081497"/>
    <w:rsid w:val="458D7650"/>
    <w:rsid w:val="459D289D"/>
    <w:rsid w:val="459F3416"/>
    <w:rsid w:val="45EB541D"/>
    <w:rsid w:val="469D3C8B"/>
    <w:rsid w:val="46AE4BC9"/>
    <w:rsid w:val="4713369C"/>
    <w:rsid w:val="478C1BDA"/>
    <w:rsid w:val="47C471D9"/>
    <w:rsid w:val="481D659C"/>
    <w:rsid w:val="48627FE7"/>
    <w:rsid w:val="48D42E64"/>
    <w:rsid w:val="49101D04"/>
    <w:rsid w:val="495E7B36"/>
    <w:rsid w:val="497A3852"/>
    <w:rsid w:val="49F044C3"/>
    <w:rsid w:val="4AAA3765"/>
    <w:rsid w:val="4AF73CDE"/>
    <w:rsid w:val="4B0D5706"/>
    <w:rsid w:val="4B562F8D"/>
    <w:rsid w:val="4B7F0A2C"/>
    <w:rsid w:val="4D114AD5"/>
    <w:rsid w:val="4D502F0E"/>
    <w:rsid w:val="4D5F5359"/>
    <w:rsid w:val="4E1577DC"/>
    <w:rsid w:val="4E744C33"/>
    <w:rsid w:val="4F166502"/>
    <w:rsid w:val="50896142"/>
    <w:rsid w:val="51257B7F"/>
    <w:rsid w:val="51510EDE"/>
    <w:rsid w:val="51735D0C"/>
    <w:rsid w:val="51EE40F7"/>
    <w:rsid w:val="52DE4517"/>
    <w:rsid w:val="539258DA"/>
    <w:rsid w:val="53EE789D"/>
    <w:rsid w:val="54811AC9"/>
    <w:rsid w:val="54D803C6"/>
    <w:rsid w:val="558C76AB"/>
    <w:rsid w:val="55AD000D"/>
    <w:rsid w:val="565325EF"/>
    <w:rsid w:val="569576A3"/>
    <w:rsid w:val="57140A92"/>
    <w:rsid w:val="573764F7"/>
    <w:rsid w:val="581E4045"/>
    <w:rsid w:val="5831760E"/>
    <w:rsid w:val="58974FC5"/>
    <w:rsid w:val="58E51C7E"/>
    <w:rsid w:val="58F75430"/>
    <w:rsid w:val="591046DA"/>
    <w:rsid w:val="596B3960"/>
    <w:rsid w:val="59701785"/>
    <w:rsid w:val="59E233E4"/>
    <w:rsid w:val="59EA7BBF"/>
    <w:rsid w:val="59FF1730"/>
    <w:rsid w:val="5A995E49"/>
    <w:rsid w:val="5ABD2FEA"/>
    <w:rsid w:val="5B1B29ED"/>
    <w:rsid w:val="5C051271"/>
    <w:rsid w:val="5C086BE5"/>
    <w:rsid w:val="5C305025"/>
    <w:rsid w:val="5CAF3452"/>
    <w:rsid w:val="5D7E5719"/>
    <w:rsid w:val="5D812ECE"/>
    <w:rsid w:val="5E912FC3"/>
    <w:rsid w:val="5F1359A0"/>
    <w:rsid w:val="5FF842F6"/>
    <w:rsid w:val="60887E86"/>
    <w:rsid w:val="60D816A6"/>
    <w:rsid w:val="629425AA"/>
    <w:rsid w:val="62A04FB2"/>
    <w:rsid w:val="631A453B"/>
    <w:rsid w:val="635E09F0"/>
    <w:rsid w:val="640417D9"/>
    <w:rsid w:val="649C2C7F"/>
    <w:rsid w:val="654D4BFC"/>
    <w:rsid w:val="657161B3"/>
    <w:rsid w:val="658472AB"/>
    <w:rsid w:val="65AE22F8"/>
    <w:rsid w:val="66F353CA"/>
    <w:rsid w:val="67183B7B"/>
    <w:rsid w:val="67286A4B"/>
    <w:rsid w:val="6738185B"/>
    <w:rsid w:val="67436009"/>
    <w:rsid w:val="67DC365A"/>
    <w:rsid w:val="67DD2E71"/>
    <w:rsid w:val="68162E71"/>
    <w:rsid w:val="68771E2A"/>
    <w:rsid w:val="6879770F"/>
    <w:rsid w:val="69680ECD"/>
    <w:rsid w:val="69692D82"/>
    <w:rsid w:val="696D4804"/>
    <w:rsid w:val="6A7D4FE4"/>
    <w:rsid w:val="6B2440D8"/>
    <w:rsid w:val="6B374DEA"/>
    <w:rsid w:val="6BC5294B"/>
    <w:rsid w:val="6C023F17"/>
    <w:rsid w:val="6C99370D"/>
    <w:rsid w:val="6CA3073E"/>
    <w:rsid w:val="6CA544F8"/>
    <w:rsid w:val="6CF7669F"/>
    <w:rsid w:val="6D443457"/>
    <w:rsid w:val="6D4A20C0"/>
    <w:rsid w:val="6D7D4085"/>
    <w:rsid w:val="6DE173DC"/>
    <w:rsid w:val="6E1523F4"/>
    <w:rsid w:val="6E180A3F"/>
    <w:rsid w:val="6E25469D"/>
    <w:rsid w:val="6E367E6F"/>
    <w:rsid w:val="6EE03831"/>
    <w:rsid w:val="6EE84528"/>
    <w:rsid w:val="70A501E6"/>
    <w:rsid w:val="70D95BF6"/>
    <w:rsid w:val="70DE4866"/>
    <w:rsid w:val="712D7821"/>
    <w:rsid w:val="71454D6A"/>
    <w:rsid w:val="71457784"/>
    <w:rsid w:val="724E562E"/>
    <w:rsid w:val="72742586"/>
    <w:rsid w:val="73C2550C"/>
    <w:rsid w:val="73DA2350"/>
    <w:rsid w:val="744E1978"/>
    <w:rsid w:val="747B41A6"/>
    <w:rsid w:val="74955CA2"/>
    <w:rsid w:val="74C56727"/>
    <w:rsid w:val="75302577"/>
    <w:rsid w:val="754D41BF"/>
    <w:rsid w:val="75BD3BB7"/>
    <w:rsid w:val="75C6314E"/>
    <w:rsid w:val="75E53B34"/>
    <w:rsid w:val="75E7346E"/>
    <w:rsid w:val="76663FF5"/>
    <w:rsid w:val="76B252CC"/>
    <w:rsid w:val="777B1852"/>
    <w:rsid w:val="77CC14F5"/>
    <w:rsid w:val="781C1318"/>
    <w:rsid w:val="78D14701"/>
    <w:rsid w:val="79090E68"/>
    <w:rsid w:val="791C55EE"/>
    <w:rsid w:val="79446476"/>
    <w:rsid w:val="79F862DE"/>
    <w:rsid w:val="7A537FF6"/>
    <w:rsid w:val="7AB82782"/>
    <w:rsid w:val="7B7741F1"/>
    <w:rsid w:val="7BC75143"/>
    <w:rsid w:val="7C772AC5"/>
    <w:rsid w:val="7C8043EA"/>
    <w:rsid w:val="7CAE694C"/>
    <w:rsid w:val="7D7E7A11"/>
    <w:rsid w:val="7D99121F"/>
    <w:rsid w:val="7DBA3B5B"/>
    <w:rsid w:val="7DCC5217"/>
    <w:rsid w:val="7E3B23D2"/>
    <w:rsid w:val="7E5D76B5"/>
    <w:rsid w:val="7E8A2189"/>
    <w:rsid w:val="7EF267E8"/>
    <w:rsid w:val="7F4C0B49"/>
    <w:rsid w:val="7F4F3194"/>
    <w:rsid w:val="7FBF4962"/>
    <w:rsid w:val="7FF763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1040" w:firstLineChars="20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20"/>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ind w:firstLine="0" w:firstLineChars="0"/>
      <w:outlineLvl w:val="2"/>
    </w:pPr>
    <w:rPr>
      <w:b/>
      <w:sz w:val="32"/>
    </w:rPr>
  </w:style>
  <w:style w:type="character" w:default="1" w:styleId="14">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9">
    <w:name w:val="toc 1"/>
    <w:basedOn w:val="1"/>
    <w:next w:val="1"/>
    <w:qFormat/>
    <w:uiPriority w:val="0"/>
  </w:style>
  <w:style w:type="paragraph" w:styleId="10">
    <w:name w:val="Subtitle"/>
    <w:basedOn w:val="1"/>
    <w:next w:val="1"/>
    <w:qFormat/>
    <w:uiPriority w:val="0"/>
    <w:pPr>
      <w:spacing w:before="240" w:after="60" w:line="312" w:lineRule="auto"/>
      <w:jc w:val="left"/>
      <w:outlineLvl w:val="1"/>
    </w:pPr>
    <w:rPr>
      <w:rFonts w:ascii="Calibri Light" w:hAnsi="Calibri Light"/>
      <w:b/>
      <w:bCs/>
      <w:kern w:val="28"/>
      <w:sz w:val="32"/>
      <w:szCs w:val="32"/>
    </w:rPr>
  </w:style>
  <w:style w:type="paragraph" w:styleId="11">
    <w:name w:val="toc 2"/>
    <w:basedOn w:val="1"/>
    <w:next w:val="1"/>
    <w:qFormat/>
    <w:uiPriority w:val="0"/>
    <w:pPr>
      <w:ind w:left="420" w:leftChars="200"/>
    </w:pPr>
  </w:style>
  <w:style w:type="paragraph" w:styleId="12">
    <w:name w:val="Body Text 2"/>
    <w:basedOn w:val="1"/>
    <w:qFormat/>
    <w:uiPriority w:val="0"/>
    <w:pPr>
      <w:spacing w:after="120" w:line="480" w:lineRule="auto"/>
    </w:pPr>
    <w:rPr>
      <w:rFonts w:eastAsia="宋体"/>
    </w:rPr>
  </w:style>
  <w:style w:type="paragraph" w:styleId="13">
    <w:name w:val="Normal (Web)"/>
    <w:basedOn w:val="1"/>
    <w:qFormat/>
    <w:uiPriority w:val="0"/>
    <w:pPr>
      <w:spacing w:beforeAutospacing="1" w:afterAutospacing="1"/>
      <w:jc w:val="left"/>
    </w:pPr>
    <w:rPr>
      <w:rFonts w:cs="Times New Roman"/>
      <w:kern w:val="0"/>
      <w:sz w:val="24"/>
    </w:rPr>
  </w:style>
  <w:style w:type="character" w:styleId="15">
    <w:name w:val="Strong"/>
    <w:basedOn w:val="14"/>
    <w:qFormat/>
    <w:uiPriority w:val="0"/>
    <w:rPr>
      <w:b/>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8">
    <w:name w:val="Default"/>
    <w:unhideWhenUsed/>
    <w:qFormat/>
    <w:uiPriority w:val="99"/>
    <w:pPr>
      <w:widowControl w:val="0"/>
      <w:autoSpaceDE w:val="0"/>
      <w:autoSpaceDN w:val="0"/>
      <w:adjustRightInd w:val="0"/>
    </w:pPr>
    <w:rPr>
      <w:rFonts w:hint="eastAsia" w:ascii="宋体" w:hAnsi="宋体" w:eastAsia="宋体" w:cs="Times New Roman"/>
      <w:color w:val="000000"/>
      <w:sz w:val="24"/>
      <w:lang w:val="en-US" w:eastAsia="zh-CN" w:bidi="ar-SA"/>
    </w:rPr>
  </w:style>
  <w:style w:type="character" w:customStyle="1" w:styleId="19">
    <w:name w:val="fontstyle01"/>
    <w:qFormat/>
    <w:uiPriority w:val="0"/>
    <w:rPr>
      <w:rFonts w:hint="default" w:ascii="Tianshi-HeiOld-Identity-H" w:hAnsi="Tianshi-HeiOld-Identity-H"/>
      <w:color w:val="3E3A39"/>
      <w:sz w:val="18"/>
      <w:szCs w:val="18"/>
    </w:rPr>
  </w:style>
  <w:style w:type="character" w:customStyle="1" w:styleId="20">
    <w:name w:val="标题 1字符"/>
    <w:link w:val="2"/>
    <w:qFormat/>
    <w:uiPriority w:val="0"/>
    <w:rPr>
      <w:b/>
      <w:kern w:val="44"/>
      <w:sz w:val="44"/>
    </w:rPr>
  </w:style>
  <w:style w:type="paragraph" w:customStyle="1" w:styleId="21">
    <w:name w:val="标题3，小四，黑体"/>
    <w:basedOn w:val="1"/>
    <w:qFormat/>
    <w:uiPriority w:val="0"/>
    <w:pPr>
      <w:keepNext/>
      <w:keepLines/>
      <w:spacing w:before="100" w:line="360" w:lineRule="auto"/>
      <w:ind w:firstLine="1040" w:firstLineChars="200"/>
      <w:outlineLvl w:val="2"/>
    </w:pPr>
    <w:rPr>
      <w:rFonts w:eastAsia="黑体" w:cs="宋体"/>
      <w:bCs/>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3511</Words>
  <Characters>3883</Characters>
  <Lines>42</Lines>
  <Paragraphs>12</Paragraphs>
  <TotalTime>1</TotalTime>
  <ScaleCrop>false</ScaleCrop>
  <LinksUpToDate>false</LinksUpToDate>
  <CharactersWithSpaces>4300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2017-03-17T06:36:00Z</dcterms:created>
  <dc:creator>Administrator</dc:creator>
  <cp:lastModifiedBy>米济</cp:lastModifiedBy>
  <dcterms:modified xsi:type="dcterms:W3CDTF">2018-09-06T14:22:34Z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