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ascii="黑体" w:hAnsi="黑体" w:eastAsia="黑体" w:cs="黑体"/>
          <w:kern w:val="0"/>
          <w:sz w:val="52"/>
          <w:szCs w:val="52"/>
          <w:lang w:bidi="ar"/>
        </w:rPr>
      </w:pPr>
    </w:p>
    <w:p>
      <w:pPr>
        <w:widowControl/>
        <w:jc w:val="left"/>
        <w:rPr>
          <w:rFonts w:ascii="黑体" w:hAnsi="黑体" w:eastAsia="黑体" w:cs="黑体"/>
          <w:kern w:val="0"/>
          <w:sz w:val="52"/>
          <w:szCs w:val="52"/>
          <w:lang w:bidi="ar"/>
        </w:rPr>
      </w:pPr>
    </w:p>
    <w:p>
      <w:pPr>
        <w:spacing w:line="240" w:lineRule="auto"/>
        <w:ind w:firstLine="0" w:firstLineChars="0"/>
        <w:jc w:val="center"/>
        <w:rPr>
          <w:rFonts w:ascii="黑体" w:hAnsi="黑体" w:eastAsia="黑体"/>
          <w:sz w:val="48"/>
          <w:szCs w:val="48"/>
        </w:rPr>
      </w:pPr>
      <w:r>
        <w:rPr>
          <w:rFonts w:hint="eastAsia" w:ascii="黑体" w:hAnsi="黑体" w:eastAsia="黑体"/>
          <w:sz w:val="48"/>
          <w:szCs w:val="48"/>
          <w:lang w:eastAsia="zh-CN"/>
        </w:rPr>
        <w:t>高压开关柜/环网柜</w:t>
      </w:r>
      <w:r>
        <w:rPr>
          <w:rFonts w:hint="eastAsia" w:ascii="黑体" w:hAnsi="黑体" w:eastAsia="黑体"/>
          <w:sz w:val="48"/>
          <w:szCs w:val="48"/>
        </w:rPr>
        <w:t>温度在线</w:t>
      </w:r>
      <w:r>
        <w:rPr>
          <w:rFonts w:ascii="黑体" w:hAnsi="黑体" w:eastAsia="黑体"/>
          <w:sz w:val="48"/>
          <w:szCs w:val="48"/>
        </w:rPr>
        <w:t>监测</w:t>
      </w:r>
      <w:r>
        <w:rPr>
          <w:rFonts w:hint="eastAsia" w:ascii="黑体" w:hAnsi="黑体" w:eastAsia="黑体"/>
          <w:sz w:val="48"/>
          <w:szCs w:val="48"/>
          <w:lang w:eastAsia="zh-CN"/>
        </w:rPr>
        <w:t>技术</w:t>
      </w:r>
      <w:r>
        <w:rPr>
          <w:rFonts w:hint="eastAsia" w:ascii="黑体" w:hAnsi="黑体" w:eastAsia="黑体"/>
          <w:sz w:val="48"/>
          <w:szCs w:val="48"/>
        </w:rPr>
        <w:t>方</w:t>
      </w:r>
      <w:r>
        <w:rPr>
          <w:rFonts w:ascii="黑体" w:hAnsi="黑体" w:eastAsia="黑体"/>
          <w:sz w:val="48"/>
          <w:szCs w:val="48"/>
        </w:rPr>
        <w:t>案</w:t>
      </w:r>
      <w:r>
        <w:rPr>
          <w:rFonts w:hint="eastAsia" w:ascii="黑体" w:hAnsi="黑体" w:eastAsia="黑体"/>
          <w:sz w:val="48"/>
          <w:szCs w:val="48"/>
        </w:rPr>
        <w:t>书</w:t>
      </w:r>
    </w:p>
    <w:p>
      <w:pPr>
        <w:widowControl/>
        <w:ind w:firstLine="0" w:firstLineChars="0"/>
        <w:jc w:val="center"/>
        <w:rPr>
          <w:rFonts w:ascii="黑体" w:hAnsi="黑体" w:eastAsia="黑体" w:cs="黑体"/>
          <w:sz w:val="30"/>
          <w:szCs w:val="30"/>
        </w:rPr>
      </w:pPr>
      <w:r>
        <w:rPr>
          <w:sz w:val="52"/>
        </w:rPr>
        <mc:AlternateContent>
          <mc:Choice Requires="wps">
            <w:drawing>
              <wp:anchor distT="0" distB="0" distL="114300" distR="114300" simplePos="0" relativeHeight="251658240" behindDoc="0" locked="0" layoutInCell="1" allowOverlap="1">
                <wp:simplePos x="0" y="0"/>
                <wp:positionH relativeFrom="column">
                  <wp:posOffset>194310</wp:posOffset>
                </wp:positionH>
                <wp:positionV relativeFrom="paragraph">
                  <wp:posOffset>361315</wp:posOffset>
                </wp:positionV>
                <wp:extent cx="5105400" cy="9525"/>
                <wp:effectExtent l="0" t="0" r="0" b="0"/>
                <wp:wrapNone/>
                <wp:docPr id="1" name="直接连接符 1"/>
                <wp:cNvGraphicFramePr/>
                <a:graphic xmlns:a="http://schemas.openxmlformats.org/drawingml/2006/main">
                  <a:graphicData uri="http://schemas.microsoft.com/office/word/2010/wordprocessingShape">
                    <wps:wsp>
                      <wps:cNvCnPr/>
                      <wps:spPr>
                        <a:xfrm>
                          <a:off x="1337310" y="3586480"/>
                          <a:ext cx="51054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5.3pt;margin-top:28.45pt;height:0.75pt;width:402pt;z-index:251658240;mso-width-relative:page;mso-height-relative:page;" filled="f" stroked="t" coordsize="21600,21600" o:gfxdata="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39OTg2AAAAAgBAAAPAAAAAAAAAAEA&#10;IAAAACIAAABkcnMvZG93bnJldi54bWxQSwECFAAUAAAACACHTuJAPPBT9dYBAABzAwAADgAAAAAA&#10;AAABACAAAAAnAQAAZHJzL2Uyb0RvYy54bWxQSwUGAAAAAAYABgBZAQAAbwUAAAAA&#10;">
                <v:fill on="f" focussize="0,0"/>
                <v:stroke weight="1.5pt" color="#000000 [3200]" miterlimit="8" joinstyle="miter"/>
                <v:imagedata o:title=""/>
                <o:lock v:ext="edit" aspectratio="f"/>
              </v:line>
            </w:pict>
          </mc:Fallback>
        </mc:AlternateContent>
      </w: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r>
        <w:rPr>
          <w:rFonts w:hint="eastAsia" w:ascii="黑体" w:hAnsi="黑体" w:eastAsia="黑体"/>
          <w:bCs/>
          <w:sz w:val="52"/>
          <w:szCs w:val="52"/>
          <w:lang w:eastAsia="zh-CN"/>
        </w:rPr>
        <w:drawing>
          <wp:anchor distT="0" distB="0" distL="114300" distR="114300" simplePos="0" relativeHeight="251746304" behindDoc="0" locked="0" layoutInCell="1" allowOverlap="1">
            <wp:simplePos x="0" y="0"/>
            <wp:positionH relativeFrom="column">
              <wp:posOffset>-1133475</wp:posOffset>
            </wp:positionH>
            <wp:positionV relativeFrom="paragraph">
              <wp:posOffset>-1327785</wp:posOffset>
            </wp:positionV>
            <wp:extent cx="7628255" cy="4291965"/>
            <wp:effectExtent l="0" t="0" r="10795" b="13335"/>
            <wp:wrapNone/>
            <wp:docPr id="22" name="图片 2" descr="tim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tim2g"/>
                    <pic:cNvPicPr>
                      <a:picLocks noChangeAspect="1"/>
                    </pic:cNvPicPr>
                  </pic:nvPicPr>
                  <pic:blipFill>
                    <a:blip r:embed="rId7"/>
                    <a:stretch>
                      <a:fillRect/>
                    </a:stretch>
                  </pic:blipFill>
                  <pic:spPr>
                    <a:xfrm>
                      <a:off x="0" y="0"/>
                      <a:ext cx="7628255" cy="4291965"/>
                    </a:xfrm>
                    <a:prstGeom prst="rect">
                      <a:avLst/>
                    </a:prstGeom>
                    <a:noFill/>
                    <a:ln w="9525">
                      <a:noFill/>
                    </a:ln>
                  </pic:spPr>
                </pic:pic>
              </a:graphicData>
            </a:graphic>
          </wp:anchor>
        </w:drawing>
      </w: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0" w:firstLineChars="0"/>
        <w:rPr>
          <w:rFonts w:ascii="黑体" w:hAnsi="黑体" w:eastAsia="黑体" w:cs="黑体"/>
          <w:sz w:val="30"/>
          <w:szCs w:val="30"/>
        </w:rPr>
      </w:pPr>
    </w:p>
    <w:p>
      <w:pPr>
        <w:pStyle w:val="9"/>
        <w:tabs>
          <w:tab w:val="right" w:leader="dot" w:pos="8306"/>
        </w:tabs>
        <w:ind w:firstLine="600"/>
        <w:rPr>
          <w:rFonts w:ascii="黑体" w:hAnsi="黑体" w:eastAsia="黑体" w:cs="黑体"/>
          <w:sz w:val="30"/>
          <w:szCs w:val="30"/>
        </w:rPr>
      </w:pPr>
    </w:p>
    <w:p>
      <w:pPr>
        <w:ind w:left="0" w:leftChars="0" w:firstLine="0" w:firstLineChars="0"/>
        <w:rPr>
          <w:rFonts w:ascii="黑体" w:hAnsi="黑体" w:eastAsia="黑体" w:cs="黑体"/>
          <w:sz w:val="30"/>
          <w:szCs w:val="30"/>
        </w:rPr>
      </w:pPr>
    </w:p>
    <w:p>
      <w:pPr>
        <w:pStyle w:val="12"/>
        <w:spacing w:after="0" w:line="240" w:lineRule="auto"/>
        <w:ind w:firstLine="0" w:firstLineChars="0"/>
        <w:jc w:val="center"/>
        <w:rPr>
          <w:rFonts w:ascii="黑体" w:hAnsi="黑体" w:eastAsia="黑体"/>
          <w:sz w:val="32"/>
          <w:szCs w:val="32"/>
        </w:rPr>
      </w:pPr>
      <w:r>
        <w:rPr>
          <w:rFonts w:hint="eastAsia" w:ascii="黑体" w:hAnsi="黑体" w:eastAsia="黑体"/>
          <w:sz w:val="32"/>
          <w:szCs w:val="32"/>
        </w:rPr>
        <w:t>咸</w:t>
      </w:r>
      <w:r>
        <w:rPr>
          <w:rFonts w:ascii="黑体" w:hAnsi="黑体" w:eastAsia="黑体"/>
          <w:sz w:val="32"/>
          <w:szCs w:val="32"/>
        </w:rPr>
        <w:t>亨国际（</w:t>
      </w:r>
      <w:r>
        <w:rPr>
          <w:rFonts w:hint="eastAsia" w:ascii="黑体" w:hAnsi="黑体" w:eastAsia="黑体"/>
          <w:sz w:val="32"/>
          <w:szCs w:val="32"/>
        </w:rPr>
        <w:t>杭州</w:t>
      </w:r>
      <w:r>
        <w:rPr>
          <w:rFonts w:ascii="黑体" w:hAnsi="黑体" w:eastAsia="黑体"/>
          <w:sz w:val="32"/>
          <w:szCs w:val="32"/>
        </w:rPr>
        <w:t>）</w:t>
      </w:r>
      <w:r>
        <w:rPr>
          <w:rFonts w:hint="eastAsia" w:ascii="黑体" w:hAnsi="黑体" w:eastAsia="黑体"/>
          <w:sz w:val="32"/>
          <w:szCs w:val="32"/>
        </w:rPr>
        <w:t>电</w:t>
      </w:r>
      <w:r>
        <w:rPr>
          <w:rFonts w:ascii="黑体" w:hAnsi="黑体" w:eastAsia="黑体"/>
          <w:sz w:val="32"/>
          <w:szCs w:val="32"/>
        </w:rPr>
        <w:t>气科技研究院有限公司</w:t>
      </w:r>
    </w:p>
    <w:p>
      <w:pPr>
        <w:pStyle w:val="12"/>
        <w:spacing w:after="0" w:line="240" w:lineRule="auto"/>
        <w:ind w:firstLine="0" w:firstLineChars="0"/>
        <w:jc w:val="both"/>
        <w:rPr>
          <w:rFonts w:ascii="黑体" w:hAnsi="黑体" w:eastAsia="黑体"/>
          <w:sz w:val="32"/>
          <w:szCs w:val="32"/>
        </w:rPr>
      </w:pPr>
    </w:p>
    <w:p>
      <w:pPr>
        <w:ind w:firstLine="600"/>
        <w:rPr>
          <w:rFonts w:ascii="黑体" w:hAnsi="黑体" w:eastAsia="黑体" w:cs="黑体"/>
          <w:sz w:val="30"/>
          <w:szCs w:val="30"/>
        </w:rPr>
        <w:sectPr>
          <w:headerReference r:id="rId3" w:type="default"/>
          <w:pgSz w:w="11906" w:h="16838"/>
          <w:pgMar w:top="1440" w:right="1800" w:bottom="1440" w:left="1800" w:header="851" w:footer="992" w:gutter="0"/>
          <w:pgNumType w:start="1"/>
          <w:cols w:space="0" w:num="1"/>
          <w:titlePg/>
          <w:rtlGutter w:val="0"/>
          <w:docGrid w:type="lines" w:linePitch="312" w:charSpace="0"/>
        </w:sectPr>
      </w:pPr>
    </w:p>
    <w:p>
      <w:pPr>
        <w:ind w:firstLine="600"/>
        <w:jc w:val="center"/>
        <w:rPr>
          <w:sz w:val="30"/>
          <w:szCs w:val="30"/>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sz w:val="30"/>
          <w:szCs w:val="30"/>
        </w:rPr>
      </w:pPr>
      <w:r>
        <w:rPr>
          <w:rFonts w:hint="eastAsia"/>
          <w:sz w:val="30"/>
          <w:szCs w:val="30"/>
        </w:rPr>
        <w:t>目录</w:t>
      </w:r>
    </w:p>
    <w:p>
      <w:pPr>
        <w:pStyle w:val="9"/>
        <w:tabs>
          <w:tab w:val="right" w:leader="dot" w:pos="8306"/>
        </w:tabs>
        <w:ind w:firstLine="420"/>
        <w:jc w:val="center"/>
        <w:rPr>
          <w:rFonts w:ascii="宋体" w:hAnsi="宋体" w:eastAsia="宋体" w:cs="宋体"/>
          <w:szCs w:val="21"/>
        </w:rPr>
      </w:pPr>
    </w:p>
    <w:p>
      <w:pPr>
        <w:pStyle w:val="9"/>
        <w:tabs>
          <w:tab w:val="right" w:leader="dot" w:pos="8306"/>
        </w:tabs>
        <w:ind w:firstLine="0" w:firstLineChars="0"/>
        <w:rPr>
          <w:rFonts w:hint="eastAsia" w:ascii="黑体" w:hAnsi="黑体" w:eastAsia="黑体" w:cs="黑体"/>
          <w:kern w:val="2"/>
          <w:sz w:val="21"/>
          <w:szCs w:val="30"/>
          <w:lang w:val="en-US" w:eastAsia="zh-CN" w:bidi="ar-SA"/>
        </w:rPr>
      </w:pPr>
      <w:r>
        <w:rPr>
          <w:rFonts w:hint="eastAsia" w:ascii="宋体" w:hAnsi="宋体" w:eastAsia="宋体" w:cs="宋体"/>
          <w:szCs w:val="21"/>
        </w:rPr>
        <w:t xml:space="preserve">    </w:t>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TOC \* MERGEFORMAT </w:instrText>
      </w:r>
      <w:r>
        <w:rPr>
          <w:rFonts w:hint="eastAsia" w:ascii="黑体" w:hAnsi="黑体" w:eastAsia="黑体" w:cs="黑体"/>
          <w:sz w:val="30"/>
          <w:szCs w:val="30"/>
        </w:rPr>
        <w:fldChar w:fldCharType="separate"/>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一</w:t>
      </w:r>
      <w:r>
        <w:rPr>
          <w:rFonts w:hint="eastAsia"/>
          <w:sz w:val="24"/>
          <w:szCs w:val="24"/>
          <w:lang w:eastAsia="zh-CN"/>
        </w:rPr>
        <w:t>、</w:t>
      </w:r>
      <w:r>
        <w:rPr>
          <w:rFonts w:hint="eastAsia"/>
          <w:sz w:val="24"/>
          <w:szCs w:val="24"/>
        </w:rPr>
        <w:t>监测意义</w:t>
      </w:r>
      <w:r>
        <w:rPr>
          <w:sz w:val="24"/>
          <w:szCs w:val="24"/>
        </w:rPr>
        <w:tab/>
      </w:r>
      <w:r>
        <w:rPr>
          <w:sz w:val="24"/>
          <w:szCs w:val="24"/>
        </w:rPr>
        <w:fldChar w:fldCharType="begin"/>
      </w:r>
      <w:r>
        <w:rPr>
          <w:sz w:val="24"/>
          <w:szCs w:val="24"/>
        </w:rPr>
        <w:instrText xml:space="preserve"> PAGEREF _Toc5874 </w:instrText>
      </w:r>
      <w:r>
        <w:rPr>
          <w:sz w:val="24"/>
          <w:szCs w:val="24"/>
        </w:rPr>
        <w:fldChar w:fldCharType="separate"/>
      </w:r>
      <w:r>
        <w:rPr>
          <w:sz w:val="24"/>
          <w:szCs w:val="24"/>
        </w:rPr>
        <w:t>1</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1.</w:t>
      </w:r>
      <w:r>
        <w:rPr>
          <w:rFonts w:hint="eastAsia"/>
          <w:sz w:val="24"/>
          <w:szCs w:val="24"/>
        </w:rPr>
        <w:t>1</w:t>
      </w:r>
      <w:r>
        <w:rPr>
          <w:rFonts w:hint="eastAsia"/>
          <w:sz w:val="24"/>
          <w:szCs w:val="24"/>
          <w:lang w:eastAsia="zh-CN"/>
        </w:rPr>
        <w:t>高压开关柜/环网柜</w:t>
      </w:r>
      <w:r>
        <w:rPr>
          <w:rFonts w:hint="eastAsia"/>
          <w:sz w:val="24"/>
          <w:szCs w:val="24"/>
        </w:rPr>
        <w:t>温度监测的意义</w:t>
      </w:r>
      <w:r>
        <w:rPr>
          <w:sz w:val="24"/>
          <w:szCs w:val="24"/>
        </w:rPr>
        <w:tab/>
      </w:r>
      <w:r>
        <w:rPr>
          <w:sz w:val="24"/>
          <w:szCs w:val="24"/>
        </w:rPr>
        <w:fldChar w:fldCharType="begin"/>
      </w:r>
      <w:r>
        <w:rPr>
          <w:sz w:val="24"/>
          <w:szCs w:val="24"/>
        </w:rPr>
        <w:instrText xml:space="preserve"> PAGEREF _Toc16148 </w:instrText>
      </w:r>
      <w:r>
        <w:rPr>
          <w:sz w:val="24"/>
          <w:szCs w:val="24"/>
        </w:rPr>
        <w:fldChar w:fldCharType="separate"/>
      </w:r>
      <w:r>
        <w:rPr>
          <w:sz w:val="24"/>
          <w:szCs w:val="24"/>
        </w:rPr>
        <w:t>1</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1.</w:t>
      </w:r>
      <w:r>
        <w:rPr>
          <w:rFonts w:hint="eastAsia"/>
          <w:sz w:val="24"/>
          <w:szCs w:val="24"/>
        </w:rPr>
        <w:t>2</w:t>
      </w:r>
      <w:r>
        <w:rPr>
          <w:rFonts w:hint="eastAsia"/>
          <w:sz w:val="24"/>
          <w:szCs w:val="24"/>
          <w:lang w:eastAsia="zh-CN"/>
        </w:rPr>
        <w:t>高压开关柜/环网柜对温度监测的要求</w:t>
      </w:r>
      <w:r>
        <w:rPr>
          <w:sz w:val="24"/>
          <w:szCs w:val="24"/>
        </w:rPr>
        <w:tab/>
      </w:r>
      <w:r>
        <w:rPr>
          <w:sz w:val="24"/>
          <w:szCs w:val="24"/>
        </w:rPr>
        <w:fldChar w:fldCharType="begin"/>
      </w:r>
      <w:r>
        <w:rPr>
          <w:sz w:val="24"/>
          <w:szCs w:val="24"/>
        </w:rPr>
        <w:instrText xml:space="preserve"> PAGEREF _Toc5421 </w:instrText>
      </w:r>
      <w:r>
        <w:rPr>
          <w:sz w:val="24"/>
          <w:szCs w:val="24"/>
        </w:rPr>
        <w:fldChar w:fldCharType="separate"/>
      </w:r>
      <w:r>
        <w:rPr>
          <w:sz w:val="24"/>
          <w:szCs w:val="24"/>
        </w:rPr>
        <w:t>1</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二、监测系统架构</w:t>
      </w:r>
      <w:r>
        <w:rPr>
          <w:sz w:val="24"/>
          <w:szCs w:val="24"/>
        </w:rPr>
        <w:tab/>
      </w:r>
      <w:r>
        <w:rPr>
          <w:sz w:val="24"/>
          <w:szCs w:val="24"/>
        </w:rPr>
        <w:fldChar w:fldCharType="begin"/>
      </w:r>
      <w:r>
        <w:rPr>
          <w:sz w:val="24"/>
          <w:szCs w:val="24"/>
        </w:rPr>
        <w:instrText xml:space="preserve"> PAGEREF _Toc5396 </w:instrText>
      </w:r>
      <w:r>
        <w:rPr>
          <w:sz w:val="24"/>
          <w:szCs w:val="24"/>
        </w:rPr>
        <w:fldChar w:fldCharType="separate"/>
      </w:r>
      <w:r>
        <w:rPr>
          <w:sz w:val="24"/>
          <w:szCs w:val="24"/>
        </w:rPr>
        <w:t>2</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 xml:space="preserve">2.1 </w:t>
      </w:r>
      <w:r>
        <w:rPr>
          <w:rFonts w:hint="eastAsia"/>
          <w:sz w:val="24"/>
          <w:szCs w:val="24"/>
          <w:lang w:eastAsia="zh-CN"/>
        </w:rPr>
        <w:t>监测</w:t>
      </w:r>
      <w:r>
        <w:rPr>
          <w:rFonts w:hint="eastAsia"/>
          <w:sz w:val="24"/>
          <w:szCs w:val="24"/>
        </w:rPr>
        <w:t>系统建设目标</w:t>
      </w:r>
      <w:r>
        <w:rPr>
          <w:sz w:val="24"/>
          <w:szCs w:val="24"/>
        </w:rPr>
        <w:tab/>
      </w:r>
      <w:r>
        <w:rPr>
          <w:sz w:val="24"/>
          <w:szCs w:val="24"/>
        </w:rPr>
        <w:fldChar w:fldCharType="begin"/>
      </w:r>
      <w:r>
        <w:rPr>
          <w:sz w:val="24"/>
          <w:szCs w:val="24"/>
        </w:rPr>
        <w:instrText xml:space="preserve"> PAGEREF _Toc1467 </w:instrText>
      </w:r>
      <w:r>
        <w:rPr>
          <w:sz w:val="24"/>
          <w:szCs w:val="24"/>
        </w:rPr>
        <w:fldChar w:fldCharType="separate"/>
      </w:r>
      <w:r>
        <w:rPr>
          <w:sz w:val="24"/>
          <w:szCs w:val="24"/>
        </w:rPr>
        <w:t>2</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2.2系统架构设计</w:t>
      </w:r>
      <w:r>
        <w:rPr>
          <w:rFonts w:hint="eastAsia"/>
          <w:sz w:val="24"/>
          <w:szCs w:val="24"/>
          <w:lang w:eastAsia="zh-CN"/>
        </w:rPr>
        <w:t>及供电</w:t>
      </w:r>
      <w:r>
        <w:rPr>
          <w:sz w:val="24"/>
          <w:szCs w:val="24"/>
        </w:rPr>
        <w:tab/>
      </w:r>
      <w:r>
        <w:rPr>
          <w:sz w:val="24"/>
          <w:szCs w:val="24"/>
        </w:rPr>
        <w:fldChar w:fldCharType="begin"/>
      </w:r>
      <w:r>
        <w:rPr>
          <w:sz w:val="24"/>
          <w:szCs w:val="24"/>
        </w:rPr>
        <w:instrText xml:space="preserve"> PAGEREF _Toc15840 </w:instrText>
      </w:r>
      <w:r>
        <w:rPr>
          <w:sz w:val="24"/>
          <w:szCs w:val="24"/>
        </w:rPr>
        <w:fldChar w:fldCharType="separate"/>
      </w:r>
      <w:r>
        <w:rPr>
          <w:sz w:val="24"/>
          <w:szCs w:val="24"/>
        </w:rPr>
        <w:t>2</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三、</w:t>
      </w:r>
      <w:r>
        <w:rPr>
          <w:rFonts w:hint="eastAsia"/>
          <w:sz w:val="24"/>
          <w:szCs w:val="24"/>
          <w:lang w:eastAsia="zh-CN"/>
        </w:rPr>
        <w:t>温度监测传感器</w:t>
      </w:r>
      <w:r>
        <w:rPr>
          <w:sz w:val="24"/>
          <w:szCs w:val="24"/>
        </w:rPr>
        <w:tab/>
      </w:r>
      <w:r>
        <w:rPr>
          <w:sz w:val="24"/>
          <w:szCs w:val="24"/>
        </w:rPr>
        <w:fldChar w:fldCharType="begin"/>
      </w:r>
      <w:r>
        <w:rPr>
          <w:sz w:val="24"/>
          <w:szCs w:val="24"/>
        </w:rPr>
        <w:instrText xml:space="preserve"> PAGEREF _Toc9622 </w:instrText>
      </w:r>
      <w:r>
        <w:rPr>
          <w:sz w:val="24"/>
          <w:szCs w:val="24"/>
        </w:rPr>
        <w:fldChar w:fldCharType="separate"/>
      </w:r>
      <w:r>
        <w:rPr>
          <w:sz w:val="24"/>
          <w:szCs w:val="24"/>
        </w:rPr>
        <w:t>4</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3.1传感器总体设计</w:t>
      </w:r>
      <w:r>
        <w:rPr>
          <w:sz w:val="24"/>
          <w:szCs w:val="24"/>
        </w:rPr>
        <w:tab/>
      </w:r>
      <w:r>
        <w:rPr>
          <w:sz w:val="24"/>
          <w:szCs w:val="24"/>
        </w:rPr>
        <w:fldChar w:fldCharType="begin"/>
      </w:r>
      <w:r>
        <w:rPr>
          <w:sz w:val="24"/>
          <w:szCs w:val="24"/>
        </w:rPr>
        <w:instrText xml:space="preserve"> PAGEREF _Toc29363 </w:instrText>
      </w:r>
      <w:r>
        <w:rPr>
          <w:sz w:val="24"/>
          <w:szCs w:val="24"/>
        </w:rPr>
        <w:fldChar w:fldCharType="separate"/>
      </w:r>
      <w:r>
        <w:rPr>
          <w:sz w:val="24"/>
          <w:szCs w:val="24"/>
        </w:rPr>
        <w:t>4</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3.2传感器芯片的选择</w:t>
      </w:r>
      <w:r>
        <w:rPr>
          <w:sz w:val="24"/>
          <w:szCs w:val="24"/>
        </w:rPr>
        <w:tab/>
      </w:r>
      <w:r>
        <w:rPr>
          <w:sz w:val="24"/>
          <w:szCs w:val="24"/>
        </w:rPr>
        <w:fldChar w:fldCharType="begin"/>
      </w:r>
      <w:r>
        <w:rPr>
          <w:sz w:val="24"/>
          <w:szCs w:val="24"/>
        </w:rPr>
        <w:instrText xml:space="preserve"> PAGEREF _Toc8333 </w:instrText>
      </w:r>
      <w:r>
        <w:rPr>
          <w:sz w:val="24"/>
          <w:szCs w:val="24"/>
        </w:rPr>
        <w:fldChar w:fldCharType="separate"/>
      </w:r>
      <w:r>
        <w:rPr>
          <w:sz w:val="24"/>
          <w:szCs w:val="24"/>
        </w:rPr>
        <w:t>4</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3.3数据处理技术</w:t>
      </w:r>
      <w:r>
        <w:rPr>
          <w:sz w:val="24"/>
          <w:szCs w:val="24"/>
        </w:rPr>
        <w:tab/>
      </w:r>
      <w:r>
        <w:rPr>
          <w:sz w:val="24"/>
          <w:szCs w:val="24"/>
        </w:rPr>
        <w:fldChar w:fldCharType="begin"/>
      </w:r>
      <w:r>
        <w:rPr>
          <w:sz w:val="24"/>
          <w:szCs w:val="24"/>
        </w:rPr>
        <w:instrText xml:space="preserve"> PAGEREF _Toc12702 </w:instrText>
      </w:r>
      <w:r>
        <w:rPr>
          <w:sz w:val="24"/>
          <w:szCs w:val="24"/>
        </w:rPr>
        <w:fldChar w:fldCharType="separate"/>
      </w:r>
      <w:r>
        <w:rPr>
          <w:sz w:val="24"/>
          <w:szCs w:val="24"/>
        </w:rPr>
        <w:t>5</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3.4供电技术</w:t>
      </w:r>
      <w:r>
        <w:rPr>
          <w:sz w:val="24"/>
          <w:szCs w:val="24"/>
        </w:rPr>
        <w:tab/>
      </w:r>
      <w:r>
        <w:rPr>
          <w:sz w:val="24"/>
          <w:szCs w:val="24"/>
        </w:rPr>
        <w:fldChar w:fldCharType="begin"/>
      </w:r>
      <w:r>
        <w:rPr>
          <w:sz w:val="24"/>
          <w:szCs w:val="24"/>
        </w:rPr>
        <w:instrText xml:space="preserve"> PAGEREF _Toc24577 </w:instrText>
      </w:r>
      <w:r>
        <w:rPr>
          <w:sz w:val="24"/>
          <w:szCs w:val="24"/>
        </w:rPr>
        <w:fldChar w:fldCharType="separate"/>
      </w:r>
      <w:r>
        <w:rPr>
          <w:sz w:val="24"/>
          <w:szCs w:val="24"/>
        </w:rPr>
        <w:t>5</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3.5安装示例</w:t>
      </w:r>
      <w:r>
        <w:rPr>
          <w:sz w:val="24"/>
          <w:szCs w:val="24"/>
        </w:rPr>
        <w:tab/>
      </w:r>
      <w:r>
        <w:rPr>
          <w:sz w:val="24"/>
          <w:szCs w:val="24"/>
        </w:rPr>
        <w:fldChar w:fldCharType="begin"/>
      </w:r>
      <w:r>
        <w:rPr>
          <w:sz w:val="24"/>
          <w:szCs w:val="24"/>
        </w:rPr>
        <w:instrText xml:space="preserve"> PAGEREF _Toc23490 </w:instrText>
      </w:r>
      <w:r>
        <w:rPr>
          <w:sz w:val="24"/>
          <w:szCs w:val="24"/>
        </w:rPr>
        <w:fldChar w:fldCharType="separate"/>
      </w:r>
      <w:r>
        <w:rPr>
          <w:sz w:val="24"/>
          <w:szCs w:val="24"/>
        </w:rPr>
        <w:t>6</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四、</w:t>
      </w:r>
      <w:r>
        <w:rPr>
          <w:rFonts w:hint="eastAsia"/>
          <w:sz w:val="24"/>
          <w:szCs w:val="24"/>
          <w:lang w:eastAsia="zh-CN"/>
        </w:rPr>
        <w:t>温度采集器及后台</w:t>
      </w:r>
      <w:r>
        <w:rPr>
          <w:sz w:val="24"/>
          <w:szCs w:val="24"/>
        </w:rPr>
        <w:tab/>
      </w:r>
      <w:r>
        <w:rPr>
          <w:sz w:val="24"/>
          <w:szCs w:val="24"/>
        </w:rPr>
        <w:fldChar w:fldCharType="begin"/>
      </w:r>
      <w:r>
        <w:rPr>
          <w:sz w:val="24"/>
          <w:szCs w:val="24"/>
        </w:rPr>
        <w:instrText xml:space="preserve"> PAGEREF _Toc4273 </w:instrText>
      </w:r>
      <w:r>
        <w:rPr>
          <w:sz w:val="24"/>
          <w:szCs w:val="24"/>
        </w:rPr>
        <w:fldChar w:fldCharType="separate"/>
      </w:r>
      <w:r>
        <w:rPr>
          <w:sz w:val="24"/>
          <w:szCs w:val="24"/>
        </w:rPr>
        <w:t>7</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sz w:val="24"/>
          <w:szCs w:val="24"/>
        </w:rPr>
        <w:t>4</w:t>
      </w:r>
      <w:r>
        <w:rPr>
          <w:rFonts w:hint="eastAsia"/>
          <w:sz w:val="24"/>
          <w:szCs w:val="24"/>
        </w:rPr>
        <w:t>.1</w:t>
      </w:r>
      <w:r>
        <w:rPr>
          <w:rFonts w:hint="eastAsia"/>
          <w:sz w:val="24"/>
          <w:szCs w:val="24"/>
          <w:lang w:eastAsia="zh-CN"/>
        </w:rPr>
        <w:t>温度采集器</w:t>
      </w:r>
      <w:r>
        <w:rPr>
          <w:sz w:val="24"/>
          <w:szCs w:val="24"/>
        </w:rPr>
        <w:tab/>
      </w:r>
      <w:r>
        <w:rPr>
          <w:sz w:val="24"/>
          <w:szCs w:val="24"/>
        </w:rPr>
        <w:fldChar w:fldCharType="begin"/>
      </w:r>
      <w:r>
        <w:rPr>
          <w:sz w:val="24"/>
          <w:szCs w:val="24"/>
        </w:rPr>
        <w:instrText xml:space="preserve"> PAGEREF _Toc641 </w:instrText>
      </w:r>
      <w:r>
        <w:rPr>
          <w:sz w:val="24"/>
          <w:szCs w:val="24"/>
        </w:rPr>
        <w:fldChar w:fldCharType="separate"/>
      </w:r>
      <w:r>
        <w:rPr>
          <w:sz w:val="24"/>
          <w:szCs w:val="24"/>
        </w:rPr>
        <w:t>7</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sz w:val="24"/>
          <w:szCs w:val="24"/>
        </w:rPr>
        <w:t>4</w:t>
      </w:r>
      <w:r>
        <w:rPr>
          <w:rFonts w:hint="eastAsia"/>
          <w:sz w:val="24"/>
          <w:szCs w:val="24"/>
        </w:rPr>
        <w:t>.2</w:t>
      </w:r>
      <w:r>
        <w:rPr>
          <w:rFonts w:hint="eastAsia"/>
          <w:sz w:val="24"/>
          <w:szCs w:val="24"/>
          <w:lang w:eastAsia="zh-CN"/>
        </w:rPr>
        <w:t>监控中心</w:t>
      </w:r>
      <w:r>
        <w:rPr>
          <w:sz w:val="24"/>
          <w:szCs w:val="24"/>
        </w:rPr>
        <w:tab/>
      </w:r>
      <w:r>
        <w:rPr>
          <w:sz w:val="24"/>
          <w:szCs w:val="24"/>
        </w:rPr>
        <w:fldChar w:fldCharType="begin"/>
      </w:r>
      <w:r>
        <w:rPr>
          <w:sz w:val="24"/>
          <w:szCs w:val="24"/>
        </w:rPr>
        <w:instrText xml:space="preserve"> PAGEREF _Toc8102 </w:instrText>
      </w:r>
      <w:r>
        <w:rPr>
          <w:sz w:val="24"/>
          <w:szCs w:val="24"/>
        </w:rPr>
        <w:fldChar w:fldCharType="separate"/>
      </w:r>
      <w:r>
        <w:rPr>
          <w:sz w:val="24"/>
          <w:szCs w:val="24"/>
        </w:rPr>
        <w:t>8</w:t>
      </w:r>
      <w:r>
        <w:rPr>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4</w:t>
      </w:r>
      <w:r>
        <w:rPr>
          <w:rFonts w:hint="eastAsia"/>
          <w:sz w:val="24"/>
          <w:szCs w:val="24"/>
        </w:rPr>
        <w:t>.2.1硬件环境要求</w:t>
      </w:r>
      <w:r>
        <w:rPr>
          <w:sz w:val="24"/>
          <w:szCs w:val="24"/>
        </w:rPr>
        <w:tab/>
      </w:r>
      <w:r>
        <w:rPr>
          <w:sz w:val="24"/>
          <w:szCs w:val="24"/>
        </w:rPr>
        <w:fldChar w:fldCharType="begin"/>
      </w:r>
      <w:r>
        <w:rPr>
          <w:sz w:val="24"/>
          <w:szCs w:val="24"/>
        </w:rPr>
        <w:instrText xml:space="preserve"> PAGEREF _Toc17192 </w:instrText>
      </w:r>
      <w:r>
        <w:rPr>
          <w:sz w:val="24"/>
          <w:szCs w:val="24"/>
        </w:rPr>
        <w:fldChar w:fldCharType="separate"/>
      </w:r>
      <w:r>
        <w:rPr>
          <w:sz w:val="24"/>
          <w:szCs w:val="24"/>
        </w:rPr>
        <w:t>8</w:t>
      </w:r>
      <w:r>
        <w:rPr>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4</w:t>
      </w:r>
      <w:r>
        <w:rPr>
          <w:rFonts w:hint="eastAsia"/>
          <w:sz w:val="24"/>
          <w:szCs w:val="24"/>
        </w:rPr>
        <w:t>.2.2网络要求</w:t>
      </w:r>
      <w:r>
        <w:rPr>
          <w:sz w:val="24"/>
          <w:szCs w:val="24"/>
        </w:rPr>
        <w:tab/>
      </w:r>
      <w:r>
        <w:rPr>
          <w:sz w:val="24"/>
          <w:szCs w:val="24"/>
        </w:rPr>
        <w:fldChar w:fldCharType="begin"/>
      </w:r>
      <w:r>
        <w:rPr>
          <w:sz w:val="24"/>
          <w:szCs w:val="24"/>
        </w:rPr>
        <w:instrText xml:space="preserve"> PAGEREF _Toc12223 </w:instrText>
      </w:r>
      <w:r>
        <w:rPr>
          <w:sz w:val="24"/>
          <w:szCs w:val="24"/>
        </w:rPr>
        <w:fldChar w:fldCharType="separate"/>
      </w:r>
      <w:r>
        <w:rPr>
          <w:sz w:val="24"/>
          <w:szCs w:val="24"/>
        </w:rPr>
        <w:t>8</w:t>
      </w:r>
      <w:r>
        <w:rPr>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4.2.3应用软件</w:t>
      </w:r>
      <w:r>
        <w:rPr>
          <w:sz w:val="24"/>
          <w:szCs w:val="24"/>
        </w:rPr>
        <w:tab/>
      </w:r>
      <w:r>
        <w:rPr>
          <w:sz w:val="24"/>
          <w:szCs w:val="24"/>
        </w:rPr>
        <w:fldChar w:fldCharType="begin"/>
      </w:r>
      <w:r>
        <w:rPr>
          <w:sz w:val="24"/>
          <w:szCs w:val="24"/>
        </w:rPr>
        <w:instrText xml:space="preserve"> PAGEREF _Toc19668 </w:instrText>
      </w:r>
      <w:r>
        <w:rPr>
          <w:sz w:val="24"/>
          <w:szCs w:val="24"/>
        </w:rPr>
        <w:fldChar w:fldCharType="separate"/>
      </w:r>
      <w:r>
        <w:rPr>
          <w:sz w:val="24"/>
          <w:szCs w:val="24"/>
        </w:rPr>
        <w:t>8</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五、联系我们</w:t>
      </w:r>
      <w:r>
        <w:rPr>
          <w:sz w:val="24"/>
          <w:szCs w:val="24"/>
        </w:rPr>
        <w:tab/>
      </w:r>
      <w:r>
        <w:rPr>
          <w:sz w:val="24"/>
          <w:szCs w:val="24"/>
        </w:rPr>
        <w:fldChar w:fldCharType="begin"/>
      </w:r>
      <w:r>
        <w:rPr>
          <w:sz w:val="24"/>
          <w:szCs w:val="24"/>
        </w:rPr>
        <w:instrText xml:space="preserve"> PAGEREF _Toc21620 </w:instrText>
      </w:r>
      <w:r>
        <w:rPr>
          <w:sz w:val="24"/>
          <w:szCs w:val="24"/>
        </w:rPr>
        <w:fldChar w:fldCharType="separate"/>
      </w:r>
      <w:r>
        <w:rPr>
          <w:sz w:val="24"/>
          <w:szCs w:val="24"/>
        </w:rPr>
        <w:t>9</w:t>
      </w:r>
      <w:r>
        <w:rPr>
          <w:sz w:val="24"/>
          <w:szCs w:val="24"/>
        </w:rPr>
        <w:fldChar w:fldCharType="end"/>
      </w:r>
    </w:p>
    <w:p>
      <w:pPr>
        <w:tabs>
          <w:tab w:val="right" w:leader="dot" w:pos="8306"/>
        </w:tabs>
        <w:ind w:firstLine="0" w:firstLineChars="0"/>
        <w:rPr>
          <w:rFonts w:ascii="黑体" w:hAnsi="黑体" w:eastAsia="黑体" w:cs="黑体"/>
          <w:sz w:val="30"/>
          <w:szCs w:val="30"/>
        </w:rPr>
      </w:pPr>
      <w:r>
        <w:rPr>
          <w:rFonts w:hint="eastAsia" w:ascii="黑体" w:hAnsi="黑体" w:eastAsia="黑体" w:cs="黑体"/>
          <w:szCs w:val="30"/>
        </w:rPr>
        <w:fldChar w:fldCharType="end"/>
      </w:r>
    </w:p>
    <w:p>
      <w:pPr>
        <w:ind w:firstLine="600"/>
        <w:rPr>
          <w:rFonts w:ascii="黑体" w:hAnsi="黑体" w:eastAsia="黑体" w:cs="黑体"/>
          <w:sz w:val="30"/>
          <w:szCs w:val="30"/>
        </w:rPr>
      </w:pPr>
    </w:p>
    <w:p>
      <w:pPr>
        <w:ind w:firstLine="600"/>
        <w:rPr>
          <w:rFonts w:ascii="黑体" w:hAnsi="黑体" w:eastAsia="黑体" w:cs="黑体"/>
          <w:sz w:val="30"/>
          <w:szCs w:val="30"/>
        </w:rPr>
      </w:pPr>
    </w:p>
    <w:p>
      <w:pPr>
        <w:ind w:firstLine="600"/>
        <w:rPr>
          <w:rFonts w:ascii="黑体" w:hAnsi="黑体" w:eastAsia="黑体" w:cs="黑体"/>
          <w:sz w:val="30"/>
          <w:szCs w:val="30"/>
        </w:rPr>
      </w:pPr>
    </w:p>
    <w:p>
      <w:pPr>
        <w:ind w:firstLine="600"/>
        <w:rPr>
          <w:rFonts w:ascii="黑体" w:hAnsi="黑体" w:eastAsia="黑体" w:cs="黑体"/>
          <w:sz w:val="30"/>
          <w:szCs w:val="30"/>
        </w:rPr>
      </w:pPr>
    </w:p>
    <w:p>
      <w:pPr>
        <w:tabs>
          <w:tab w:val="left" w:pos="1373"/>
        </w:tabs>
        <w:ind w:left="0" w:leftChars="0" w:firstLine="0" w:firstLineChars="0"/>
        <w:jc w:val="left"/>
        <w:rPr>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bookmarkStart w:id="0" w:name="_Toc18883"/>
    </w:p>
    <w:p>
      <w:pPr>
        <w:pStyle w:val="2"/>
        <w:ind w:firstLine="0" w:firstLineChars="0"/>
        <w:jc w:val="left"/>
      </w:pPr>
      <w:bookmarkStart w:id="1" w:name="_Toc5874"/>
      <w:r>
        <w:rPr>
          <w:rFonts w:hint="eastAsia"/>
        </w:rPr>
        <w:t>一</w:t>
      </w:r>
      <w:bookmarkEnd w:id="0"/>
      <w:r>
        <w:rPr>
          <w:rFonts w:hint="eastAsia"/>
          <w:lang w:eastAsia="zh-CN"/>
        </w:rPr>
        <w:t>、</w:t>
      </w:r>
      <w:r>
        <w:rPr>
          <w:rFonts w:hint="eastAsia"/>
        </w:rPr>
        <w:t>监测意义</w:t>
      </w:r>
      <w:bookmarkEnd w:id="1"/>
    </w:p>
    <w:p>
      <w:pPr>
        <w:pStyle w:val="3"/>
      </w:pPr>
      <w:bookmarkStart w:id="2" w:name="_Toc16148"/>
      <w:r>
        <w:rPr>
          <w:rFonts w:hint="eastAsia"/>
          <w:lang w:val="en-US" w:eastAsia="zh-CN"/>
        </w:rPr>
        <w:t>1.</w:t>
      </w:r>
      <w:r>
        <w:rPr>
          <w:rFonts w:hint="eastAsia"/>
        </w:rPr>
        <w:t>1</w:t>
      </w:r>
      <w:r>
        <w:rPr>
          <w:rFonts w:hint="eastAsia"/>
          <w:lang w:eastAsia="zh-CN"/>
        </w:rPr>
        <w:t>高压开关柜/环网柜</w:t>
      </w:r>
      <w:r>
        <w:rPr>
          <w:rFonts w:hint="eastAsia"/>
        </w:rPr>
        <w:t>温度监测的意义</w:t>
      </w:r>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bookmarkStart w:id="3" w:name="_Toc2487"/>
      <w:r>
        <w:rPr>
          <w:rFonts w:hint="eastAsia" w:asciiTheme="minorEastAsia" w:hAnsiTheme="minorEastAsia" w:cstheme="minorEastAsia"/>
          <w:sz w:val="24"/>
          <w:szCs w:val="24"/>
          <w:lang w:eastAsia="zh-CN"/>
        </w:rPr>
        <w:t>高压开关柜/环网柜</w:t>
      </w:r>
      <w:r>
        <w:rPr>
          <w:rFonts w:hint="eastAsia" w:asciiTheme="minorEastAsia" w:hAnsiTheme="minorEastAsia" w:eastAsiaTheme="minorEastAsia" w:cstheme="minorEastAsia"/>
          <w:sz w:val="24"/>
          <w:szCs w:val="24"/>
        </w:rPr>
        <w:t>是变电站、电厂、电力传输最重要的电气设备之一。在设备长期运行过程中，开关柜中的断路器与开关柜之间的连接插头等部位会因制造、运输、安装不良及老化引起接触电阻过大而发热，如果这些发热部位的温度无法及时监测，得不到及时检修，则最终会导致烧毁开关柜的火灾事故发生，近年来，在很多发电厂和变电站都发生过开关柜过热事故，甚至“火烧连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在线实时监测、事故提前预防是解决开关柜内发热问题的关键所在。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国家电网公司十八项电网重大反事故措施》第11.7.2条提出：定期用红外测温设备检查开关设备的接头部、隔离开关的导电部分（重点部位：触头、出线座等），特别是在重负荷或高温期间，加强对运行设备温升的监视，发现问题及时采取措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监测开关柜内触点温度、母排温度及时发现不正常的运行情况，并及时采取措施可及时有效地防止开关柜的火灾发生。但由于开关柜全封闭运行，内部空间狭小并具有裸露高压，无法进行人工巡查测温。因此温度在线监测成为保证</w:t>
      </w:r>
      <w:r>
        <w:rPr>
          <w:rFonts w:hint="eastAsia" w:asciiTheme="minorEastAsia" w:hAnsiTheme="minorEastAsia" w:cstheme="minorEastAsia"/>
          <w:sz w:val="24"/>
          <w:szCs w:val="24"/>
          <w:lang w:eastAsia="zh-CN"/>
        </w:rPr>
        <w:t>高压开关柜/环网柜</w:t>
      </w:r>
      <w:r>
        <w:rPr>
          <w:rFonts w:hint="eastAsia" w:asciiTheme="minorEastAsia" w:hAnsiTheme="minorEastAsia" w:eastAsiaTheme="minorEastAsia" w:cstheme="minorEastAsia"/>
          <w:sz w:val="24"/>
          <w:szCs w:val="24"/>
        </w:rPr>
        <w:t>安全运行的重要手段。</w:t>
      </w:r>
    </w:p>
    <w:p>
      <w:pPr>
        <w:tabs>
          <w:tab w:val="left" w:pos="1800"/>
        </w:tabs>
        <w:autoSpaceDE w:val="0"/>
        <w:adjustRightInd w:val="0"/>
        <w:snapToGrid w:val="0"/>
        <w:spacing w:line="360" w:lineRule="auto"/>
        <w:ind w:left="0" w:leftChars="0" w:firstLine="0" w:firstLineChars="0"/>
        <w:jc w:val="center"/>
        <w:textAlignment w:val="baseline"/>
        <w:rPr>
          <w:rFonts w:asciiTheme="minorEastAsia" w:hAnsiTheme="minorEastAsia" w:cstheme="minorEastAsia"/>
          <w:color w:val="000000"/>
          <w:kern w:val="0"/>
          <w:sz w:val="24"/>
        </w:rPr>
      </w:pPr>
      <w:r>
        <w:rPr>
          <w:rFonts w:hint="eastAsia" w:ascii="宋体" w:hAnsi="宋体" w:eastAsia="宋体" w:cs="宋体"/>
          <w:b/>
          <w:sz w:val="28"/>
          <w:szCs w:val="28"/>
        </w:rPr>
        <w:drawing>
          <wp:inline distT="0" distB="0" distL="114300" distR="114300">
            <wp:extent cx="1638935" cy="1318895"/>
            <wp:effectExtent l="0" t="0" r="18415" b="14605"/>
            <wp:docPr id="21" name="图片 21" descr="6062572_16130436217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062572_161304362172_2"/>
                    <pic:cNvPicPr>
                      <a:picLocks noChangeAspect="1"/>
                    </pic:cNvPicPr>
                  </pic:nvPicPr>
                  <pic:blipFill>
                    <a:blip r:embed="rId8"/>
                    <a:srcRect b="5138"/>
                    <a:stretch>
                      <a:fillRect/>
                    </a:stretch>
                  </pic:blipFill>
                  <pic:spPr>
                    <a:xfrm>
                      <a:off x="0" y="0"/>
                      <a:ext cx="1638935" cy="1318895"/>
                    </a:xfrm>
                    <a:prstGeom prst="rect">
                      <a:avLst/>
                    </a:prstGeom>
                  </pic:spPr>
                </pic:pic>
              </a:graphicData>
            </a:graphic>
          </wp:inline>
        </w:drawing>
      </w:r>
      <w:r>
        <w:rPr>
          <w:rFonts w:hint="eastAsia" w:ascii="宋体" w:hAnsi="宋体" w:eastAsia="宋体" w:cs="宋体"/>
          <w:b/>
          <w:sz w:val="28"/>
          <w:szCs w:val="28"/>
          <w:lang w:val="en-US" w:eastAsia="zh-CN"/>
        </w:rPr>
        <w:t xml:space="preserve"> </w:t>
      </w:r>
      <w:r>
        <w:drawing>
          <wp:inline distT="0" distB="0" distL="114300" distR="114300">
            <wp:extent cx="1709420" cy="1318260"/>
            <wp:effectExtent l="0" t="0" r="508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709420" cy="13182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71320" cy="134874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1671320" cy="1348740"/>
                    </a:xfrm>
                    <a:prstGeom prst="rect">
                      <a:avLst/>
                    </a:prstGeom>
                    <a:noFill/>
                    <a:ln w="9525">
                      <a:noFill/>
                    </a:ln>
                  </pic:spPr>
                </pic:pic>
              </a:graphicData>
            </a:graphic>
          </wp:inline>
        </w:drawing>
      </w:r>
    </w:p>
    <w:p>
      <w:pPr>
        <w:pStyle w:val="3"/>
      </w:pPr>
      <w:bookmarkStart w:id="4" w:name="_Toc5421"/>
      <w:r>
        <w:rPr>
          <w:rFonts w:hint="eastAsia"/>
          <w:lang w:val="en-US" w:eastAsia="zh-CN"/>
        </w:rPr>
        <w:t>1.</w:t>
      </w:r>
      <w:r>
        <w:rPr>
          <w:rFonts w:hint="eastAsia"/>
        </w:rPr>
        <w:t>2</w:t>
      </w:r>
      <w:r>
        <w:rPr>
          <w:rFonts w:hint="eastAsia"/>
          <w:lang w:eastAsia="zh-CN"/>
        </w:rPr>
        <w:t>高压开关柜/环网柜对温度监测的要求</w:t>
      </w:r>
      <w:bookmarkEnd w:id="4"/>
    </w:p>
    <w:p>
      <w:pPr>
        <w:numPr>
          <w:ilvl w:val="0"/>
          <w:numId w:val="1"/>
        </w:numPr>
        <w:ind w:left="420" w:leftChars="0" w:hanging="420" w:firstLineChars="0"/>
        <w:rPr>
          <w:rFonts w:hint="eastAsia"/>
          <w:sz w:val="24"/>
          <w:szCs w:val="24"/>
          <w:lang w:val="en-US" w:eastAsia="zh-CN"/>
        </w:rPr>
      </w:pPr>
      <w:r>
        <w:rPr>
          <w:rFonts w:hint="eastAsia"/>
          <w:sz w:val="24"/>
          <w:szCs w:val="24"/>
          <w:lang w:val="en-US" w:eastAsia="zh-CN"/>
        </w:rPr>
        <w:t>不影响电气特性，主要是绝缘性能；</w:t>
      </w:r>
    </w:p>
    <w:p>
      <w:pPr>
        <w:numPr>
          <w:ilvl w:val="0"/>
          <w:numId w:val="1"/>
        </w:numPr>
        <w:ind w:left="420" w:leftChars="0" w:hanging="420" w:firstLineChars="0"/>
        <w:rPr>
          <w:rFonts w:hint="eastAsia"/>
          <w:sz w:val="24"/>
          <w:szCs w:val="24"/>
          <w:lang w:val="en-US" w:eastAsia="zh-CN"/>
        </w:rPr>
      </w:pPr>
      <w:r>
        <w:rPr>
          <w:rFonts w:hint="eastAsia"/>
          <w:sz w:val="24"/>
          <w:szCs w:val="24"/>
          <w:lang w:val="en-US" w:eastAsia="zh-CN"/>
        </w:rPr>
        <w:t>信号稳定性好，易维护，如信号传输不被高压环境干扰；</w:t>
      </w:r>
    </w:p>
    <w:p>
      <w:pPr>
        <w:numPr>
          <w:ilvl w:val="0"/>
          <w:numId w:val="1"/>
        </w:numPr>
        <w:ind w:left="420" w:leftChars="0" w:hanging="420" w:firstLineChars="0"/>
        <w:rPr>
          <w:rFonts w:asciiTheme="minorEastAsia" w:hAnsiTheme="minorEastAsia" w:cstheme="minorEastAsia"/>
          <w:color w:val="000000"/>
          <w:kern w:val="0"/>
          <w:sz w:val="24"/>
        </w:rPr>
      </w:pPr>
      <w:r>
        <w:rPr>
          <w:rFonts w:hint="eastAsia"/>
          <w:sz w:val="24"/>
          <w:szCs w:val="24"/>
          <w:lang w:val="en-US" w:eastAsia="zh-CN"/>
        </w:rPr>
        <w:t>监测数据实时反应母排温度变化状况；</w:t>
      </w:r>
    </w:p>
    <w:bookmarkEnd w:id="3"/>
    <w:p>
      <w:pPr>
        <w:pStyle w:val="2"/>
        <w:ind w:firstLine="0" w:firstLineChars="0"/>
      </w:pPr>
      <w:bookmarkStart w:id="5" w:name="_Toc13801"/>
      <w:bookmarkStart w:id="6" w:name="_Toc5396"/>
      <w:r>
        <w:rPr>
          <w:rFonts w:hint="eastAsia"/>
        </w:rPr>
        <w:t>二、监测系统</w:t>
      </w:r>
      <w:bookmarkEnd w:id="5"/>
      <w:r>
        <w:rPr>
          <w:rFonts w:hint="eastAsia"/>
        </w:rPr>
        <w:t>架构</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sz w:val="28"/>
          <w:szCs w:val="28"/>
        </w:rPr>
      </w:pPr>
      <w:r>
        <w:rPr>
          <w:rFonts w:hint="eastAsia" w:asciiTheme="minorEastAsia" w:hAnsiTheme="minorEastAsia" w:cstheme="minorEastAsia"/>
          <w:sz w:val="24"/>
        </w:rPr>
        <w:t>系统可分为监控中心和远端采集器。其中远端采集器负责信息的采集和预处理，将温度传感器感应到信号</w:t>
      </w:r>
      <w:r>
        <w:rPr>
          <w:rFonts w:hint="eastAsia" w:asciiTheme="minorEastAsia" w:hAnsiTheme="minorEastAsia" w:cstheme="minorEastAsia"/>
          <w:sz w:val="24"/>
          <w:lang w:eastAsia="zh-CN"/>
        </w:rPr>
        <w:t>进行处理</w:t>
      </w:r>
      <w:r>
        <w:rPr>
          <w:rFonts w:hint="eastAsia" w:asciiTheme="minorEastAsia" w:hAnsiTheme="minorEastAsia" w:cstheme="minorEastAsia"/>
          <w:sz w:val="24"/>
        </w:rPr>
        <w:t>并传送</w:t>
      </w:r>
      <w:r>
        <w:rPr>
          <w:rFonts w:hint="eastAsia" w:asciiTheme="minorEastAsia" w:hAnsiTheme="minorEastAsia" w:cstheme="minorEastAsia"/>
          <w:sz w:val="24"/>
          <w:lang w:eastAsia="zh-CN"/>
        </w:rPr>
        <w:t>到后台，根据远端采集器与传感器的连接方式，分为无线测温和连线测温</w:t>
      </w:r>
      <w:r>
        <w:rPr>
          <w:rFonts w:hint="eastAsia" w:asciiTheme="minorEastAsia" w:hAnsiTheme="minorEastAsia" w:cstheme="minorEastAsia"/>
          <w:sz w:val="24"/>
        </w:rPr>
        <w:t>。监控中心负责所辖区域内远端采集器上传信号的收集、记录、温度显示，若出现异常将告警信息传递给相关维护人员。在后期系统扩容中，监控中心配置不必改变，只需增加相应RTU监控点，集中收集到监控中心，即可完成对所辖区域内电缆测温点集中监控管理。若系统发生告警，系统可通过电话、短信、本地多媒体声光等多种方式进行告警，及时通知各责任人，便于采取有效措施进行防范。</w:t>
      </w:r>
    </w:p>
    <w:p>
      <w:pPr>
        <w:pStyle w:val="3"/>
      </w:pPr>
      <w:bookmarkStart w:id="7" w:name="_Toc25709"/>
      <w:bookmarkStart w:id="8" w:name="_Toc1467"/>
      <w:bookmarkStart w:id="9" w:name="_Toc5555_WPSOffice_Level1"/>
      <w:bookmarkStart w:id="10" w:name="_Toc28886"/>
      <w:bookmarkStart w:id="11" w:name="_Toc26787_WPSOffice_Level1"/>
      <w:bookmarkStart w:id="12" w:name="_Toc463712450"/>
      <w:bookmarkStart w:id="13" w:name="_Toc22583"/>
      <w:r>
        <w:rPr>
          <w:rFonts w:hint="eastAsia"/>
        </w:rPr>
        <w:t xml:space="preserve">2.1 </w:t>
      </w:r>
      <w:r>
        <w:rPr>
          <w:rFonts w:hint="eastAsia"/>
          <w:lang w:eastAsia="zh-CN"/>
        </w:rPr>
        <w:t>监测</w:t>
      </w:r>
      <w:r>
        <w:rPr>
          <w:rFonts w:hint="eastAsia"/>
        </w:rPr>
        <w:t>系统建设目标</w:t>
      </w:r>
      <w:bookmarkEnd w:id="7"/>
      <w:bookmarkEnd w:id="8"/>
      <w:bookmarkEnd w:id="9"/>
      <w:bookmarkEnd w:id="10"/>
      <w:bookmarkEnd w:id="11"/>
      <w:bookmarkEnd w:id="12"/>
      <w:bookmarkEnd w:id="13"/>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rPr>
        <w:t>实时监测，分级集中管理。具有统计，查询和打印各类表格的功能，提高维护和管理水平。</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rPr>
        <w:t>及时报警，自动排障，能实时掌握系统所属各端局设备的维护作业等运行情况。</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lang w:eastAsia="zh-CN"/>
        </w:rPr>
        <w:t>优化传统检测方式</w:t>
      </w:r>
      <w:r>
        <w:rPr>
          <w:rFonts w:hint="eastAsia" w:ascii="宋体" w:hAnsi="宋体"/>
          <w:sz w:val="24"/>
          <w:szCs w:val="24"/>
        </w:rPr>
        <w:t>，由人工检查升级到电子科技设备测试，做到了实时在线监测。</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rPr>
        <w:t>节省电力部门的运作成本</w:t>
      </w:r>
      <w:r>
        <w:rPr>
          <w:rFonts w:hint="eastAsia" w:ascii="宋体" w:hAnsi="宋体"/>
          <w:sz w:val="24"/>
          <w:szCs w:val="24"/>
          <w:lang w:eastAsia="zh-CN"/>
        </w:rPr>
        <w:t>，</w:t>
      </w:r>
      <w:r>
        <w:rPr>
          <w:rFonts w:hint="eastAsia" w:ascii="宋体" w:hAnsi="宋体"/>
          <w:sz w:val="24"/>
          <w:szCs w:val="24"/>
        </w:rPr>
        <w:t>能有效的提高工作效。</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lang w:val="en-US" w:eastAsia="zh-CN"/>
        </w:rPr>
      </w:pPr>
      <w:r>
        <w:rPr>
          <w:rFonts w:hint="eastAsia" w:ascii="宋体" w:hAnsi="宋体"/>
          <w:sz w:val="24"/>
          <w:szCs w:val="24"/>
          <w:lang w:val="en-US" w:eastAsia="zh-CN"/>
        </w:rPr>
        <w:t>具备联动装置，险情发生时可以通过自动设置启动联动设备。</w:t>
      </w:r>
    </w:p>
    <w:p>
      <w:pPr>
        <w:pStyle w:val="3"/>
        <w:rPr>
          <w:rFonts w:hint="eastAsia" w:eastAsia="仿宋"/>
          <w:lang w:eastAsia="zh-CN"/>
        </w:rPr>
      </w:pPr>
      <w:bookmarkStart w:id="14" w:name="_Toc14500"/>
      <w:bookmarkStart w:id="15" w:name="_Toc9487_WPSOffice_Level1"/>
      <w:bookmarkStart w:id="16" w:name="_Toc2379"/>
      <w:bookmarkStart w:id="17" w:name="_Toc463712451"/>
      <w:bookmarkStart w:id="18" w:name="_Toc21967_WPSOffice_Level1"/>
      <w:bookmarkStart w:id="19" w:name="_Toc651"/>
      <w:bookmarkStart w:id="20" w:name="_Toc15840"/>
      <w:r>
        <w:rPr>
          <w:rFonts w:hint="eastAsia"/>
        </w:rPr>
        <w:t>2.2系统架构设计</w:t>
      </w:r>
      <w:bookmarkEnd w:id="14"/>
      <w:bookmarkEnd w:id="15"/>
      <w:bookmarkEnd w:id="16"/>
      <w:bookmarkEnd w:id="17"/>
      <w:bookmarkEnd w:id="18"/>
      <w:r>
        <w:rPr>
          <w:rFonts w:hint="eastAsia"/>
          <w:lang w:eastAsia="zh-CN"/>
        </w:rPr>
        <w:t>及供电</w:t>
      </w:r>
      <w:bookmarkEnd w:id="19"/>
      <w:bookmarkEnd w:id="20"/>
    </w:p>
    <w:p>
      <w:pPr>
        <w:snapToGrid w:val="0"/>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我公司基于在本行业的长期积累，针对此类问题进行了深入研究，开发集成了</w:t>
      </w:r>
      <w:r>
        <w:rPr>
          <w:rFonts w:hint="eastAsia" w:ascii="宋体" w:hAnsi="宋体" w:eastAsia="宋体" w:cs="宋体"/>
          <w:sz w:val="24"/>
          <w:szCs w:val="24"/>
          <w:lang w:eastAsia="zh-CN"/>
        </w:rPr>
        <w:t>本体温度</w:t>
      </w:r>
      <w:r>
        <w:rPr>
          <w:rFonts w:hint="eastAsia" w:ascii="宋体" w:hAnsi="宋体" w:eastAsia="宋体" w:cs="宋体"/>
          <w:sz w:val="24"/>
          <w:szCs w:val="24"/>
        </w:rPr>
        <w:t>在线监测系统，对</w:t>
      </w:r>
      <w:r>
        <w:rPr>
          <w:rFonts w:hint="eastAsia" w:ascii="宋体" w:hAnsi="宋体" w:eastAsia="宋体" w:cs="宋体"/>
          <w:sz w:val="24"/>
          <w:szCs w:val="24"/>
          <w:lang w:eastAsia="zh-CN"/>
        </w:rPr>
        <w:t>高压开关柜/环网柜易热部位进行</w:t>
      </w:r>
      <w:r>
        <w:rPr>
          <w:rFonts w:hint="eastAsia" w:ascii="宋体" w:hAnsi="宋体" w:eastAsia="宋体" w:cs="宋体"/>
          <w:sz w:val="24"/>
          <w:szCs w:val="24"/>
        </w:rPr>
        <w:t>全面的实时监测，并对运行中存在的缺陷提供专家诊断及综合解决方案与技术服务。具体而言，</w:t>
      </w:r>
      <w:r>
        <w:rPr>
          <w:rFonts w:hint="eastAsia" w:ascii="宋体" w:hAnsi="宋体" w:eastAsia="宋体" w:cs="宋体"/>
          <w:sz w:val="24"/>
          <w:szCs w:val="24"/>
          <w:lang w:eastAsia="zh-CN"/>
        </w:rPr>
        <w:t>温度在线</w:t>
      </w:r>
      <w:r>
        <w:rPr>
          <w:rFonts w:hint="eastAsia" w:ascii="宋体" w:hAnsi="宋体" w:eastAsia="宋体" w:cs="宋体"/>
          <w:sz w:val="24"/>
          <w:szCs w:val="24"/>
        </w:rPr>
        <w:t>监测系统从起火因素火源、爆炸因素气体、到火灾形成初期，逐个阶段、逐一因素层层监测预警、布控，把事故损失降低到最小，最后对危情进行有效管控。</w:t>
      </w:r>
    </w:p>
    <w:p>
      <w:pPr>
        <w:keepNext w:val="0"/>
        <w:keepLines w:val="0"/>
        <w:pageBreakBefore w:val="0"/>
        <w:widowControl w:val="0"/>
        <w:numPr>
          <w:ilvl w:val="0"/>
          <w:numId w:val="3"/>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4"/>
          <w:szCs w:val="24"/>
        </w:rPr>
      </w:pPr>
      <w:r>
        <w:rPr>
          <w:rFonts w:hint="eastAsia" w:ascii="宋体" w:hAnsi="宋体" w:eastAsia="宋体" w:cs="宋体"/>
          <w:sz w:val="24"/>
          <w:szCs w:val="24"/>
        </w:rPr>
        <w:t>火灾事故监测与联动灭火（温湿度、</w:t>
      </w:r>
      <w:r>
        <w:rPr>
          <w:rFonts w:hint="eastAsia" w:ascii="宋体" w:hAnsi="宋体" w:eastAsia="宋体" w:cs="宋体"/>
          <w:sz w:val="24"/>
          <w:szCs w:val="24"/>
          <w:lang w:eastAsia="zh-CN"/>
        </w:rPr>
        <w:t>风机</w:t>
      </w:r>
      <w:r>
        <w:rPr>
          <w:rFonts w:hint="eastAsia" w:ascii="宋体" w:hAnsi="宋体" w:eastAsia="宋体" w:cs="宋体"/>
          <w:sz w:val="24"/>
          <w:szCs w:val="24"/>
        </w:rPr>
        <w:t>、灭火球</w:t>
      </w:r>
      <w:r>
        <w:rPr>
          <w:rFonts w:hint="eastAsia" w:ascii="宋体" w:hAnsi="宋体" w:cs="宋体"/>
          <w:sz w:val="24"/>
          <w:szCs w:val="24"/>
          <w:lang w:eastAsia="zh-CN"/>
        </w:rPr>
        <w:t>联动</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val="0"/>
        <w:spacing w:line="360" w:lineRule="auto"/>
        <w:ind w:firstLine="0" w:firstLineChars="0"/>
        <w:textAlignment w:val="auto"/>
        <w:outlineLvl w:val="9"/>
        <w:rPr>
          <w:rFonts w:ascii="宋体" w:hAnsi="宋体" w:eastAsia="宋体" w:cs="宋体"/>
          <w:kern w:val="0"/>
          <w:lang w:bidi="ar"/>
        </w:rPr>
      </w:pPr>
      <w:r>
        <w:drawing>
          <wp:inline distT="0" distB="0" distL="114300" distR="114300">
            <wp:extent cx="4996180" cy="4479925"/>
            <wp:effectExtent l="0" t="0" r="13970"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4996180" cy="44799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rPr>
          <w:rFonts w:hint="eastAsia" w:ascii="宋体" w:hAnsi="宋体"/>
          <w:sz w:val="24"/>
          <w:szCs w:val="24"/>
          <w:lang w:val="en-US" w:eastAsia="zh-CN"/>
        </w:rPr>
      </w:pPr>
      <w:r>
        <w:rPr>
          <w:rFonts w:hint="eastAsia" w:ascii="宋体" w:hAnsi="宋体"/>
          <w:sz w:val="24"/>
          <w:szCs w:val="24"/>
          <w:lang w:val="en-US" w:eastAsia="zh-CN"/>
        </w:rPr>
        <w:t>我司根据开关柜在供电上设计有两种类型的电源，分别是CT取电和市电供电，以便多种场合采用合适的方式进行安装配置，是通有市电电源的，这种环境要保障的是转换电源IP等级要高，以满足沟道环境；</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rPr>
          <w:rFonts w:hint="eastAsia" w:ascii="宋体" w:hAnsi="宋体"/>
          <w:sz w:val="24"/>
          <w:szCs w:val="24"/>
          <w:lang w:val="en-US" w:eastAsia="zh-CN"/>
        </w:rPr>
      </w:pPr>
    </w:p>
    <w:p>
      <w:pPr>
        <w:ind w:left="0" w:leftChars="0" w:firstLine="0" w:firstLineChars="0"/>
        <w:jc w:val="center"/>
        <w:rPr>
          <w:rFonts w:hint="eastAsia"/>
          <w:sz w:val="24"/>
          <w:szCs w:val="24"/>
          <w:lang w:val="en-US" w:eastAsia="zh-CN"/>
        </w:rPr>
      </w:pPr>
      <w:r>
        <w:drawing>
          <wp:inline distT="0" distB="0" distL="114300" distR="114300">
            <wp:extent cx="2505075" cy="1922145"/>
            <wp:effectExtent l="0" t="0" r="952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2505075" cy="19221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07920" cy="1899285"/>
            <wp:effectExtent l="0" t="0" r="1143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2407920" cy="1899285"/>
                    </a:xfrm>
                    <a:prstGeom prst="rect">
                      <a:avLst/>
                    </a:prstGeom>
                    <a:noFill/>
                    <a:ln w="9525">
                      <a:noFill/>
                    </a:ln>
                  </pic:spPr>
                </pic:pic>
              </a:graphicData>
            </a:graphic>
          </wp:inline>
        </w:drawing>
      </w:r>
    </w:p>
    <w:p>
      <w:pPr>
        <w:ind w:left="0" w:leftChars="0" w:firstLine="1440" w:firstLineChars="600"/>
        <w:rPr>
          <w:rFonts w:hint="eastAsia"/>
          <w:sz w:val="24"/>
          <w:szCs w:val="24"/>
          <w:lang w:val="en-US" w:eastAsia="zh-CN"/>
        </w:rPr>
      </w:pPr>
      <w:r>
        <w:rPr>
          <w:rFonts w:hint="eastAsia"/>
          <w:sz w:val="24"/>
          <w:szCs w:val="24"/>
          <w:lang w:val="en-US" w:eastAsia="zh-CN"/>
        </w:rPr>
        <w:t>CT取电                          市电供电</w:t>
      </w: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pStyle w:val="2"/>
        <w:ind w:firstLine="0" w:firstLineChars="0"/>
      </w:pPr>
      <w:bookmarkStart w:id="21" w:name="_Toc2076"/>
      <w:bookmarkStart w:id="22" w:name="_Toc9622"/>
      <w:r>
        <w:rPr>
          <w:rFonts w:hint="eastAsia"/>
        </w:rPr>
        <w:t>三、</w:t>
      </w:r>
      <w:bookmarkEnd w:id="21"/>
      <w:r>
        <w:rPr>
          <w:rFonts w:hint="eastAsia"/>
          <w:lang w:eastAsia="zh-CN"/>
        </w:rPr>
        <w:t>温度监测传感器</w:t>
      </w:r>
      <w:bookmarkEnd w:id="22"/>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在高压开关柜/环网柜中，为满足其对温度监测的要求，光纤监测因为无法实现被测处的绝缘要求、热电偶也同样无法绝缘，红外监测则要求被测传感器长期供电具受环境干扰和材料干扰比较多，无法真正实现长期在线监测，最适应监测的方案是半导体集成方案。</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特点：</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启动电流小，</w:t>
      </w:r>
      <w:r>
        <w:rPr>
          <w:rFonts w:hint="eastAsia" w:ascii="宋体" w:hAnsi="宋体" w:cs="宋体"/>
          <w:kern w:val="0"/>
          <w:sz w:val="24"/>
          <w:lang w:val="en-US" w:eastAsia="zh-CN"/>
        </w:rPr>
        <w:t>10A就能启动</w:t>
      </w:r>
      <w:r>
        <w:rPr>
          <w:rFonts w:hint="eastAsia" w:ascii="宋体" w:hAnsi="宋体" w:cs="宋体"/>
          <w:kern w:val="0"/>
          <w:sz w:val="24"/>
          <w:lang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阻燃材料，</w:t>
      </w:r>
      <w:bookmarkStart w:id="43" w:name="_GoBack"/>
      <w:bookmarkEnd w:id="43"/>
      <w:r>
        <w:rPr>
          <w:rFonts w:hint="eastAsia" w:ascii="宋体" w:hAnsi="宋体" w:cs="宋体"/>
          <w:kern w:val="0"/>
          <w:sz w:val="24"/>
          <w:lang w:val="en-US" w:eastAsia="zh-CN"/>
        </w:rPr>
        <w:t>一体化封装</w:t>
      </w:r>
      <w:r>
        <w:rPr>
          <w:rFonts w:hint="eastAsia" w:ascii="宋体" w:hAnsi="宋体" w:cs="宋体"/>
          <w:kern w:val="0"/>
          <w:sz w:val="24"/>
          <w:lang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质量体积小，适用各种场合；</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无源测温，无线发送数据；</w:t>
      </w:r>
    </w:p>
    <w:p>
      <w:pPr>
        <w:pStyle w:val="3"/>
        <w:rPr>
          <w:rFonts w:hint="eastAsia" w:eastAsia="黑体"/>
          <w:szCs w:val="22"/>
          <w:lang w:val="en-US" w:eastAsia="zh-CN"/>
        </w:rPr>
      </w:pPr>
      <w:bookmarkStart w:id="23" w:name="_Toc29363"/>
      <w:r>
        <w:rPr>
          <w:rFonts w:hint="eastAsia"/>
          <w:szCs w:val="22"/>
          <w:lang w:val="en-US" w:eastAsia="zh-CN"/>
        </w:rPr>
        <w:t>3.1传感器总体</w:t>
      </w:r>
      <w:bookmarkEnd w:id="23"/>
      <w:r>
        <w:rPr>
          <w:rFonts w:hint="eastAsia"/>
          <w:szCs w:val="22"/>
          <w:lang w:val="en-US" w:eastAsia="zh-CN"/>
        </w:rPr>
        <w:t>设计</w:t>
      </w:r>
    </w:p>
    <w:p>
      <w:pPr>
        <w:rPr>
          <w:rFonts w:hint="eastAsia"/>
          <w:sz w:val="24"/>
          <w:szCs w:val="24"/>
          <w:lang w:val="en-US" w:eastAsia="zh-CN"/>
        </w:rPr>
      </w:pPr>
      <w:r>
        <w:rPr>
          <w:rFonts w:hint="eastAsia"/>
          <w:sz w:val="24"/>
          <w:szCs w:val="24"/>
          <w:lang w:val="en-US" w:eastAsia="zh-CN"/>
        </w:rPr>
        <w:t>半导体接触式温度传感器大致可分为两大类，即模拟输出型和数字输出型，外观上看都是一片芯片类型的温度传感器。根据高压开关柜/环网柜的监测环境，需要把传感芯片和无线传感技术融入到半导体集成当中，总体设计结构如下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eastAsiaTheme="minorEastAsia"/>
          <w:lang w:val="en-US" w:eastAsia="zh-CN"/>
        </w:rPr>
      </w:pPr>
      <w:r>
        <w:drawing>
          <wp:inline distT="0" distB="0" distL="114300" distR="114300">
            <wp:extent cx="4447540" cy="1219200"/>
            <wp:effectExtent l="0" t="0" r="1016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4447540" cy="1219200"/>
                    </a:xfrm>
                    <a:prstGeom prst="rect">
                      <a:avLst/>
                    </a:prstGeom>
                    <a:noFill/>
                    <a:ln w="9525">
                      <a:noFill/>
                    </a:ln>
                  </pic:spPr>
                </pic:pic>
              </a:graphicData>
            </a:graphic>
          </wp:inline>
        </w:drawing>
      </w:r>
    </w:p>
    <w:p>
      <w:pPr>
        <w:pStyle w:val="3"/>
        <w:rPr>
          <w:rFonts w:hint="eastAsia"/>
          <w:szCs w:val="22"/>
          <w:lang w:val="en-US" w:eastAsia="zh-CN"/>
        </w:rPr>
      </w:pPr>
      <w:bookmarkStart w:id="24" w:name="_Toc8333"/>
      <w:r>
        <w:rPr>
          <w:rFonts w:hint="eastAsia"/>
          <w:szCs w:val="22"/>
          <w:lang w:val="en-US" w:eastAsia="zh-CN"/>
        </w:rPr>
        <w:t>3.2传感器芯片的选择</w:t>
      </w:r>
      <w:bookmarkEnd w:id="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传感器芯片中分为数字型输出和模拟型输出，主要区别是数字型输出芯片把AD处理部分封闭在芯片内部，而模拟型输出是只输出模拟量，AD和温度补偿部分都需要通过数字信号进行计算和优化。各自的特点如下：</w:t>
      </w:r>
    </w:p>
    <w:tbl>
      <w:tblPr>
        <w:tblStyle w:val="17"/>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lang w:val="en-US" w:eastAsia="zh-CN"/>
              </w:rPr>
              <w:t>类型</w:t>
            </w:r>
          </w:p>
        </w:tc>
        <w:tc>
          <w:tcPr>
            <w:tcW w:w="1705"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采集时间</w:t>
            </w:r>
          </w:p>
        </w:tc>
        <w:tc>
          <w:tcPr>
            <w:tcW w:w="1706"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输出形式</w:t>
            </w:r>
          </w:p>
        </w:tc>
        <w:tc>
          <w:tcPr>
            <w:tcW w:w="1706"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测温精度℃</w:t>
            </w:r>
          </w:p>
        </w:tc>
        <w:tc>
          <w:tcPr>
            <w:tcW w:w="1697"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调频干扰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数字输出</w:t>
            </w:r>
          </w:p>
        </w:tc>
        <w:tc>
          <w:tcPr>
            <w:tcW w:w="1705"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即时响应</w:t>
            </w:r>
          </w:p>
        </w:tc>
        <w:tc>
          <w:tcPr>
            <w:tcW w:w="1706"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总线形式</w:t>
            </w:r>
          </w:p>
        </w:tc>
        <w:tc>
          <w:tcPr>
            <w:tcW w:w="1706"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0.5</w:t>
            </w:r>
          </w:p>
        </w:tc>
        <w:tc>
          <w:tcPr>
            <w:tcW w:w="1697"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模拟输出</w:t>
            </w:r>
          </w:p>
        </w:tc>
        <w:tc>
          <w:tcPr>
            <w:tcW w:w="1705"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1ms内</w:t>
            </w:r>
          </w:p>
        </w:tc>
        <w:tc>
          <w:tcPr>
            <w:tcW w:w="1706"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模拟量</w:t>
            </w:r>
          </w:p>
        </w:tc>
        <w:tc>
          <w:tcPr>
            <w:tcW w:w="1706"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0.1</w:t>
            </w:r>
          </w:p>
        </w:tc>
        <w:tc>
          <w:tcPr>
            <w:tcW w:w="1697"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有</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高压开关柜/环网柜上，被测为母排及触头附近，传感器牌高压范围内，根据特点对比，模拟输出虽然测量精度高，采集时间响应也能满足实际需要，但由于其需要模拟转换并做补偿，所以易受到高压环境干扰，所以在电路结构上需要做更多的抗干扰设计，相比较数字输出型直接读取总线数据更适应该应用环境。</w:t>
      </w:r>
    </w:p>
    <w:p>
      <w:pPr>
        <w:pStyle w:val="3"/>
        <w:rPr>
          <w:rFonts w:hint="eastAsia"/>
          <w:szCs w:val="22"/>
          <w:lang w:val="en-US" w:eastAsia="zh-CN"/>
        </w:rPr>
      </w:pPr>
      <w:bookmarkStart w:id="25" w:name="_Toc12702"/>
      <w:r>
        <w:rPr>
          <w:rFonts w:hint="eastAsia"/>
          <w:szCs w:val="22"/>
          <w:lang w:val="en-US" w:eastAsia="zh-CN"/>
        </w:rPr>
        <w:t>3.3数据处理技术</w:t>
      </w:r>
      <w:bookmarkEnd w:id="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数据处理主要包括温度数据采集和无线数据传输部分，为实现数据稳定采集和传输，该部分采用微电子技术和无线传感技术，融入抗干扰，并对比目前无线传感技术，选用最优方案。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在电路设计上，主要防止爬电的危害，所以在结构上和PCB设计上进行设计并反复测试，最终实现在超高压环境下无爬电危害。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高压开关柜/环网柜整体材质为钢，其材料本身对无线信号具备较强的衰减能力，物联网应用中的无线技术有多种，如组成局域网的无线技术有WIFI，蓝牙、Zigbee等。事实上通过对近距离（1km范围内）无线通信技术的梳理发现，无线通讯的技术是非常多的，但真正要做到远距离、强穿透性和低功耗三者同时具备的通讯技术是没有的，随着低功耗广域网（Low Power Wide Area Network,LPWAN）产生，其三者就都可兼顾。</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lang w:val="en-US" w:eastAsia="zh-CN"/>
              </w:rPr>
              <w:t>通信方式</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通信范围</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传输能力</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组网结构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蓝牙4.0</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空旷100米内</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弱</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一对一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WIFI</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空旷100米内</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弱</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一对多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Zigbee</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空旷100米内</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弱</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接力传输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433M</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100米以上</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高</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星型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LPWAN</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100米以上</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低</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星型</w:t>
            </w:r>
          </w:p>
        </w:tc>
      </w:tr>
    </w:tbl>
    <w:p>
      <w:pPr>
        <w:pStyle w:val="3"/>
        <w:rPr>
          <w:rFonts w:hint="eastAsia"/>
          <w:szCs w:val="22"/>
          <w:lang w:val="en-US" w:eastAsia="zh-CN"/>
        </w:rPr>
      </w:pPr>
      <w:bookmarkStart w:id="26" w:name="_Toc24577"/>
      <w:r>
        <w:rPr>
          <w:rFonts w:hint="eastAsia"/>
          <w:szCs w:val="22"/>
          <w:lang w:val="en-US" w:eastAsia="zh-CN"/>
        </w:rPr>
        <w:t>3.4供电技术</w:t>
      </w:r>
      <w:bookmarkEnd w:id="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常规无线传感器的取电方式主要有CT取电、太阳能取电、电池取电和电场取电。在高压开关柜/环网柜中各自的特点如下：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sz w:val="24"/>
          <w:szCs w:val="24"/>
          <w:lang w:val="en-US" w:eastAsia="zh-CN"/>
        </w:rPr>
      </w:pPr>
      <w:r>
        <w:rPr>
          <w:rFonts w:hint="eastAsia"/>
          <w:sz w:val="24"/>
          <w:szCs w:val="24"/>
          <w:lang w:val="en-US" w:eastAsia="zh-CN"/>
        </w:rPr>
        <w:t>太阳能取电，高压开关柜/环网柜内无太阳光，无法实现；</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sz w:val="24"/>
          <w:szCs w:val="24"/>
          <w:lang w:val="en-US" w:eastAsia="zh-CN"/>
        </w:rPr>
      </w:pPr>
      <w:r>
        <w:rPr>
          <w:rFonts w:hint="eastAsia"/>
          <w:sz w:val="24"/>
          <w:szCs w:val="24"/>
          <w:lang w:val="en-US" w:eastAsia="zh-CN"/>
        </w:rPr>
        <w:t>电池取电，停电条件下能工作，但需要超低功耗的负载，并定期更换；</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sz w:val="24"/>
          <w:szCs w:val="24"/>
          <w:lang w:val="en-US" w:eastAsia="zh-CN"/>
        </w:rPr>
      </w:pPr>
      <w:r>
        <w:rPr>
          <w:rFonts w:hint="eastAsia"/>
          <w:sz w:val="24"/>
          <w:szCs w:val="24"/>
          <w:lang w:val="en-US" w:eastAsia="zh-CN"/>
        </w:rPr>
        <w:t>电场取电，能充分利用高压电场环境，但其难稳压且结构较大；</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sz w:val="24"/>
          <w:szCs w:val="24"/>
          <w:lang w:val="en-US" w:eastAsia="zh-CN"/>
        </w:rPr>
      </w:pPr>
      <w:r>
        <w:rPr>
          <w:rFonts w:hint="eastAsia"/>
          <w:sz w:val="24"/>
          <w:szCs w:val="24"/>
          <w:lang w:val="en-US" w:eastAsia="zh-CN"/>
        </w:rPr>
        <w:t>CT取电，充分利用被测高压母排流过的电能，停电或者电流极小不工作；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由于本传感器整体采用低功耗技术，传感器整体功耗非常低，无线传输会根据温度变化的高低设计合理的数据发送间隔，综合以上4种取电方式的特点，最适合作为传感器供电技术的是CT取电，其次为电池取电。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由于结构的限制，包括电流的变化等因素，其CT取电技术重点是铁芯材料的设计选型和稳压能力的设计。铁芯要求弱磁场下有高导磁性，质地较软，确保传感器和设备紧贴。稳压能力是在高电流环境下磁通饱合，电流转换为电压稳定。整体设计框图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sz w:val="24"/>
          <w:szCs w:val="24"/>
          <w:lang w:val="en-US" w:eastAsia="zh-CN"/>
        </w:rPr>
      </w:pPr>
      <w:r>
        <w:drawing>
          <wp:inline distT="0" distB="0" distL="114300" distR="114300">
            <wp:extent cx="3980815" cy="886460"/>
            <wp:effectExtent l="0" t="0" r="635" b="889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3980815" cy="886460"/>
                    </a:xfrm>
                    <a:prstGeom prst="rect">
                      <a:avLst/>
                    </a:prstGeom>
                    <a:noFill/>
                    <a:ln w="9525">
                      <a:noFill/>
                    </a:ln>
                  </pic:spPr>
                </pic:pic>
              </a:graphicData>
            </a:graphic>
          </wp:inline>
        </w:drawing>
      </w:r>
    </w:p>
    <w:p>
      <w:pPr>
        <w:pStyle w:val="3"/>
        <w:jc w:val="left"/>
        <w:rPr>
          <w:rFonts w:hint="eastAsia"/>
          <w:szCs w:val="22"/>
          <w:lang w:val="en-US" w:eastAsia="zh-CN"/>
        </w:rPr>
      </w:pPr>
      <w:bookmarkStart w:id="27" w:name="_Toc23490"/>
      <w:r>
        <w:rPr>
          <w:rFonts w:hint="eastAsia"/>
          <w:szCs w:val="22"/>
          <w:lang w:val="en-US" w:eastAsia="zh-CN"/>
        </w:rPr>
        <w:t>3.5安装示例</w:t>
      </w:r>
      <w:bookmarkEnd w:id="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945765" cy="2025015"/>
            <wp:effectExtent l="0" t="0" r="6985" b="13335"/>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6"/>
                    <a:stretch>
                      <a:fillRect/>
                    </a:stretch>
                  </pic:blipFill>
                  <pic:spPr>
                    <a:xfrm>
                      <a:off x="0" y="0"/>
                      <a:ext cx="2945765" cy="2025015"/>
                    </a:xfrm>
                    <a:prstGeom prst="rect">
                      <a:avLst/>
                    </a:prstGeom>
                  </pic:spPr>
                </pic:pic>
              </a:graphicData>
            </a:graphic>
          </wp:inline>
        </w:drawing>
      </w:r>
      <w:r>
        <w:rPr>
          <w:rFonts w:hint="eastAsia"/>
          <w:sz w:val="24"/>
          <w:szCs w:val="24"/>
          <w:lang w:val="en-US" w:eastAsia="zh-CN"/>
        </w:rPr>
        <w:t xml:space="preserve">  </w:t>
      </w:r>
      <w:r>
        <w:rPr>
          <w:rFonts w:hint="eastAsia"/>
          <w:sz w:val="24"/>
          <w:szCs w:val="24"/>
          <w:lang w:val="en-US" w:eastAsia="zh-CN"/>
        </w:rPr>
        <w:drawing>
          <wp:inline distT="0" distB="0" distL="114300" distR="114300">
            <wp:extent cx="1782445" cy="1988820"/>
            <wp:effectExtent l="0" t="0" r="8255" b="11430"/>
            <wp:docPr id="15" name="图片 15" descr="QQ图片2017102108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71021084642"/>
                    <pic:cNvPicPr>
                      <a:picLocks noChangeAspect="1"/>
                    </pic:cNvPicPr>
                  </pic:nvPicPr>
                  <pic:blipFill>
                    <a:blip r:embed="rId17"/>
                    <a:stretch>
                      <a:fillRect/>
                    </a:stretch>
                  </pic:blipFill>
                  <pic:spPr>
                    <a:xfrm>
                      <a:off x="0" y="0"/>
                      <a:ext cx="1782445" cy="1988820"/>
                    </a:xfrm>
                    <a:prstGeom prst="rect">
                      <a:avLst/>
                    </a:prstGeom>
                  </pic:spPr>
                </pic:pic>
              </a:graphicData>
            </a:graphic>
          </wp:inline>
        </w:drawing>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560" w:firstLineChars="200"/>
        <w:jc w:val="both"/>
        <w:textAlignment w:val="baseline"/>
        <w:outlineLvl w:val="9"/>
        <w:rPr>
          <w:rFonts w:hint="eastAsia" w:ascii="宋体" w:hAnsi="宋体"/>
          <w:sz w:val="28"/>
          <w:szCs w:val="28"/>
          <w:lang w:val="en-US" w:eastAsia="zh-CN"/>
        </w:rPr>
      </w:pPr>
      <w:r>
        <w:rPr>
          <w:rFonts w:hint="eastAsia" w:ascii="宋体" w:hAnsi="宋体"/>
          <w:sz w:val="28"/>
          <w:szCs w:val="28"/>
          <w:lang w:val="en-US" w:eastAsia="zh-CN"/>
        </w:rPr>
        <w:t>在线监测传感器，首要的是其运行不会对被测物体的运行产生影响，上图中左图为开关柜内安装环境，其要求温度传感器的外形结构小巧、绝缘和阻燃的特性，考虑到传感器采取的是接触型测温，还在传感器底部采用了传导性好的导热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宋体" w:hAnsi="宋体"/>
          <w:sz w:val="28"/>
          <w:szCs w:val="28"/>
          <w:lang w:val="en-US" w:eastAsia="zh-CN"/>
        </w:rPr>
      </w:pPr>
      <w:r>
        <w:rPr>
          <w:rFonts w:hint="eastAsia"/>
          <w:sz w:val="24"/>
          <w:szCs w:val="24"/>
          <w:lang w:val="en-US" w:eastAsia="zh-CN"/>
        </w:rPr>
        <w:drawing>
          <wp:inline distT="0" distB="0" distL="114300" distR="114300">
            <wp:extent cx="2773045" cy="1867535"/>
            <wp:effectExtent l="0" t="0" r="8255" b="18415"/>
            <wp:docPr id="14" name="图片 14" descr="29038209238850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90382092388504846"/>
                    <pic:cNvPicPr>
                      <a:picLocks noChangeAspect="1"/>
                    </pic:cNvPicPr>
                  </pic:nvPicPr>
                  <pic:blipFill>
                    <a:blip r:embed="rId18"/>
                    <a:stretch>
                      <a:fillRect/>
                    </a:stretch>
                  </pic:blipFill>
                  <pic:spPr>
                    <a:xfrm>
                      <a:off x="0" y="0"/>
                      <a:ext cx="2773045" cy="1867535"/>
                    </a:xfrm>
                    <a:prstGeom prst="rect">
                      <a:avLst/>
                    </a:prstGeom>
                  </pic:spPr>
                </pic:pic>
              </a:graphicData>
            </a:graphic>
          </wp:inline>
        </w:drawing>
      </w:r>
      <w:r>
        <w:rPr>
          <w:rFonts w:hint="eastAsia"/>
          <w:sz w:val="24"/>
          <w:szCs w:val="24"/>
          <w:lang w:val="en-US" w:eastAsia="zh-CN"/>
        </w:rPr>
        <w:t xml:space="preserve">  </w:t>
      </w:r>
      <w:r>
        <w:rPr>
          <w:rFonts w:hint="eastAsia" w:ascii="宋体" w:hAnsi="宋体" w:eastAsia="宋体" w:cs="宋体"/>
          <w:sz w:val="28"/>
          <w:szCs w:val="28"/>
        </w:rPr>
        <w:drawing>
          <wp:inline distT="0" distB="0" distL="0" distR="0">
            <wp:extent cx="1887220" cy="1903730"/>
            <wp:effectExtent l="0" t="0" r="17780" b="1270"/>
            <wp:docPr id="62" name="图片 62" descr="../../../../Downloads/7DB6FEDD598DA9741B11437C94E9B9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ownloads/7DB6FEDD598DA9741B11437C94E9B9E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87220" cy="1903730"/>
                    </a:xfrm>
                    <a:prstGeom prst="rect">
                      <a:avLst/>
                    </a:prstGeom>
                    <a:noFill/>
                    <a:ln>
                      <a:noFill/>
                    </a:ln>
                  </pic:spPr>
                </pic:pic>
              </a:graphicData>
            </a:graphic>
          </wp:inline>
        </w:drawing>
      </w:r>
    </w:p>
    <w:p>
      <w:pPr>
        <w:pStyle w:val="2"/>
        <w:ind w:firstLine="0" w:firstLineChars="0"/>
      </w:pPr>
      <w:bookmarkStart w:id="28" w:name="_Toc6307"/>
      <w:bookmarkStart w:id="29" w:name="_Toc4273"/>
      <w:r>
        <w:rPr>
          <w:rFonts w:hint="eastAsia"/>
        </w:rPr>
        <w:t>四、</w:t>
      </w:r>
      <w:bookmarkEnd w:id="28"/>
      <w:r>
        <w:rPr>
          <w:rFonts w:hint="eastAsia"/>
          <w:lang w:eastAsia="zh-CN"/>
        </w:rPr>
        <w:t>温度采集器及后台</w:t>
      </w:r>
      <w:bookmarkEnd w:id="29"/>
    </w:p>
    <w:p>
      <w:pPr>
        <w:pStyle w:val="3"/>
      </w:pPr>
      <w:bookmarkStart w:id="30" w:name="_Toc23397"/>
      <w:bookmarkStart w:id="31" w:name="_Toc12148"/>
      <w:bookmarkStart w:id="32" w:name="_Toc5467"/>
      <w:bookmarkStart w:id="33" w:name="_Toc641"/>
      <w:r>
        <w:t>4</w:t>
      </w:r>
      <w:r>
        <w:rPr>
          <w:rFonts w:hint="eastAsia"/>
        </w:rPr>
        <w:t>.1</w:t>
      </w:r>
      <w:bookmarkEnd w:id="30"/>
      <w:bookmarkEnd w:id="31"/>
      <w:bookmarkEnd w:id="32"/>
      <w:r>
        <w:rPr>
          <w:rFonts w:hint="eastAsia"/>
          <w:lang w:eastAsia="zh-CN"/>
        </w:rPr>
        <w:t>温度采集器</w:t>
      </w:r>
      <w:bookmarkEnd w:id="33"/>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0" w:firstLineChars="0"/>
        <w:jc w:val="center"/>
        <w:textAlignment w:val="baseline"/>
        <w:outlineLvl w:val="9"/>
        <w:rPr>
          <w:rFonts w:hint="eastAsia" w:ascii="宋体" w:hAnsi="宋体"/>
          <w:sz w:val="28"/>
          <w:szCs w:val="28"/>
          <w:lang w:eastAsia="zh-CN"/>
        </w:rPr>
      </w:pPr>
      <w:r>
        <w:drawing>
          <wp:inline distT="0" distB="0" distL="114300" distR="114300">
            <wp:extent cx="4323715" cy="1238885"/>
            <wp:effectExtent l="0" t="0" r="63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4323715" cy="1238885"/>
                    </a:xfrm>
                    <a:prstGeom prst="rect">
                      <a:avLst/>
                    </a:prstGeom>
                    <a:noFill/>
                    <a:ln w="9525">
                      <a:noFill/>
                    </a:ln>
                  </pic:spPr>
                </pic:pic>
              </a:graphicData>
            </a:graphic>
          </wp:inline>
        </w:drawing>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560" w:firstLineChars="200"/>
        <w:jc w:val="both"/>
        <w:textAlignment w:val="baseline"/>
        <w:outlineLvl w:val="9"/>
        <w:rPr>
          <w:rFonts w:hint="eastAsia" w:ascii="宋体" w:hAnsi="宋体"/>
          <w:sz w:val="28"/>
          <w:szCs w:val="28"/>
          <w:lang w:val="en-US" w:eastAsia="zh-CN"/>
        </w:rPr>
      </w:pPr>
      <w:r>
        <w:rPr>
          <w:rFonts w:hint="eastAsia" w:ascii="宋体" w:hAnsi="宋体"/>
          <w:sz w:val="28"/>
          <w:szCs w:val="28"/>
          <w:lang w:eastAsia="zh-CN"/>
        </w:rPr>
        <w:t>功能框图表示的是温度采集器实现的功能，传感器输出数据主要是被测温度及该温度检测的时间。传感器根据检测到的温度高低，会主动上传温度给数据采集器，采集器接收到数据进行数据处理并进行缓存，等待上位机发来接收命令接收信号，综合这些功能，采集器的设计融入了微电子技术、无线组网技术、存储技术和广域网传输技术。为了适合开关柜的周边的环境，温度采集器设计了多种取电方式保障设备正常运行，在满足市电的情况下，首选市电供电、若开关柜所在位置没有市电，则可根据现场情况选用太阳能供电和</w:t>
      </w:r>
      <w:r>
        <w:rPr>
          <w:rFonts w:hint="eastAsia" w:ascii="宋体" w:hAnsi="宋体"/>
          <w:sz w:val="28"/>
          <w:szCs w:val="28"/>
          <w:lang w:val="en-US" w:eastAsia="zh-CN"/>
        </w:rPr>
        <w:t>CT取电，下图为根据现场设计两种不同外形结构的采集器，第一种放在柜内，第二种挂在室友的配电房内。</w:t>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0" w:firstLineChars="0"/>
        <w:jc w:val="center"/>
        <w:textAlignment w:val="baseline"/>
        <w:outlineLvl w:val="9"/>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2614295" cy="1981200"/>
            <wp:effectExtent l="0" t="0" r="14605" b="0"/>
            <wp:docPr id="13" name="图片 1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2"/>
                    <pic:cNvPicPr>
                      <a:picLocks noChangeAspect="1"/>
                    </pic:cNvPicPr>
                  </pic:nvPicPr>
                  <pic:blipFill>
                    <a:blip r:embed="rId21"/>
                    <a:stretch>
                      <a:fillRect/>
                    </a:stretch>
                  </pic:blipFill>
                  <pic:spPr>
                    <a:xfrm>
                      <a:off x="0" y="0"/>
                      <a:ext cx="2614295" cy="1981200"/>
                    </a:xfrm>
                    <a:prstGeom prst="rect">
                      <a:avLst/>
                    </a:prstGeom>
                  </pic:spPr>
                </pic:pic>
              </a:graphicData>
            </a:graphic>
          </wp:inline>
        </w:drawing>
      </w:r>
      <w:r>
        <w:drawing>
          <wp:inline distT="0" distB="0" distL="114300" distR="114300">
            <wp:extent cx="2201545" cy="1388745"/>
            <wp:effectExtent l="0" t="0" r="8255" b="19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2201545" cy="1388745"/>
                    </a:xfrm>
                    <a:prstGeom prst="rect">
                      <a:avLst/>
                    </a:prstGeom>
                    <a:noFill/>
                    <a:ln w="9525">
                      <a:noFill/>
                    </a:ln>
                  </pic:spPr>
                </pic:pic>
              </a:graphicData>
            </a:graphic>
          </wp:inline>
        </w:drawing>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560" w:firstLineChars="200"/>
        <w:jc w:val="both"/>
        <w:textAlignment w:val="baseline"/>
        <w:outlineLvl w:val="9"/>
        <w:rPr>
          <w:rFonts w:hint="eastAsia" w:ascii="宋体" w:hAnsi="宋体"/>
          <w:sz w:val="28"/>
          <w:szCs w:val="28"/>
          <w:lang w:val="en-US" w:eastAsia="zh-CN"/>
        </w:rPr>
      </w:pPr>
    </w:p>
    <w:p>
      <w:pPr>
        <w:pStyle w:val="3"/>
      </w:pPr>
      <w:bookmarkStart w:id="34" w:name="_Toc17407"/>
      <w:bookmarkStart w:id="35" w:name="_Toc25926"/>
      <w:bookmarkStart w:id="36" w:name="_Toc225"/>
      <w:bookmarkStart w:id="37" w:name="_Toc8102"/>
      <w:r>
        <w:t>4</w:t>
      </w:r>
      <w:r>
        <w:rPr>
          <w:rFonts w:hint="eastAsia"/>
        </w:rPr>
        <w:t>.2</w:t>
      </w:r>
      <w:bookmarkEnd w:id="34"/>
      <w:bookmarkEnd w:id="35"/>
      <w:bookmarkEnd w:id="36"/>
      <w:r>
        <w:rPr>
          <w:rFonts w:hint="eastAsia"/>
          <w:lang w:eastAsia="zh-CN"/>
        </w:rPr>
        <w:t>监控中心</w:t>
      </w:r>
      <w:bookmarkEnd w:id="37"/>
    </w:p>
    <w:p>
      <w:pPr>
        <w:pStyle w:val="4"/>
      </w:pPr>
      <w:bookmarkStart w:id="38" w:name="_Toc17192"/>
      <w:r>
        <w:rPr>
          <w:rFonts w:hint="eastAsia"/>
          <w:lang w:val="en-US" w:eastAsia="zh-CN"/>
        </w:rPr>
        <w:t>4</w:t>
      </w:r>
      <w:r>
        <w:rPr>
          <w:rFonts w:hint="eastAsia"/>
        </w:rPr>
        <w:t>.2.1硬件环境要求</w:t>
      </w:r>
      <w:bookmarkEnd w:id="38"/>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CPU：双核</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内存：2G</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显示卡：Nvidia Geforce FX5200 或者 ATI RADEON 7000(9000) 系列128M显存，显卡需支持硬件缩放功能</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操作系统：32位简体中文\英文Windows2000、WindowsXP、Windows2003、Windows Vista和64位简体中\英文Windows2003、WindowsXP、Windwos 7等操作系统</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软件环境：IE 6.0以上版本，DirectX8.0以上版本，TCP／IP网络协议</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系统需求：安装本软件的PC显卡需支持的颜色转换及缩放，目前已测试的有Nvidia Tnt/Tnt2、Geforce Mx200/400/420/440 Fx5200/5600等系列,MatroxG450/550，INTEL845G/865G等系列显卡。注意显卡的驱动必须支持硬件缩放功能。</w:t>
      </w:r>
    </w:p>
    <w:p>
      <w:pPr>
        <w:pStyle w:val="4"/>
      </w:pPr>
      <w:bookmarkStart w:id="39" w:name="_Toc12223"/>
      <w:r>
        <w:rPr>
          <w:rFonts w:hint="eastAsia"/>
          <w:lang w:val="en-US" w:eastAsia="zh-CN"/>
        </w:rPr>
        <w:t>4</w:t>
      </w:r>
      <w:r>
        <w:rPr>
          <w:rFonts w:hint="eastAsia"/>
        </w:rPr>
        <w:t>.2.2网络要求</w:t>
      </w:r>
      <w:bookmarkEnd w:id="39"/>
    </w:p>
    <w:p>
      <w:pPr>
        <w:numPr>
          <w:ilvl w:val="0"/>
          <w:numId w:val="5"/>
        </w:numPr>
        <w:ind w:firstLine="480"/>
        <w:rPr>
          <w:rFonts w:asciiTheme="minorEastAsia" w:hAnsiTheme="minorEastAsia" w:cstheme="minorEastAsia"/>
          <w:sz w:val="24"/>
        </w:rPr>
      </w:pPr>
      <w:r>
        <w:rPr>
          <w:rFonts w:hint="eastAsia" w:asciiTheme="minorEastAsia" w:hAnsiTheme="minorEastAsia" w:cstheme="minorEastAsia"/>
          <w:sz w:val="24"/>
        </w:rPr>
        <w:t>要求2M以上ADSL宽带；</w:t>
      </w:r>
    </w:p>
    <w:p>
      <w:pPr>
        <w:numPr>
          <w:ilvl w:val="0"/>
          <w:numId w:val="5"/>
        </w:numPr>
        <w:ind w:firstLine="480"/>
        <w:rPr>
          <w:rFonts w:asciiTheme="minorEastAsia" w:hAnsiTheme="minorEastAsia" w:cstheme="minorEastAsia"/>
          <w:sz w:val="24"/>
        </w:rPr>
      </w:pPr>
      <w:r>
        <w:rPr>
          <w:rFonts w:hint="eastAsia" w:asciiTheme="minorEastAsia" w:hAnsiTheme="minorEastAsia" w:cstheme="minorEastAsia"/>
          <w:sz w:val="24"/>
        </w:rPr>
        <w:t>开通服务器及相应客户端的端口（如3</w:t>
      </w:r>
      <w:r>
        <w:rPr>
          <w:rFonts w:hint="eastAsia" w:asciiTheme="minorEastAsia" w:hAnsiTheme="minorEastAsia" w:cstheme="minorEastAsia"/>
          <w:sz w:val="24"/>
          <w:lang w:val="en-US" w:eastAsia="zh-CN"/>
        </w:rPr>
        <w:t>0</w:t>
      </w:r>
      <w:r>
        <w:rPr>
          <w:rFonts w:hint="eastAsia" w:asciiTheme="minorEastAsia" w:hAnsiTheme="minorEastAsia" w:cstheme="minorEastAsia"/>
          <w:sz w:val="24"/>
        </w:rPr>
        <w:t>000、3</w:t>
      </w:r>
      <w:r>
        <w:rPr>
          <w:rFonts w:hint="eastAsia" w:asciiTheme="minorEastAsia" w:hAnsiTheme="minorEastAsia" w:cstheme="minorEastAsia"/>
          <w:sz w:val="24"/>
          <w:lang w:val="en-US" w:eastAsia="zh-CN"/>
        </w:rPr>
        <w:t>0</w:t>
      </w:r>
      <w:r>
        <w:rPr>
          <w:rFonts w:hint="eastAsia" w:asciiTheme="minorEastAsia" w:hAnsiTheme="minorEastAsia" w:cstheme="minorEastAsia"/>
          <w:sz w:val="24"/>
        </w:rPr>
        <w:t>001等）；</w:t>
      </w:r>
    </w:p>
    <w:p>
      <w:pPr>
        <w:numPr>
          <w:ilvl w:val="0"/>
          <w:numId w:val="5"/>
        </w:numPr>
        <w:ind w:firstLine="480"/>
        <w:rPr>
          <w:rFonts w:asciiTheme="minorEastAsia" w:hAnsiTheme="minorEastAsia" w:cstheme="minorEastAsia"/>
          <w:sz w:val="24"/>
        </w:rPr>
      </w:pPr>
      <w:r>
        <w:rPr>
          <w:rFonts w:hint="eastAsia" w:asciiTheme="minorEastAsia" w:hAnsiTheme="minorEastAsia" w:cstheme="minorEastAsia"/>
          <w:sz w:val="24"/>
        </w:rPr>
        <w:t>开放防火墙的端口</w:t>
      </w:r>
    </w:p>
    <w:p>
      <w:pPr>
        <w:pStyle w:val="4"/>
        <w:rPr>
          <w:rFonts w:hint="eastAsia"/>
          <w:szCs w:val="22"/>
          <w:lang w:val="en-US" w:eastAsia="zh-CN"/>
        </w:rPr>
      </w:pPr>
      <w:bookmarkStart w:id="40" w:name="_Toc19668"/>
      <w:r>
        <w:rPr>
          <w:rFonts w:hint="eastAsia"/>
          <w:szCs w:val="22"/>
          <w:lang w:val="en-US" w:eastAsia="zh-CN"/>
        </w:rPr>
        <w:t>4.2.3应用软件</w:t>
      </w:r>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lang w:eastAsia="zh-CN"/>
        </w:rPr>
      </w:pPr>
      <w:r>
        <w:rPr>
          <w:rFonts w:hint="eastAsia" w:asciiTheme="minorEastAsia" w:hAnsiTheme="minorEastAsia" w:cstheme="minorEastAsia"/>
          <w:sz w:val="24"/>
          <w:lang w:eastAsia="zh-CN"/>
        </w:rPr>
        <w:t>软件注重功能需求，具备温度监测端点可编辑、实时反映温度、历史温度记录、越高限报警等功能，检测到越高限报警信号后可定制化选择语音、短信、邮件等方式报警提醒值守人员查看异常情况。在界面设计上可定制化提供需求，一般采用简洁大方风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sz w:val="24"/>
          <w:lang w:eastAsia="zh-CN"/>
        </w:rPr>
      </w:pPr>
      <w:r>
        <w:rPr>
          <w:rFonts w:hint="eastAsia" w:asciiTheme="minorEastAsia" w:hAnsiTheme="minorEastAsia" w:cstheme="minorEastAsia"/>
          <w:sz w:val="24"/>
          <w:lang w:eastAsia="zh-CN"/>
        </w:rPr>
        <w:drawing>
          <wp:inline distT="0" distB="0" distL="114300" distR="114300">
            <wp:extent cx="5266055" cy="3154045"/>
            <wp:effectExtent l="0" t="0" r="10795" b="8255"/>
            <wp:docPr id="2" name="图片 2" descr="07-系统概况-项目-站点详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7-系统概况-项目-站点详页"/>
                    <pic:cNvPicPr>
                      <a:picLocks noChangeAspect="1"/>
                    </pic:cNvPicPr>
                  </pic:nvPicPr>
                  <pic:blipFill>
                    <a:blip r:embed="rId23"/>
                    <a:stretch>
                      <a:fillRect/>
                    </a:stretch>
                  </pic:blipFill>
                  <pic:spPr>
                    <a:xfrm>
                      <a:off x="0" y="0"/>
                      <a:ext cx="5266055" cy="3154045"/>
                    </a:xfrm>
                    <a:prstGeom prst="rect">
                      <a:avLst/>
                    </a:prstGeom>
                  </pic:spPr>
                </pic:pic>
              </a:graphicData>
            </a:graphic>
          </wp:inline>
        </w:drawing>
      </w:r>
    </w:p>
    <w:p>
      <w:pPr>
        <w:pStyle w:val="2"/>
        <w:ind w:firstLine="0" w:firstLineChars="0"/>
        <w:rPr>
          <w:rFonts w:ascii="宋体" w:hAnsi="宋体" w:cs="宋体"/>
          <w:kern w:val="0"/>
          <w:sz w:val="28"/>
        </w:rPr>
      </w:pPr>
      <w:bookmarkStart w:id="41" w:name="_Toc15056"/>
      <w:bookmarkStart w:id="42" w:name="_Toc21620"/>
      <w:r>
        <w:rPr>
          <w:rFonts w:hint="eastAsia"/>
        </w:rPr>
        <w:t>五、联系我们</w:t>
      </w:r>
      <w:bookmarkEnd w:id="41"/>
      <w:bookmarkEnd w:id="42"/>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地址：浙江省杭州市</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城区</w:t>
      </w:r>
      <w:r>
        <w:rPr>
          <w:rFonts w:hint="eastAsia" w:asciiTheme="minorEastAsia" w:hAnsiTheme="minorEastAsia" w:cstheme="minorEastAsia"/>
          <w:sz w:val="24"/>
          <w:szCs w:val="24"/>
          <w:lang w:val="en-US" w:eastAsia="zh-CN"/>
        </w:rPr>
        <w:t>婺江路217</w:t>
      </w:r>
      <w:r>
        <w:rPr>
          <w:rFonts w:hint="eastAsia" w:asciiTheme="minorEastAsia" w:hAnsiTheme="minorEastAsia" w:eastAsiaTheme="minorEastAsia" w:cstheme="minorEastAsia"/>
          <w:sz w:val="24"/>
          <w:szCs w:val="24"/>
          <w:lang w:val="en-US" w:eastAsia="zh-CN"/>
        </w:rPr>
        <w:t>号</w:t>
      </w:r>
      <w:r>
        <w:rPr>
          <w:rFonts w:hint="eastAsia" w:asciiTheme="minorEastAsia" w:hAnsiTheme="minorEastAsia" w:cstheme="minorEastAsia"/>
          <w:sz w:val="24"/>
          <w:szCs w:val="24"/>
          <w:lang w:val="en-US" w:eastAsia="zh-CN"/>
        </w:rPr>
        <w:t>近江时代大厦B座C</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cstheme="minorEastAsia"/>
          <w:sz w:val="24"/>
          <w:szCs w:val="24"/>
          <w:lang w:val="en-US" w:eastAsia="zh-CN"/>
        </w:rPr>
        <w:t>02室</w:t>
      </w:r>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TEL</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18705816798</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谢</w:t>
      </w:r>
      <w:r>
        <w:rPr>
          <w:rFonts w:hint="eastAsia" w:asciiTheme="minorEastAsia" w:hAnsiTheme="minorEastAsia" w:eastAsiaTheme="minorEastAsia" w:cstheme="minorEastAsia"/>
          <w:sz w:val="24"/>
          <w:szCs w:val="24"/>
          <w:lang w:val="en-US" w:eastAsia="zh-CN"/>
        </w:rPr>
        <w:t>工）</w:t>
      </w:r>
    </w:p>
    <w:p>
      <w:pPr>
        <w:spacing w:line="360" w:lineRule="auto"/>
        <w:ind w:left="0" w:leftChars="0" w:firstLine="0" w:firstLineChars="0"/>
        <w:rPr>
          <w:rFonts w:hint="eastAsia"/>
          <w:lang w:val="en-US" w:eastAsia="zh-CN"/>
        </w:rPr>
      </w:pPr>
      <w:r>
        <w:rPr>
          <w:rFonts w:hint="eastAsia"/>
          <w:lang w:val="en-US" w:eastAsia="zh-CN"/>
        </w:rPr>
        <w:drawing>
          <wp:anchor distT="0" distB="0" distL="114300" distR="114300" simplePos="0" relativeHeight="251833344" behindDoc="0" locked="0" layoutInCell="1" allowOverlap="1">
            <wp:simplePos x="0" y="0"/>
            <wp:positionH relativeFrom="column">
              <wp:posOffset>-47625</wp:posOffset>
            </wp:positionH>
            <wp:positionV relativeFrom="paragraph">
              <wp:posOffset>259080</wp:posOffset>
            </wp:positionV>
            <wp:extent cx="1220470" cy="1220470"/>
            <wp:effectExtent l="0" t="0" r="17780" b="17780"/>
            <wp:wrapNone/>
            <wp:docPr id="16" name="图片 16" descr="qrcode_for_gh_deff558c2b68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rcode_for_gh_deff558c2b68_430"/>
                    <pic:cNvPicPr>
                      <a:picLocks noChangeAspect="1"/>
                    </pic:cNvPicPr>
                  </pic:nvPicPr>
                  <pic:blipFill>
                    <a:blip r:embed="rId24"/>
                    <a:stretch>
                      <a:fillRect/>
                    </a:stretch>
                  </pic:blipFill>
                  <pic:spPr>
                    <a:xfrm>
                      <a:off x="0" y="0"/>
                      <a:ext cx="1220470" cy="12204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微信公众平台</w:t>
      </w:r>
    </w:p>
    <w:p>
      <w:pPr>
        <w:numPr>
          <w:ilvl w:val="0"/>
          <w:numId w:val="0"/>
        </w:numPr>
        <w:rPr>
          <w:rFonts w:hint="eastAsia"/>
          <w:lang w:val="en-US" w:eastAsia="zh-CN"/>
        </w:rPr>
      </w:pPr>
    </w:p>
    <w:p>
      <w:pPr>
        <w:spacing w:line="360" w:lineRule="auto"/>
        <w:rPr>
          <w:rFonts w:hint="eastAsia"/>
          <w:lang w:val="en-US" w:eastAsia="zh-CN"/>
        </w:rPr>
      </w:pPr>
      <w:r>
        <w:rPr>
          <w:rFonts w:hint="eastAsia" w:ascii="宋体" w:hAnsi="宋体" w:cs="宋体"/>
          <w:kern w:val="0"/>
          <w:sz w:val="28"/>
          <w:lang w:val="en-US" w:eastAsia="zh-CN"/>
        </w:rPr>
        <w:t xml:space="preserve">   </w:t>
      </w:r>
    </w:p>
    <w:p>
      <w:pPr>
        <w:numPr>
          <w:ilvl w:val="0"/>
          <w:numId w:val="0"/>
        </w:numPr>
        <w:rPr>
          <w:rFonts w:hint="eastAsia"/>
          <w:lang w:val="en-US" w:eastAsia="zh-CN"/>
        </w:rPr>
      </w:pPr>
    </w:p>
    <w:p>
      <w:pPr>
        <w:spacing w:line="360" w:lineRule="auto"/>
        <w:ind w:firstLine="560"/>
        <w:rPr>
          <w:rFonts w:hint="eastAsia"/>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Calibri Light">
    <w:altName w:val="Calibri"/>
    <w:panose1 w:val="020F0302020204030204"/>
    <w:charset w:val="00"/>
    <w:family w:val="auto"/>
    <w:pitch w:val="default"/>
    <w:sig w:usb0="00000000" w:usb1="00000000" w:usb2="00000000" w:usb3="00000000" w:csb0="2000019F" w:csb1="00000000"/>
  </w:font>
  <w:font w:name="Tianshi-HeiOld-Identity-H">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49885" cy="17081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49885" cy="170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45pt;width:27.55pt;mso-position-horizontal:center;mso-position-horizontal-relative:margin;mso-wrap-style:none;z-index:251661312;mso-width-relative:page;mso-height-relative:page;" filled="f" stroked="f" coordsize="21600,21600" o:gfxdata="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bUnDjSAAAAAwEAAA8AAAAAAAAAAQAg&#10;AAAAIgAAAGRycy9kb3ducmV2LnhtbFBLAQIUABQAAAAIAIdO4kDj1kExFAIAAAcEAAAOAAAAAAAA&#10;AAEAIAAAACEBAABkcnMvZTJvRG9jLnhtbFBLBQYAAAAABgAGAFkBAACn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0" w:leftChars="0" w:firstLine="0" w:firstLineChars="0"/>
      <w:jc w:val="both"/>
    </w:pPr>
    <w:r>
      <w:rPr>
        <w:rFonts w:hint="eastAsia" w:eastAsia="宋体"/>
        <w:sz w:val="28"/>
        <w:szCs w:val="28"/>
        <w:u w:val="single" w:color="auto"/>
        <w:lang w:val="en-US" w:eastAsia="zh-CN"/>
      </w:rPr>
      <w:t>咸亨国际（杭州）电气科技研究院有限公司</w:t>
    </w:r>
    <w:r>
      <w:rPr>
        <w:rFonts w:hint="eastAsia" w:eastAsia="宋体"/>
        <w:u w:val="single" w:color="auto"/>
        <w:lang w:val="en-US" w:eastAsia="zh-CN"/>
      </w:rPr>
      <w:t xml:space="preserve">                  </w:t>
    </w:r>
    <w:r>
      <w:rPr>
        <w:u w:val="single" w:color="auto"/>
      </w:rPr>
      <w:drawing>
        <wp:inline distT="0" distB="0" distL="114300" distR="114300">
          <wp:extent cx="996950" cy="153670"/>
          <wp:effectExtent l="0" t="0" r="12700" b="17780"/>
          <wp:docPr id="35" name="图片 17" descr="QQ截图2018060714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QQ截图20180607144930"/>
                  <pic:cNvPicPr>
                    <a:picLocks noChangeAspect="1"/>
                  </pic:cNvPicPr>
                </pic:nvPicPr>
                <pic:blipFill>
                  <a:blip r:embed="rId1"/>
                  <a:stretch>
                    <a:fillRect/>
                  </a:stretch>
                </pic:blipFill>
                <pic:spPr>
                  <a:xfrm>
                    <a:off x="0" y="0"/>
                    <a:ext cx="996950" cy="15367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8249B"/>
    <w:multiLevelType w:val="singleLevel"/>
    <w:tmpl w:val="10A8249B"/>
    <w:lvl w:ilvl="0" w:tentative="0">
      <w:start w:val="1"/>
      <w:numFmt w:val="bullet"/>
      <w:lvlText w:val=""/>
      <w:lvlJc w:val="left"/>
      <w:pPr>
        <w:ind w:left="420" w:hanging="420"/>
      </w:pPr>
      <w:rPr>
        <w:rFonts w:hint="default" w:ascii="Wingdings" w:hAnsi="Wingdings"/>
      </w:rPr>
    </w:lvl>
  </w:abstractNum>
  <w:abstractNum w:abstractNumId="1">
    <w:nsid w:val="58DC5E33"/>
    <w:multiLevelType w:val="singleLevel"/>
    <w:tmpl w:val="58DC5E33"/>
    <w:lvl w:ilvl="0" w:tentative="0">
      <w:start w:val="1"/>
      <w:numFmt w:val="decimal"/>
      <w:lvlText w:val="%1)"/>
      <w:lvlJc w:val="left"/>
      <w:pPr>
        <w:ind w:left="425" w:hanging="425"/>
      </w:pPr>
      <w:rPr>
        <w:rFonts w:hint="default"/>
      </w:rPr>
    </w:lvl>
  </w:abstractNum>
  <w:abstractNum w:abstractNumId="2">
    <w:nsid w:val="58DC5E68"/>
    <w:multiLevelType w:val="singleLevel"/>
    <w:tmpl w:val="58DC5E68"/>
    <w:lvl w:ilvl="0" w:tentative="0">
      <w:start w:val="1"/>
      <w:numFmt w:val="decimal"/>
      <w:lvlText w:val="%1)"/>
      <w:lvlJc w:val="left"/>
      <w:pPr>
        <w:ind w:left="425" w:hanging="425"/>
      </w:pPr>
      <w:rPr>
        <w:rFonts w:hint="default"/>
      </w:rPr>
    </w:lvl>
  </w:abstractNum>
  <w:abstractNum w:abstractNumId="3">
    <w:nsid w:val="59EAF28A"/>
    <w:multiLevelType w:val="singleLevel"/>
    <w:tmpl w:val="59EAF28A"/>
    <w:lvl w:ilvl="0" w:tentative="0">
      <w:start w:val="1"/>
      <w:numFmt w:val="bullet"/>
      <w:lvlText w:val=""/>
      <w:lvlJc w:val="left"/>
      <w:pPr>
        <w:ind w:left="420" w:hanging="420"/>
      </w:pPr>
      <w:rPr>
        <w:rFonts w:hint="default" w:ascii="Wingdings" w:hAnsi="Wingdings"/>
      </w:rPr>
    </w:lvl>
  </w:abstractNum>
  <w:abstractNum w:abstractNumId="4">
    <w:nsid w:val="5A45D329"/>
    <w:multiLevelType w:val="singleLevel"/>
    <w:tmpl w:val="5A45D329"/>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460"/>
    <w:rsid w:val="00055683"/>
    <w:rsid w:val="000D52F0"/>
    <w:rsid w:val="000F27CE"/>
    <w:rsid w:val="00172A27"/>
    <w:rsid w:val="0021377E"/>
    <w:rsid w:val="002212D3"/>
    <w:rsid w:val="002405F3"/>
    <w:rsid w:val="002F1F3E"/>
    <w:rsid w:val="003D6117"/>
    <w:rsid w:val="00494C1E"/>
    <w:rsid w:val="004E3A89"/>
    <w:rsid w:val="00507797"/>
    <w:rsid w:val="0055530C"/>
    <w:rsid w:val="005D6CDC"/>
    <w:rsid w:val="007033E3"/>
    <w:rsid w:val="007475A5"/>
    <w:rsid w:val="007A4A09"/>
    <w:rsid w:val="007D5C14"/>
    <w:rsid w:val="008C3C6E"/>
    <w:rsid w:val="008D4352"/>
    <w:rsid w:val="00967DC3"/>
    <w:rsid w:val="009922EB"/>
    <w:rsid w:val="009D3765"/>
    <w:rsid w:val="00A57733"/>
    <w:rsid w:val="00A92873"/>
    <w:rsid w:val="00B45191"/>
    <w:rsid w:val="00BB1CBC"/>
    <w:rsid w:val="00C241D3"/>
    <w:rsid w:val="00C63B3B"/>
    <w:rsid w:val="00CB2A4E"/>
    <w:rsid w:val="00D66710"/>
    <w:rsid w:val="00E24653"/>
    <w:rsid w:val="00FF0441"/>
    <w:rsid w:val="012A3ED5"/>
    <w:rsid w:val="01D416AE"/>
    <w:rsid w:val="022C0C45"/>
    <w:rsid w:val="02F759E4"/>
    <w:rsid w:val="036C1E9A"/>
    <w:rsid w:val="03EE1369"/>
    <w:rsid w:val="04A311FD"/>
    <w:rsid w:val="04DB2A49"/>
    <w:rsid w:val="0545465A"/>
    <w:rsid w:val="05F75771"/>
    <w:rsid w:val="08A62EBB"/>
    <w:rsid w:val="092D6C19"/>
    <w:rsid w:val="097F46E4"/>
    <w:rsid w:val="09FB461F"/>
    <w:rsid w:val="0A1D5C5D"/>
    <w:rsid w:val="0A453CAD"/>
    <w:rsid w:val="0A69635E"/>
    <w:rsid w:val="0A877BD6"/>
    <w:rsid w:val="0AC67A8B"/>
    <w:rsid w:val="0AD04266"/>
    <w:rsid w:val="0AEE450A"/>
    <w:rsid w:val="0B3C1195"/>
    <w:rsid w:val="0B804D37"/>
    <w:rsid w:val="0C3F5849"/>
    <w:rsid w:val="0CEE7A7B"/>
    <w:rsid w:val="0D1524E5"/>
    <w:rsid w:val="0D367A0F"/>
    <w:rsid w:val="0E8748BB"/>
    <w:rsid w:val="0ED06EE0"/>
    <w:rsid w:val="0EDE4FDE"/>
    <w:rsid w:val="0EEC32D4"/>
    <w:rsid w:val="0FCB1406"/>
    <w:rsid w:val="0FD2262B"/>
    <w:rsid w:val="10A359BA"/>
    <w:rsid w:val="10CA1225"/>
    <w:rsid w:val="10DC093D"/>
    <w:rsid w:val="111805CC"/>
    <w:rsid w:val="1161797C"/>
    <w:rsid w:val="11850F42"/>
    <w:rsid w:val="119110AA"/>
    <w:rsid w:val="119E7170"/>
    <w:rsid w:val="12327736"/>
    <w:rsid w:val="12362774"/>
    <w:rsid w:val="12656349"/>
    <w:rsid w:val="130709AC"/>
    <w:rsid w:val="132C7446"/>
    <w:rsid w:val="13845A67"/>
    <w:rsid w:val="13CC2226"/>
    <w:rsid w:val="13E35C76"/>
    <w:rsid w:val="14381E75"/>
    <w:rsid w:val="14640A83"/>
    <w:rsid w:val="14F511D4"/>
    <w:rsid w:val="150023D6"/>
    <w:rsid w:val="15466169"/>
    <w:rsid w:val="155C5115"/>
    <w:rsid w:val="15A436E8"/>
    <w:rsid w:val="15DD06A2"/>
    <w:rsid w:val="166A1368"/>
    <w:rsid w:val="16AB5262"/>
    <w:rsid w:val="16AE17F7"/>
    <w:rsid w:val="16B446A9"/>
    <w:rsid w:val="16B50658"/>
    <w:rsid w:val="170414AC"/>
    <w:rsid w:val="170664AA"/>
    <w:rsid w:val="171F5A51"/>
    <w:rsid w:val="17A84173"/>
    <w:rsid w:val="185118E1"/>
    <w:rsid w:val="18CA7009"/>
    <w:rsid w:val="19505DF7"/>
    <w:rsid w:val="19B92355"/>
    <w:rsid w:val="1A193470"/>
    <w:rsid w:val="1A5F251F"/>
    <w:rsid w:val="1AAC7492"/>
    <w:rsid w:val="1AF95626"/>
    <w:rsid w:val="1AFD7313"/>
    <w:rsid w:val="1B4A49B0"/>
    <w:rsid w:val="1C0E7239"/>
    <w:rsid w:val="1C1A0BE5"/>
    <w:rsid w:val="1C5A0510"/>
    <w:rsid w:val="1E13429F"/>
    <w:rsid w:val="1E1E5764"/>
    <w:rsid w:val="1E653573"/>
    <w:rsid w:val="1E8C59C3"/>
    <w:rsid w:val="1E9C0BE8"/>
    <w:rsid w:val="1EA92160"/>
    <w:rsid w:val="1ECD42C8"/>
    <w:rsid w:val="1F047738"/>
    <w:rsid w:val="1F243547"/>
    <w:rsid w:val="1F6C4774"/>
    <w:rsid w:val="1F8C4EE9"/>
    <w:rsid w:val="1FD210AF"/>
    <w:rsid w:val="1FED657F"/>
    <w:rsid w:val="200229BC"/>
    <w:rsid w:val="200D6F03"/>
    <w:rsid w:val="201B4BFB"/>
    <w:rsid w:val="20AD1AB5"/>
    <w:rsid w:val="21452B67"/>
    <w:rsid w:val="222D0819"/>
    <w:rsid w:val="228D277C"/>
    <w:rsid w:val="22B04CF4"/>
    <w:rsid w:val="22B75672"/>
    <w:rsid w:val="23E131E1"/>
    <w:rsid w:val="23E85308"/>
    <w:rsid w:val="24030531"/>
    <w:rsid w:val="24276A28"/>
    <w:rsid w:val="245F7CAE"/>
    <w:rsid w:val="24A07424"/>
    <w:rsid w:val="24AA634A"/>
    <w:rsid w:val="24D075F7"/>
    <w:rsid w:val="25185611"/>
    <w:rsid w:val="25322ACE"/>
    <w:rsid w:val="25B80D58"/>
    <w:rsid w:val="25CE4985"/>
    <w:rsid w:val="25DA77CC"/>
    <w:rsid w:val="26041880"/>
    <w:rsid w:val="261F4FC6"/>
    <w:rsid w:val="26E67854"/>
    <w:rsid w:val="2760601E"/>
    <w:rsid w:val="27CB3A3C"/>
    <w:rsid w:val="27DD2205"/>
    <w:rsid w:val="28307399"/>
    <w:rsid w:val="284F0306"/>
    <w:rsid w:val="288B0113"/>
    <w:rsid w:val="29390599"/>
    <w:rsid w:val="2A676BD4"/>
    <w:rsid w:val="2AF41B37"/>
    <w:rsid w:val="2B0A318F"/>
    <w:rsid w:val="2B260CD5"/>
    <w:rsid w:val="2CBB6EDB"/>
    <w:rsid w:val="2CC76462"/>
    <w:rsid w:val="2F0519C5"/>
    <w:rsid w:val="2F230A1E"/>
    <w:rsid w:val="2F29603D"/>
    <w:rsid w:val="2FCA7EFA"/>
    <w:rsid w:val="2FDC76C6"/>
    <w:rsid w:val="2FF50692"/>
    <w:rsid w:val="30423429"/>
    <w:rsid w:val="313647D6"/>
    <w:rsid w:val="31974A5F"/>
    <w:rsid w:val="319A1486"/>
    <w:rsid w:val="3229027E"/>
    <w:rsid w:val="323608E3"/>
    <w:rsid w:val="32792E5C"/>
    <w:rsid w:val="33E27803"/>
    <w:rsid w:val="33FF7521"/>
    <w:rsid w:val="345352F3"/>
    <w:rsid w:val="35270140"/>
    <w:rsid w:val="36A52549"/>
    <w:rsid w:val="36D774D4"/>
    <w:rsid w:val="376F1CE4"/>
    <w:rsid w:val="37814290"/>
    <w:rsid w:val="37B31416"/>
    <w:rsid w:val="38BB5F8A"/>
    <w:rsid w:val="38FD681F"/>
    <w:rsid w:val="395C67D7"/>
    <w:rsid w:val="39B82D65"/>
    <w:rsid w:val="39F45223"/>
    <w:rsid w:val="3A0670B5"/>
    <w:rsid w:val="3A453E22"/>
    <w:rsid w:val="3B280A70"/>
    <w:rsid w:val="3C723A8F"/>
    <w:rsid w:val="3CA512F2"/>
    <w:rsid w:val="3CFC1C3A"/>
    <w:rsid w:val="3D132CDD"/>
    <w:rsid w:val="3D1B650C"/>
    <w:rsid w:val="3E0B379C"/>
    <w:rsid w:val="3E684749"/>
    <w:rsid w:val="3E744DCA"/>
    <w:rsid w:val="3F036587"/>
    <w:rsid w:val="3F741466"/>
    <w:rsid w:val="3F9B52C9"/>
    <w:rsid w:val="3FB32F3B"/>
    <w:rsid w:val="3FD029F0"/>
    <w:rsid w:val="409A5175"/>
    <w:rsid w:val="4143494A"/>
    <w:rsid w:val="41E66B39"/>
    <w:rsid w:val="41ED1341"/>
    <w:rsid w:val="42CC31CF"/>
    <w:rsid w:val="43D344DB"/>
    <w:rsid w:val="43EB5336"/>
    <w:rsid w:val="440E0785"/>
    <w:rsid w:val="443004A5"/>
    <w:rsid w:val="45081497"/>
    <w:rsid w:val="458D7650"/>
    <w:rsid w:val="459D289D"/>
    <w:rsid w:val="459F3416"/>
    <w:rsid w:val="45EB541D"/>
    <w:rsid w:val="46AE4BC9"/>
    <w:rsid w:val="478C1BDA"/>
    <w:rsid w:val="47C471D9"/>
    <w:rsid w:val="481D659C"/>
    <w:rsid w:val="48627FE7"/>
    <w:rsid w:val="48D42E64"/>
    <w:rsid w:val="49101D04"/>
    <w:rsid w:val="495E7B36"/>
    <w:rsid w:val="497A3852"/>
    <w:rsid w:val="49F044C3"/>
    <w:rsid w:val="4AAA3765"/>
    <w:rsid w:val="4AF73CDE"/>
    <w:rsid w:val="4B0D5706"/>
    <w:rsid w:val="4B562F8D"/>
    <w:rsid w:val="4B7F0A2C"/>
    <w:rsid w:val="4D114AD5"/>
    <w:rsid w:val="4D502F0E"/>
    <w:rsid w:val="4D5F5359"/>
    <w:rsid w:val="4E1577DC"/>
    <w:rsid w:val="4E744C33"/>
    <w:rsid w:val="4F166502"/>
    <w:rsid w:val="50896142"/>
    <w:rsid w:val="51257B7F"/>
    <w:rsid w:val="51510EDE"/>
    <w:rsid w:val="51735D0C"/>
    <w:rsid w:val="51EE40F7"/>
    <w:rsid w:val="52DE4517"/>
    <w:rsid w:val="539258DA"/>
    <w:rsid w:val="53EE789D"/>
    <w:rsid w:val="54811AC9"/>
    <w:rsid w:val="54D803C6"/>
    <w:rsid w:val="558C76AB"/>
    <w:rsid w:val="55AD000D"/>
    <w:rsid w:val="565325EF"/>
    <w:rsid w:val="569576A3"/>
    <w:rsid w:val="57140A92"/>
    <w:rsid w:val="573764F7"/>
    <w:rsid w:val="581E4045"/>
    <w:rsid w:val="5831760E"/>
    <w:rsid w:val="58974FC5"/>
    <w:rsid w:val="58E51C7E"/>
    <w:rsid w:val="58F75430"/>
    <w:rsid w:val="591046DA"/>
    <w:rsid w:val="596B3960"/>
    <w:rsid w:val="59701785"/>
    <w:rsid w:val="59E233E4"/>
    <w:rsid w:val="59EA7BBF"/>
    <w:rsid w:val="59FF1730"/>
    <w:rsid w:val="5A995E49"/>
    <w:rsid w:val="5ABD2FEA"/>
    <w:rsid w:val="5C051271"/>
    <w:rsid w:val="5C086BE5"/>
    <w:rsid w:val="5C305025"/>
    <w:rsid w:val="5CAF3452"/>
    <w:rsid w:val="5D7E5719"/>
    <w:rsid w:val="5D812ECE"/>
    <w:rsid w:val="5FF842F6"/>
    <w:rsid w:val="60887E86"/>
    <w:rsid w:val="60D816A6"/>
    <w:rsid w:val="629425AA"/>
    <w:rsid w:val="62A04FB2"/>
    <w:rsid w:val="631A453B"/>
    <w:rsid w:val="635E09F0"/>
    <w:rsid w:val="640417D9"/>
    <w:rsid w:val="649C2C7F"/>
    <w:rsid w:val="654D4BFC"/>
    <w:rsid w:val="657161B3"/>
    <w:rsid w:val="658472AB"/>
    <w:rsid w:val="65AE22F8"/>
    <w:rsid w:val="66F353CA"/>
    <w:rsid w:val="67183B7B"/>
    <w:rsid w:val="67286A4B"/>
    <w:rsid w:val="6738185B"/>
    <w:rsid w:val="67436009"/>
    <w:rsid w:val="67DC365A"/>
    <w:rsid w:val="67DD2E71"/>
    <w:rsid w:val="68162E71"/>
    <w:rsid w:val="68771E2A"/>
    <w:rsid w:val="6879770F"/>
    <w:rsid w:val="69680ECD"/>
    <w:rsid w:val="69692D82"/>
    <w:rsid w:val="696D4804"/>
    <w:rsid w:val="6A7D4FE4"/>
    <w:rsid w:val="6B2440D8"/>
    <w:rsid w:val="6B374DEA"/>
    <w:rsid w:val="6BC5294B"/>
    <w:rsid w:val="6C023F17"/>
    <w:rsid w:val="6C99370D"/>
    <w:rsid w:val="6CA3073E"/>
    <w:rsid w:val="6CA544F8"/>
    <w:rsid w:val="6CF7669F"/>
    <w:rsid w:val="6D443457"/>
    <w:rsid w:val="6D4A20C0"/>
    <w:rsid w:val="6D7D4085"/>
    <w:rsid w:val="6DE173DC"/>
    <w:rsid w:val="6E1523F4"/>
    <w:rsid w:val="6E180A3F"/>
    <w:rsid w:val="6E25469D"/>
    <w:rsid w:val="6E367E6F"/>
    <w:rsid w:val="6EE03831"/>
    <w:rsid w:val="70A501E6"/>
    <w:rsid w:val="70D95BF6"/>
    <w:rsid w:val="70DE4866"/>
    <w:rsid w:val="712D7821"/>
    <w:rsid w:val="71454D6A"/>
    <w:rsid w:val="71457784"/>
    <w:rsid w:val="724E562E"/>
    <w:rsid w:val="72742586"/>
    <w:rsid w:val="73C2550C"/>
    <w:rsid w:val="744E1978"/>
    <w:rsid w:val="747B41A6"/>
    <w:rsid w:val="74955CA2"/>
    <w:rsid w:val="74C56727"/>
    <w:rsid w:val="75302577"/>
    <w:rsid w:val="754D41BF"/>
    <w:rsid w:val="75BD3BB7"/>
    <w:rsid w:val="75E53B34"/>
    <w:rsid w:val="75E7346E"/>
    <w:rsid w:val="76663FF5"/>
    <w:rsid w:val="76B252CC"/>
    <w:rsid w:val="777B1852"/>
    <w:rsid w:val="77CC14F5"/>
    <w:rsid w:val="781C1318"/>
    <w:rsid w:val="78D14701"/>
    <w:rsid w:val="791C55EE"/>
    <w:rsid w:val="79446476"/>
    <w:rsid w:val="79F862DE"/>
    <w:rsid w:val="7A537FF6"/>
    <w:rsid w:val="7B7741F1"/>
    <w:rsid w:val="7BC75143"/>
    <w:rsid w:val="7C772AC5"/>
    <w:rsid w:val="7C8043EA"/>
    <w:rsid w:val="7CAE694C"/>
    <w:rsid w:val="7D7E7A11"/>
    <w:rsid w:val="7D99121F"/>
    <w:rsid w:val="7DBA3B5B"/>
    <w:rsid w:val="7DCC5217"/>
    <w:rsid w:val="7E5D76B5"/>
    <w:rsid w:val="7E8A2189"/>
    <w:rsid w:val="7EF267E8"/>
    <w:rsid w:val="7F4F3194"/>
    <w:rsid w:val="7FBF4962"/>
    <w:rsid w:val="7FF76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1040" w:firstLineChars="20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ind w:firstLine="0" w:firstLineChars="0"/>
      <w:outlineLvl w:val="2"/>
    </w:pPr>
    <w:rPr>
      <w:b/>
      <w:sz w:val="32"/>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qFormat/>
    <w:uiPriority w:val="0"/>
  </w:style>
  <w:style w:type="paragraph" w:styleId="10">
    <w:name w:val="Subtitle"/>
    <w:basedOn w:val="1"/>
    <w:next w:val="1"/>
    <w:qFormat/>
    <w:uiPriority w:val="0"/>
    <w:pPr>
      <w:spacing w:before="240" w:after="60" w:line="312" w:lineRule="auto"/>
      <w:jc w:val="left"/>
      <w:outlineLvl w:val="1"/>
    </w:pPr>
    <w:rPr>
      <w:rFonts w:ascii="Calibri Light" w:hAnsi="Calibri Light"/>
      <w:b/>
      <w:bCs/>
      <w:kern w:val="28"/>
      <w:sz w:val="32"/>
      <w:szCs w:val="32"/>
    </w:rPr>
  </w:style>
  <w:style w:type="paragraph" w:styleId="11">
    <w:name w:val="toc 2"/>
    <w:basedOn w:val="1"/>
    <w:next w:val="1"/>
    <w:qFormat/>
    <w:uiPriority w:val="0"/>
    <w:pPr>
      <w:ind w:left="420" w:leftChars="200"/>
    </w:pPr>
  </w:style>
  <w:style w:type="paragraph" w:styleId="12">
    <w:name w:val="Body Text 2"/>
    <w:basedOn w:val="1"/>
    <w:qFormat/>
    <w:uiPriority w:val="0"/>
    <w:pPr>
      <w:spacing w:after="120" w:line="480" w:lineRule="auto"/>
    </w:pPr>
    <w:rPr>
      <w:rFonts w:eastAsia="宋体"/>
    </w:rPr>
  </w:style>
  <w:style w:type="paragraph" w:styleId="13">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8">
    <w:name w:val="Default"/>
    <w:unhideWhenUsed/>
    <w:qFormat/>
    <w:uiPriority w:val="99"/>
    <w:pPr>
      <w:widowControl w:val="0"/>
      <w:autoSpaceDE w:val="0"/>
      <w:autoSpaceDN w:val="0"/>
      <w:adjustRightInd w:val="0"/>
    </w:pPr>
    <w:rPr>
      <w:rFonts w:hint="eastAsia" w:ascii="宋体" w:hAnsi="宋体" w:eastAsia="宋体" w:cs="Times New Roman"/>
      <w:color w:val="000000"/>
      <w:sz w:val="24"/>
      <w:lang w:val="en-US" w:eastAsia="zh-CN" w:bidi="ar-SA"/>
    </w:rPr>
  </w:style>
  <w:style w:type="character" w:customStyle="1" w:styleId="19">
    <w:name w:val="fontstyle01"/>
    <w:qFormat/>
    <w:uiPriority w:val="0"/>
    <w:rPr>
      <w:rFonts w:hint="default" w:ascii="Tianshi-HeiOld-Identity-H" w:hAnsi="Tianshi-HeiOld-Identity-H"/>
      <w:color w:val="3E3A39"/>
      <w:sz w:val="18"/>
      <w:szCs w:val="18"/>
    </w:rPr>
  </w:style>
  <w:style w:type="character" w:customStyle="1" w:styleId="20">
    <w:name w:val="标题 1字符"/>
    <w:link w:val="2"/>
    <w:qFormat/>
    <w:uiPriority w:val="0"/>
    <w:rPr>
      <w:b/>
      <w:kern w:val="44"/>
      <w:sz w:val="44"/>
    </w:rPr>
  </w:style>
  <w:style w:type="paragraph" w:customStyle="1" w:styleId="21">
    <w:name w:val="标题3，小四，黑体"/>
    <w:basedOn w:val="1"/>
    <w:qFormat/>
    <w:uiPriority w:val="0"/>
    <w:pPr>
      <w:keepNext/>
      <w:keepLines/>
      <w:spacing w:before="100" w:line="360" w:lineRule="auto"/>
      <w:ind w:firstLine="1040" w:firstLineChars="200"/>
      <w:outlineLvl w:val="2"/>
    </w:pPr>
    <w:rPr>
      <w:rFonts w:eastAsia="黑体" w:cs="宋体"/>
      <w:bCs/>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3511</Words>
  <Characters>3883</Characters>
  <Lines>42</Lines>
  <Paragraphs>12</Paragraphs>
  <TotalTime>13</TotalTime>
  <ScaleCrop>false</ScaleCrop>
  <LinksUpToDate>false</LinksUpToDate>
  <CharactersWithSpaces>4300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2017-03-17T06:36:00Z</dcterms:created>
  <dc:creator>Administrator</dc:creator>
  <cp:lastModifiedBy>米济</cp:lastModifiedBy>
  <dcterms:modified xsi:type="dcterms:W3CDTF">2018-07-27T06:57:43Z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