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合规审查报告</w:t>
      </w:r>
    </w:p>
    <w:p/>
    <w:p/>
    <w:p>
      <w:r>
        <w:rPr>
          <w:b/>
        </w:rPr>
        <w:t>审查任务 ID：</w:t>
      </w:r>
      <w:r>
        <w:t>adc77047-e8c6-4aba-9a2f-5b79e62b6067</w:t>
      </w:r>
    </w:p>
    <w:p>
      <w:r>
        <w:rPr>
          <w:b/>
        </w:rPr>
        <w:t>合同类型：</w:t>
      </w:r>
      <w:r>
        <w:t>other</w:t>
      </w:r>
    </w:p>
    <w:p>
      <w:r>
        <w:rPr>
          <w:b/>
        </w:rPr>
        <w:t>完成时间：</w:t>
      </w:r>
      <w:r>
        <w:t>2026-09-06T14:20:13</w:t>
      </w:r>
    </w:p>
    <w:p>
      <w:r>
        <w:rPr>
          <w:b/>
        </w:rPr>
        <w:t>风险统计：</w:t>
      </w:r>
      <w:r>
        <w:t>🔴 0  🟡 0  🟢 1  合计 1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sz w:val="22"/>
        </w:rPr>
        <w:t>本次审查共识别 **1** 项风险，其中高风险 0 项、中风险 0 项、低风险 1 项。整体风险可控。</w:t>
      </w:r>
    </w:p>
    <w:p>
      <w:r>
        <w:t xml:space="preserve">合同类型：other。共检出 1 项风险（高 0 / 中 0 / 低 1）。未发现重大风险，部分条款建议关注。 </w:t>
      </w:r>
    </w:p>
    <w:p>
      <w:r>
        <w:br w:type="page"/>
      </w:r>
    </w:p>
    <w:p>
      <w:pPr>
        <w:pStyle w:val="Heading1"/>
      </w:pPr>
      <w:r>
        <w:t>合同基本信息</w:t>
      </w:r>
    </w:p>
    <w:p>
      <w:r>
        <w:t>（未提取到结构化合同信息）</w:t>
      </w:r>
    </w:p>
    <w:p>
      <w:r>
        <w:br w:type="page"/>
      </w:r>
    </w:p>
    <w:p>
      <w:pPr>
        <w:pStyle w:val="Heading1"/>
      </w:pPr>
      <w:r>
        <w:t>风险总览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color w:val="2E86AB"/>
              </w:rPr>
              <w:t>低风险</w:t>
            </w:r>
          </w:p>
        </w:tc>
        <w:tc>
          <w:tcPr>
            <w:tcW w:type="dxa" w:w="1728"/>
          </w:tcPr>
          <w:p>
            <w:r>
              <w:t>明确性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条款原文为技术方案与图设计报告，不涉及劳动合同条款内容，因此不存在任何风险。</w:t>
            </w:r>
          </w:p>
        </w:tc>
      </w:tr>
    </w:tbl>
    <w:p>
      <w:r>
        <w:br w:type="page"/>
      </w:r>
    </w:p>
    <w:p>
      <w:pPr>
        <w:pStyle w:val="Heading1"/>
      </w:pPr>
      <w:r>
        <w:t>逐条风险详情</w:t>
      </w:r>
    </w:p>
    <w:p>
      <w:pPr>
        <w:pStyle w:val="Heading2"/>
      </w:pPr>
      <w:r>
        <w:rPr>
          <w:color w:val="2E86AB"/>
        </w:rPr>
        <w:t>#1 [低风险] 1</w:t>
      </w:r>
    </w:p>
    <w:p>
      <w:r>
        <w:t>风险类别：明确性    置信度：0.8</w:t>
      </w:r>
    </w:p>
    <w:p>
      <w:r>
        <w:rPr>
          <w:b/>
        </w:rPr>
        <w:t>风险描述：</w:t>
      </w:r>
    </w:p>
    <w:p>
      <w:r>
        <w:t>条款原文为技术方案与图设计报告，不涉及劳动合同条款内容，因此不存在任何风险。</w:t>
      </w:r>
    </w:p>
    <w:p>
      <w:r>
        <w:rPr>
          <w:b/>
        </w:rPr>
        <w:t>修改建议：</w:t>
      </w:r>
    </w:p>
    <w:p>
      <w:r>
        <w:t>无</w:t>
      </w:r>
    </w:p>
    <w:p>
      <w:r>
        <w:t>修改理由：条款原文为技术方案与图设计报告，不涉及劳动合同条款内容，不存在任何风险。</w:t>
      </w:r>
    </w:p>
    <w:p>
      <w:r>
        <w:br w:type="page"/>
      </w:r>
    </w:p>
    <w:p>
      <w:pPr>
        <w:pStyle w:val="Heading1"/>
      </w:pPr>
      <w:r>
        <w:t>法规附录</w:t>
      </w:r>
    </w:p>
    <w:p>
      <w:r>
        <w:t>本次审查未引用法规条文。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