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5A03" w:rsidRDefault="004B5A03" w:rsidP="004B5A03">
      <w:pPr>
        <w:pStyle w:val="Heading2"/>
        <w:shd w:val="clear" w:color="auto" w:fill="FFFFFF"/>
        <w:spacing w:before="480" w:after="240" w:line="420" w:lineRule="atLeast"/>
        <w:rPr>
          <w:color w:val="0F1114"/>
          <w:spacing w:val="-2"/>
          <w:sz w:val="30"/>
          <w:szCs w:val="30"/>
        </w:rPr>
      </w:pPr>
      <w:bookmarkStart w:id="0" w:name="_o3cjz5fy093c" w:colFirst="0" w:colLast="0"/>
      <w:bookmarkEnd w:id="0"/>
      <w:r>
        <w:rPr>
          <w:color w:val="0F1114"/>
          <w:spacing w:val="-2"/>
          <w:sz w:val="30"/>
          <w:szCs w:val="30"/>
        </w:rPr>
        <w:t>Scenario</w:t>
      </w:r>
    </w:p>
    <w:p w:rsidR="004B5A03" w:rsidRDefault="004B5A03" w:rsidP="004B5A03">
      <w:pPr>
        <w:shd w:val="clear" w:color="auto" w:fill="FFFFFF"/>
        <w:rPr>
          <w:color w:val="0F1114"/>
          <w:sz w:val="24"/>
          <w:szCs w:val="24"/>
        </w:rPr>
      </w:pPr>
      <w:r>
        <w:rPr>
          <w:noProof/>
          <w:color w:val="0F1114"/>
          <w:lang w:val="en-SG"/>
        </w:rPr>
        <w:drawing>
          <wp:inline distT="0" distB="0" distL="0" distR="0">
            <wp:extent cx="15240000" cy="66675"/>
            <wp:effectExtent l="0" t="0" r="0" b="9525"/>
            <wp:docPr id="3" name="Picture 3" descr="https://d3c33hcgiwev3.cloudfront.net/imageAssetProxy.v1/9S-IzWNqSDO3d1c8xJo9eA_b36c719b7486409f86bbf482cf26c0f1_image.png?expiry=1778326385805&amp;hmac=dHTp2HD7MlMo47ELH11MEdbH3r0YWZv87nchNK-pf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d3c33hcgiwev3.cloudfront.net/imageAssetProxy.v1/9S-IzWNqSDO3d1c8xJo9eA_b36c719b7486409f86bbf482cf26c0f1_image.png?expiry=1778326385805&amp;hmac=dHTp2HD7MlMo47ELH11MEdbH3r0YWZv87nchNK-pfR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0" cy="66675"/>
                    </a:xfrm>
                    <a:prstGeom prst="rect">
                      <a:avLst/>
                    </a:prstGeom>
                    <a:noFill/>
                    <a:ln>
                      <a:noFill/>
                    </a:ln>
                  </pic:spPr>
                </pic:pic>
              </a:graphicData>
            </a:graphic>
          </wp:inline>
        </w:drawing>
      </w:r>
    </w:p>
    <w:p w:rsidR="004B5A03" w:rsidRDefault="004B5A03" w:rsidP="004B5A03">
      <w:pPr>
        <w:pStyle w:val="NormalWeb"/>
        <w:shd w:val="clear" w:color="auto" w:fill="FFFFFF"/>
        <w:spacing w:before="120" w:beforeAutospacing="0" w:after="240" w:afterAutospacing="0" w:line="360" w:lineRule="atLeast"/>
        <w:rPr>
          <w:rFonts w:ascii="Arial" w:hAnsi="Arial" w:cs="Arial"/>
          <w:color w:val="0F1114"/>
        </w:rPr>
      </w:pPr>
      <w:r>
        <w:rPr>
          <w:rFonts w:ascii="Arial" w:hAnsi="Arial" w:cs="Arial"/>
          <w:color w:val="0F1114"/>
        </w:rPr>
        <w:t>You've joined a new cybersecurity team at a commercial bank. The team is conducting a risk assessment of the bank's current operational environment. As part of the assessment, they are creating a risk register to help them focus on securing the most vulnerable risks</w:t>
      </w:r>
      <w:r w:rsidR="009469F8">
        <w:rPr>
          <w:rFonts w:ascii="Arial" w:hAnsi="Arial" w:cs="Arial"/>
          <w:color w:val="0F1114"/>
        </w:rPr>
        <w:t xml:space="preserve"> </w:t>
      </w:r>
      <w:r w:rsidR="009469F8">
        <w:rPr>
          <w:rFonts w:ascii="Arial" w:hAnsi="Arial" w:cs="Arial"/>
          <w:color w:val="0F1114"/>
          <w:shd w:val="clear" w:color="auto" w:fill="FFFFFF"/>
        </w:rPr>
        <w:t>to help security teams prioritize their efforts and resources.</w:t>
      </w:r>
    </w:p>
    <w:p w:rsidR="004B5A03" w:rsidRDefault="004B5A03" w:rsidP="004B5A03">
      <w:pPr>
        <w:pStyle w:val="NormalWeb"/>
        <w:shd w:val="clear" w:color="auto" w:fill="FFFFFF"/>
        <w:spacing w:before="120" w:beforeAutospacing="0" w:after="240" w:afterAutospacing="0" w:line="360" w:lineRule="atLeast"/>
        <w:rPr>
          <w:rFonts w:ascii="Arial" w:hAnsi="Arial" w:cs="Arial"/>
          <w:color w:val="0F1114"/>
        </w:rPr>
      </w:pPr>
      <w:r>
        <w:rPr>
          <w:rFonts w:ascii="Arial" w:hAnsi="Arial" w:cs="Arial"/>
          <w:color w:val="0F1114"/>
        </w:rPr>
        <w:t xml:space="preserve">A </w:t>
      </w:r>
      <w:r>
        <w:rPr>
          <w:rStyle w:val="Strong"/>
          <w:rFonts w:ascii="inherit" w:hAnsi="inherit" w:cs="Arial"/>
          <w:color w:val="0F1114"/>
        </w:rPr>
        <w:t>risk register</w:t>
      </w:r>
      <w:r>
        <w:rPr>
          <w:rFonts w:ascii="Arial" w:hAnsi="Arial" w:cs="Arial"/>
          <w:color w:val="0F1114"/>
        </w:rPr>
        <w:t xml:space="preserve"> is a central record of potential risks to an organization's assets, information systems, and data. Security teams commonly use risk registers when conducting a risk assessment.</w:t>
      </w:r>
    </w:p>
    <w:p w:rsidR="004B5A03" w:rsidRDefault="004B5A03" w:rsidP="004B5A03">
      <w:pPr>
        <w:pStyle w:val="NormalWeb"/>
        <w:shd w:val="clear" w:color="auto" w:fill="FFFFFF"/>
        <w:spacing w:before="120" w:beforeAutospacing="0" w:after="240" w:afterAutospacing="0" w:line="360" w:lineRule="atLeast"/>
        <w:rPr>
          <w:rFonts w:ascii="Arial" w:hAnsi="Arial" w:cs="Arial"/>
          <w:color w:val="0F1114"/>
        </w:rPr>
      </w:pPr>
      <w:r>
        <w:rPr>
          <w:rFonts w:ascii="Arial" w:hAnsi="Arial" w:cs="Arial"/>
          <w:color w:val="0F1114"/>
        </w:rPr>
        <w:t>Your supervisor asks you to evaluate a set of risks that the cybersecurity team has recorded in the risk register. For each risk, you will first determine how likely that risk is to occur. Then, you will determine how severely that risk may impact the bank. Finally, you will calculate a score for the severity of that risk. You will then compare scores across all risks so your team can determine how to prioritize their attention for each risk.</w:t>
      </w:r>
    </w:p>
    <w:p w:rsidR="004B5A03" w:rsidRDefault="004B5A03" w:rsidP="004B5A03">
      <w:pPr>
        <w:pStyle w:val="NormalWeb"/>
        <w:shd w:val="clear" w:color="auto" w:fill="FFFFFF"/>
        <w:spacing w:before="120" w:beforeAutospacing="0" w:after="240" w:afterAutospacing="0" w:line="360" w:lineRule="atLeast"/>
      </w:pPr>
      <w:r>
        <w:pict>
          <v:rect id="_x0000_i1026" style="width:0;height:1.5pt" o:hralign="center" o:hrstd="t" o:hr="t" fillcolor="#a0a0a0" stroked="f"/>
        </w:pict>
      </w:r>
    </w:p>
    <w:p w:rsidR="004B5A03" w:rsidRDefault="004B5A03" w:rsidP="004B5A03">
      <w:pPr>
        <w:pStyle w:val="NormalWeb"/>
        <w:shd w:val="clear" w:color="auto" w:fill="FFFFFF"/>
        <w:spacing w:after="240" w:afterAutospacing="0" w:line="360" w:lineRule="atLeast"/>
        <w:rPr>
          <w:rFonts w:ascii="Arial" w:hAnsi="Arial" w:cs="Arial"/>
          <w:color w:val="0F1114"/>
        </w:rPr>
      </w:pPr>
      <w:r>
        <w:rPr>
          <w:rFonts w:ascii="Arial" w:hAnsi="Arial" w:cs="Arial"/>
          <w:color w:val="0F1114"/>
        </w:rPr>
        <w:t>When conducting a risk assessment, it's important to consider the factors that could cause a security event. This often starts with understanding the operating environment.</w:t>
      </w:r>
    </w:p>
    <w:p w:rsidR="004B5A03" w:rsidRPr="000141FC" w:rsidRDefault="004B5A03" w:rsidP="000141FC">
      <w:pPr>
        <w:pStyle w:val="NormalWeb"/>
        <w:shd w:val="clear" w:color="auto" w:fill="FFFFFF"/>
        <w:spacing w:after="240" w:afterAutospacing="0" w:line="360" w:lineRule="atLeast"/>
        <w:rPr>
          <w:rFonts w:ascii="Arial" w:hAnsi="Arial" w:cs="Arial"/>
          <w:color w:val="0F1114"/>
        </w:rPr>
      </w:pPr>
      <w:r>
        <w:rPr>
          <w:rFonts w:ascii="Arial" w:hAnsi="Arial" w:cs="Arial"/>
          <w:color w:val="0F1114"/>
        </w:rPr>
        <w:t>Security events are possible when assets are at risk. The source of a risk can range from malicious attackers to accidental human errors. A risk source can even come from natural or environmental hazards, such as a structural failure or power outage.</w:t>
      </w:r>
      <w:r>
        <w:rPr>
          <w:rFonts w:ascii="Google Sans" w:eastAsia="Google Sans" w:hAnsi="Google Sans" w:cs="Google Sans"/>
        </w:rPr>
        <w:br w:type="page"/>
      </w:r>
    </w:p>
    <w:p w:rsidR="00CC3A35" w:rsidRDefault="00EB61D2">
      <w:pPr>
        <w:pStyle w:val="Heading2"/>
        <w:spacing w:before="0"/>
        <w:ind w:left="-360" w:right="-360"/>
        <w:jc w:val="center"/>
        <w:rPr>
          <w:rFonts w:ascii="Google Sans" w:eastAsia="Google Sans" w:hAnsi="Google Sans" w:cs="Google Sans"/>
        </w:rPr>
      </w:pPr>
      <w:r>
        <w:rPr>
          <w:rFonts w:ascii="Google Sans" w:eastAsia="Google Sans" w:hAnsi="Google Sans" w:cs="Google Sans"/>
        </w:rPr>
        <w:lastRenderedPageBreak/>
        <w:t>Risk register</w:t>
      </w:r>
      <w:r w:rsidR="000141FC">
        <w:pict>
          <v:rect id="_x0000_i1025" style="width:0;height:1.5pt" o:hralign="center" o:hrstd="t" o:hr="t" fillcolor="#a0a0a0" stroked="f"/>
        </w:pict>
      </w:r>
    </w:p>
    <w:p w:rsidR="00CC3A35" w:rsidRDefault="00EB61D2">
      <w:pPr>
        <w:pStyle w:val="Heading3"/>
        <w:ind w:left="-360" w:right="-360"/>
        <w:rPr>
          <w:rFonts w:ascii="Google Sans" w:eastAsia="Google Sans" w:hAnsi="Google Sans" w:cs="Google Sans"/>
          <w:b/>
        </w:rPr>
      </w:pPr>
      <w:bookmarkStart w:id="1" w:name="_ea47l03q23w1" w:colFirst="0" w:colLast="0"/>
      <w:bookmarkEnd w:id="1"/>
      <w:r>
        <w:rPr>
          <w:rFonts w:ascii="Google Sans" w:eastAsia="Google Sans" w:hAnsi="Google Sans" w:cs="Google Sans"/>
          <w:b/>
        </w:rPr>
        <w:t>Operational environment:</w:t>
      </w:r>
    </w:p>
    <w:p w:rsidR="00CC3A35" w:rsidRDefault="00EB61D2">
      <w:pPr>
        <w:ind w:left="-360" w:right="-360"/>
        <w:rPr>
          <w:rFonts w:ascii="Google Sans" w:eastAsia="Google Sans" w:hAnsi="Google Sans" w:cs="Google Sans"/>
        </w:rPr>
      </w:pPr>
      <w:r>
        <w:rPr>
          <w:rFonts w:ascii="Google Sans" w:eastAsia="Google Sans" w:hAnsi="Google Sans" w:cs="Google Sans"/>
        </w:rPr>
        <w:t xml:space="preserve">The bank is located in a coastal area with low crime rates. Many people and systems handle the bank's data—100 </w:t>
      </w:r>
      <w:proofErr w:type="spellStart"/>
      <w:r>
        <w:rPr>
          <w:rFonts w:ascii="Google Sans" w:eastAsia="Google Sans" w:hAnsi="Google Sans" w:cs="Google Sans"/>
        </w:rPr>
        <w:t>on-premise</w:t>
      </w:r>
      <w:proofErr w:type="spellEnd"/>
      <w:r>
        <w:rPr>
          <w:rFonts w:ascii="Google Sans" w:eastAsia="Google Sans" w:hAnsi="Google Sans" w:cs="Google Sans"/>
        </w:rPr>
        <w:t xml:space="preserve"> employees and 20 remote employees. The customer base of the bank includes 2,000 individual accounts and 200 commercial accounts. The bank's services are marketed by a professional sports team and ten local businesses in the community. There are strict financial regulations that require the bank to secure their data and funds, like having enough cash available each day to meet Federal Reserve requirements.</w:t>
      </w:r>
    </w:p>
    <w:p w:rsidR="00CC3A35" w:rsidRDefault="00CC3A35">
      <w:pPr>
        <w:ind w:left="-360" w:right="-360"/>
        <w:rPr>
          <w:rFonts w:ascii="Google Sans" w:eastAsia="Google Sans" w:hAnsi="Google Sans" w:cs="Google Sans"/>
        </w:rPr>
      </w:pPr>
    </w:p>
    <w:p w:rsidR="00CC3A35" w:rsidRDefault="00CC3A35">
      <w:pPr>
        <w:ind w:left="-360" w:right="-360"/>
        <w:rPr>
          <w:rFonts w:ascii="Google Sans" w:eastAsia="Google Sans" w:hAnsi="Google Sans" w:cs="Google Sans"/>
        </w:rPr>
      </w:pPr>
    </w:p>
    <w:tbl>
      <w:tblPr>
        <w:tblStyle w:val="a"/>
        <w:tblW w:w="1005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
        <w:gridCol w:w="2040"/>
        <w:gridCol w:w="3435"/>
        <w:gridCol w:w="1275"/>
        <w:gridCol w:w="1215"/>
        <w:gridCol w:w="1155"/>
      </w:tblGrid>
      <w:tr w:rsidR="00CC3A35">
        <w:trPr>
          <w:jc w:val="center"/>
        </w:trPr>
        <w:tc>
          <w:tcPr>
            <w:tcW w:w="930" w:type="dxa"/>
            <w:shd w:val="clear" w:color="auto" w:fill="D9D9D9"/>
            <w:tcMar>
              <w:top w:w="100" w:type="dxa"/>
              <w:left w:w="100" w:type="dxa"/>
              <w:bottom w:w="100" w:type="dxa"/>
              <w:right w:w="100" w:type="dxa"/>
            </w:tcMar>
          </w:tcPr>
          <w:p w:rsidR="00CC3A35" w:rsidRDefault="00EB61D2">
            <w:pPr>
              <w:widowControl w:val="0"/>
              <w:spacing w:line="240" w:lineRule="auto"/>
              <w:ind w:right="60"/>
              <w:rPr>
                <w:rFonts w:ascii="Google Sans" w:eastAsia="Google Sans" w:hAnsi="Google Sans" w:cs="Google Sans"/>
                <w:b/>
              </w:rPr>
            </w:pPr>
            <w:r>
              <w:rPr>
                <w:rFonts w:ascii="Google Sans" w:eastAsia="Google Sans" w:hAnsi="Google Sans" w:cs="Google Sans"/>
                <w:b/>
              </w:rPr>
              <w:t>Asset</w:t>
            </w:r>
          </w:p>
        </w:tc>
        <w:tc>
          <w:tcPr>
            <w:tcW w:w="2040" w:type="dxa"/>
            <w:shd w:val="clear" w:color="auto" w:fill="D9D9D9"/>
            <w:tcMar>
              <w:top w:w="100" w:type="dxa"/>
              <w:left w:w="100" w:type="dxa"/>
              <w:bottom w:w="100" w:type="dxa"/>
              <w:right w:w="100" w:type="dxa"/>
            </w:tcMar>
          </w:tcPr>
          <w:p w:rsidR="00CC3A35" w:rsidRDefault="00EB61D2">
            <w:pPr>
              <w:widowControl w:val="0"/>
              <w:spacing w:line="240" w:lineRule="auto"/>
              <w:ind w:right="60"/>
              <w:rPr>
                <w:rFonts w:ascii="Google Sans" w:eastAsia="Google Sans" w:hAnsi="Google Sans" w:cs="Google Sans"/>
                <w:b/>
              </w:rPr>
            </w:pPr>
            <w:r>
              <w:rPr>
                <w:rFonts w:ascii="Google Sans" w:eastAsia="Google Sans" w:hAnsi="Google Sans" w:cs="Google Sans"/>
                <w:b/>
              </w:rPr>
              <w:t>Risk(s)</w:t>
            </w:r>
          </w:p>
        </w:tc>
        <w:tc>
          <w:tcPr>
            <w:tcW w:w="3435" w:type="dxa"/>
            <w:shd w:val="clear" w:color="auto" w:fill="D9D9D9"/>
            <w:tcMar>
              <w:top w:w="100" w:type="dxa"/>
              <w:left w:w="100" w:type="dxa"/>
              <w:bottom w:w="100" w:type="dxa"/>
              <w:right w:w="100" w:type="dxa"/>
            </w:tcMar>
          </w:tcPr>
          <w:p w:rsidR="00CC3A35" w:rsidRDefault="00EB61D2">
            <w:pPr>
              <w:widowControl w:val="0"/>
              <w:spacing w:line="240" w:lineRule="auto"/>
              <w:ind w:right="-90"/>
              <w:rPr>
                <w:rFonts w:ascii="Google Sans" w:eastAsia="Google Sans" w:hAnsi="Google Sans" w:cs="Google Sans"/>
                <w:b/>
              </w:rPr>
            </w:pPr>
            <w:r>
              <w:rPr>
                <w:rFonts w:ascii="Google Sans" w:eastAsia="Google Sans" w:hAnsi="Google Sans" w:cs="Google Sans"/>
                <w:b/>
              </w:rPr>
              <w:t>Description</w:t>
            </w:r>
          </w:p>
        </w:tc>
        <w:tc>
          <w:tcPr>
            <w:tcW w:w="1275" w:type="dxa"/>
            <w:shd w:val="clear" w:color="auto" w:fill="D9D9D9"/>
            <w:tcMar>
              <w:top w:w="100" w:type="dxa"/>
              <w:left w:w="100" w:type="dxa"/>
              <w:bottom w:w="100" w:type="dxa"/>
              <w:right w:w="100" w:type="dxa"/>
            </w:tcMar>
          </w:tcPr>
          <w:p w:rsidR="00CC3A35" w:rsidRDefault="00EB61D2">
            <w:pPr>
              <w:widowControl w:val="0"/>
              <w:spacing w:line="240" w:lineRule="auto"/>
              <w:ind w:right="-60"/>
              <w:rPr>
                <w:rFonts w:ascii="Google Sans" w:eastAsia="Google Sans" w:hAnsi="Google Sans" w:cs="Google Sans"/>
                <w:b/>
              </w:rPr>
            </w:pPr>
            <w:r>
              <w:rPr>
                <w:rFonts w:ascii="Google Sans" w:eastAsia="Google Sans" w:hAnsi="Google Sans" w:cs="Google Sans"/>
                <w:b/>
              </w:rPr>
              <w:t>Likelihood</w:t>
            </w:r>
          </w:p>
        </w:tc>
        <w:tc>
          <w:tcPr>
            <w:tcW w:w="1215" w:type="dxa"/>
            <w:shd w:val="clear" w:color="auto" w:fill="D9D9D9"/>
            <w:tcMar>
              <w:top w:w="100" w:type="dxa"/>
              <w:left w:w="100" w:type="dxa"/>
              <w:bottom w:w="100" w:type="dxa"/>
              <w:right w:w="100" w:type="dxa"/>
            </w:tcMar>
          </w:tcPr>
          <w:p w:rsidR="00CC3A35" w:rsidRDefault="00EB61D2">
            <w:pPr>
              <w:widowControl w:val="0"/>
              <w:spacing w:line="240" w:lineRule="auto"/>
              <w:ind w:right="-45"/>
              <w:rPr>
                <w:rFonts w:ascii="Google Sans" w:eastAsia="Google Sans" w:hAnsi="Google Sans" w:cs="Google Sans"/>
                <w:b/>
              </w:rPr>
            </w:pPr>
            <w:r>
              <w:rPr>
                <w:rFonts w:ascii="Google Sans" w:eastAsia="Google Sans" w:hAnsi="Google Sans" w:cs="Google Sans"/>
                <w:b/>
              </w:rPr>
              <w:t>Severity</w:t>
            </w:r>
          </w:p>
        </w:tc>
        <w:tc>
          <w:tcPr>
            <w:tcW w:w="1155" w:type="dxa"/>
            <w:shd w:val="clear" w:color="auto" w:fill="D9D9D9"/>
            <w:tcMar>
              <w:top w:w="100" w:type="dxa"/>
              <w:left w:w="100" w:type="dxa"/>
              <w:bottom w:w="100" w:type="dxa"/>
              <w:right w:w="100" w:type="dxa"/>
            </w:tcMar>
          </w:tcPr>
          <w:p w:rsidR="00CC3A35" w:rsidRDefault="00EB61D2">
            <w:pPr>
              <w:widowControl w:val="0"/>
              <w:spacing w:line="240" w:lineRule="auto"/>
              <w:ind w:right="-45"/>
              <w:rPr>
                <w:rFonts w:ascii="Google Sans" w:eastAsia="Google Sans" w:hAnsi="Google Sans" w:cs="Google Sans"/>
                <w:b/>
              </w:rPr>
            </w:pPr>
            <w:r>
              <w:rPr>
                <w:rFonts w:ascii="Google Sans" w:eastAsia="Google Sans" w:hAnsi="Google Sans" w:cs="Google Sans"/>
                <w:b/>
              </w:rPr>
              <w:t>Priority</w:t>
            </w:r>
          </w:p>
        </w:tc>
      </w:tr>
      <w:tr w:rsidR="00CC3A35">
        <w:trPr>
          <w:trHeight w:val="420"/>
          <w:jc w:val="center"/>
        </w:trPr>
        <w:tc>
          <w:tcPr>
            <w:tcW w:w="930" w:type="dxa"/>
            <w:vMerge w:val="restart"/>
            <w:shd w:val="clear" w:color="auto" w:fill="F3F3F3"/>
            <w:tcMar>
              <w:top w:w="100" w:type="dxa"/>
              <w:left w:w="100" w:type="dxa"/>
              <w:bottom w:w="100" w:type="dxa"/>
              <w:right w:w="100" w:type="dxa"/>
            </w:tcMar>
          </w:tcPr>
          <w:p w:rsidR="00CC3A35" w:rsidRDefault="00EB61D2">
            <w:pPr>
              <w:widowControl w:val="0"/>
              <w:spacing w:line="240" w:lineRule="auto"/>
              <w:ind w:right="60"/>
              <w:rPr>
                <w:rFonts w:ascii="Google Sans" w:eastAsia="Google Sans" w:hAnsi="Google Sans" w:cs="Google Sans"/>
              </w:rPr>
            </w:pPr>
            <w:r>
              <w:rPr>
                <w:rFonts w:ascii="Google Sans" w:eastAsia="Google Sans" w:hAnsi="Google Sans" w:cs="Google Sans"/>
              </w:rPr>
              <w:t>Funds</w:t>
            </w:r>
          </w:p>
        </w:tc>
        <w:tc>
          <w:tcPr>
            <w:tcW w:w="2040" w:type="dxa"/>
            <w:shd w:val="clear" w:color="auto" w:fill="auto"/>
            <w:tcMar>
              <w:top w:w="100" w:type="dxa"/>
              <w:left w:w="100" w:type="dxa"/>
              <w:bottom w:w="100" w:type="dxa"/>
              <w:right w:w="100" w:type="dxa"/>
            </w:tcMar>
          </w:tcPr>
          <w:p w:rsidR="00CC3A35" w:rsidRDefault="00EB61D2">
            <w:pPr>
              <w:widowControl w:val="0"/>
              <w:spacing w:line="240" w:lineRule="auto"/>
              <w:ind w:right="60"/>
              <w:rPr>
                <w:rFonts w:ascii="Google Sans" w:eastAsia="Google Sans" w:hAnsi="Google Sans" w:cs="Google Sans"/>
              </w:rPr>
            </w:pPr>
            <w:r>
              <w:rPr>
                <w:rFonts w:ascii="Google Sans" w:eastAsia="Google Sans" w:hAnsi="Google Sans" w:cs="Google Sans"/>
              </w:rPr>
              <w:t>Business email compromise</w:t>
            </w:r>
          </w:p>
        </w:tc>
        <w:tc>
          <w:tcPr>
            <w:tcW w:w="3435" w:type="dxa"/>
            <w:shd w:val="clear" w:color="auto" w:fill="auto"/>
            <w:tcMar>
              <w:top w:w="100" w:type="dxa"/>
              <w:left w:w="100" w:type="dxa"/>
              <w:bottom w:w="100" w:type="dxa"/>
              <w:right w:w="100" w:type="dxa"/>
            </w:tcMar>
          </w:tcPr>
          <w:p w:rsidR="00CC3A35" w:rsidRDefault="00EB61D2">
            <w:pPr>
              <w:widowControl w:val="0"/>
              <w:spacing w:line="240" w:lineRule="auto"/>
              <w:ind w:right="-90"/>
              <w:rPr>
                <w:rFonts w:ascii="Google Sans" w:eastAsia="Google Sans" w:hAnsi="Google Sans" w:cs="Google Sans"/>
                <w:i/>
              </w:rPr>
            </w:pPr>
            <w:r>
              <w:rPr>
                <w:rFonts w:ascii="Google Sans" w:eastAsia="Google Sans" w:hAnsi="Google Sans" w:cs="Google Sans"/>
                <w:i/>
              </w:rPr>
              <w:t>An employee is tricked into sharing confidential information.</w:t>
            </w:r>
          </w:p>
        </w:tc>
        <w:tc>
          <w:tcPr>
            <w:tcW w:w="1275" w:type="dxa"/>
            <w:shd w:val="clear" w:color="auto" w:fill="auto"/>
            <w:tcMar>
              <w:top w:w="100" w:type="dxa"/>
              <w:left w:w="100" w:type="dxa"/>
              <w:bottom w:w="100" w:type="dxa"/>
              <w:right w:w="100" w:type="dxa"/>
            </w:tcMar>
          </w:tcPr>
          <w:p w:rsidR="00CC3A35" w:rsidRPr="000141FC" w:rsidRDefault="00EB61D2">
            <w:pPr>
              <w:widowControl w:val="0"/>
              <w:spacing w:line="240" w:lineRule="auto"/>
              <w:ind w:right="-60"/>
              <w:jc w:val="right"/>
              <w:rPr>
                <w:rFonts w:ascii="Google Sans" w:eastAsia="Google Sans" w:hAnsi="Google Sans" w:cs="Google Sans"/>
                <w:b/>
                <w:color w:val="0070C0"/>
              </w:rPr>
            </w:pPr>
            <w:r w:rsidRPr="000141FC">
              <w:rPr>
                <w:rFonts w:ascii="Google Sans" w:eastAsia="Google Sans" w:hAnsi="Google Sans" w:cs="Google Sans"/>
                <w:b/>
                <w:color w:val="0070C0"/>
              </w:rPr>
              <w:t>2</w:t>
            </w:r>
          </w:p>
        </w:tc>
        <w:tc>
          <w:tcPr>
            <w:tcW w:w="1215" w:type="dxa"/>
            <w:shd w:val="clear" w:color="auto" w:fill="auto"/>
            <w:tcMar>
              <w:top w:w="100" w:type="dxa"/>
              <w:left w:w="100" w:type="dxa"/>
              <w:bottom w:w="100" w:type="dxa"/>
              <w:right w:w="100" w:type="dxa"/>
            </w:tcMar>
          </w:tcPr>
          <w:p w:rsidR="00CC3A35" w:rsidRPr="000141FC" w:rsidRDefault="00EB61D2">
            <w:pPr>
              <w:widowControl w:val="0"/>
              <w:spacing w:line="240" w:lineRule="auto"/>
              <w:ind w:right="-45"/>
              <w:jc w:val="right"/>
              <w:rPr>
                <w:rFonts w:ascii="Google Sans" w:eastAsia="Google Sans" w:hAnsi="Google Sans" w:cs="Google Sans"/>
                <w:b/>
                <w:color w:val="0070C0"/>
              </w:rPr>
            </w:pPr>
            <w:r w:rsidRPr="000141FC">
              <w:rPr>
                <w:rFonts w:ascii="Google Sans" w:eastAsia="Google Sans" w:hAnsi="Google Sans" w:cs="Google Sans"/>
                <w:b/>
                <w:color w:val="0070C0"/>
              </w:rPr>
              <w:t>2</w:t>
            </w:r>
          </w:p>
        </w:tc>
        <w:tc>
          <w:tcPr>
            <w:tcW w:w="1155" w:type="dxa"/>
            <w:shd w:val="clear" w:color="auto" w:fill="auto"/>
            <w:tcMar>
              <w:top w:w="100" w:type="dxa"/>
              <w:left w:w="100" w:type="dxa"/>
              <w:bottom w:w="100" w:type="dxa"/>
              <w:right w:w="100" w:type="dxa"/>
            </w:tcMar>
          </w:tcPr>
          <w:p w:rsidR="00CC3A35" w:rsidRPr="000141FC" w:rsidRDefault="00EB61D2">
            <w:pPr>
              <w:widowControl w:val="0"/>
              <w:spacing w:line="240" w:lineRule="auto"/>
              <w:ind w:right="-45"/>
              <w:jc w:val="right"/>
              <w:rPr>
                <w:rFonts w:ascii="Google Sans" w:eastAsia="Google Sans" w:hAnsi="Google Sans" w:cs="Google Sans"/>
                <w:b/>
                <w:color w:val="0070C0"/>
              </w:rPr>
            </w:pPr>
            <w:r w:rsidRPr="000141FC">
              <w:rPr>
                <w:rFonts w:ascii="Google Sans" w:eastAsia="Google Sans" w:hAnsi="Google Sans" w:cs="Google Sans"/>
                <w:b/>
                <w:color w:val="0070C0"/>
              </w:rPr>
              <w:t>4</w:t>
            </w:r>
          </w:p>
        </w:tc>
      </w:tr>
      <w:tr w:rsidR="00CC3A35">
        <w:trPr>
          <w:trHeight w:val="420"/>
          <w:jc w:val="center"/>
        </w:trPr>
        <w:tc>
          <w:tcPr>
            <w:tcW w:w="930" w:type="dxa"/>
            <w:vMerge/>
            <w:shd w:val="clear" w:color="auto" w:fill="F3F3F3"/>
            <w:tcMar>
              <w:top w:w="100" w:type="dxa"/>
              <w:left w:w="100" w:type="dxa"/>
              <w:bottom w:w="100" w:type="dxa"/>
              <w:right w:w="100" w:type="dxa"/>
            </w:tcMar>
          </w:tcPr>
          <w:p w:rsidR="00CC3A35" w:rsidRDefault="00CC3A35">
            <w:pPr>
              <w:widowControl w:val="0"/>
              <w:spacing w:line="240" w:lineRule="auto"/>
              <w:ind w:right="60"/>
              <w:rPr>
                <w:rFonts w:ascii="Google Sans" w:eastAsia="Google Sans" w:hAnsi="Google Sans" w:cs="Google Sans"/>
              </w:rPr>
            </w:pPr>
          </w:p>
        </w:tc>
        <w:tc>
          <w:tcPr>
            <w:tcW w:w="2040" w:type="dxa"/>
            <w:shd w:val="clear" w:color="auto" w:fill="auto"/>
            <w:tcMar>
              <w:top w:w="100" w:type="dxa"/>
              <w:left w:w="100" w:type="dxa"/>
              <w:bottom w:w="100" w:type="dxa"/>
              <w:right w:w="100" w:type="dxa"/>
            </w:tcMar>
          </w:tcPr>
          <w:p w:rsidR="00CC3A35" w:rsidRDefault="00EB61D2">
            <w:pPr>
              <w:widowControl w:val="0"/>
              <w:spacing w:line="240" w:lineRule="auto"/>
              <w:ind w:right="60"/>
              <w:rPr>
                <w:rFonts w:ascii="Google Sans" w:eastAsia="Google Sans" w:hAnsi="Google Sans" w:cs="Google Sans"/>
              </w:rPr>
            </w:pPr>
            <w:r>
              <w:rPr>
                <w:rFonts w:ascii="Google Sans" w:eastAsia="Google Sans" w:hAnsi="Google Sans" w:cs="Google Sans"/>
              </w:rPr>
              <w:t>Compromised user database</w:t>
            </w:r>
          </w:p>
        </w:tc>
        <w:tc>
          <w:tcPr>
            <w:tcW w:w="3435" w:type="dxa"/>
            <w:shd w:val="clear" w:color="auto" w:fill="auto"/>
            <w:tcMar>
              <w:top w:w="100" w:type="dxa"/>
              <w:left w:w="100" w:type="dxa"/>
              <w:bottom w:w="100" w:type="dxa"/>
              <w:right w:w="100" w:type="dxa"/>
            </w:tcMar>
          </w:tcPr>
          <w:p w:rsidR="00CC3A35" w:rsidRDefault="00EB61D2">
            <w:pPr>
              <w:widowControl w:val="0"/>
              <w:spacing w:line="240" w:lineRule="auto"/>
              <w:ind w:right="-90"/>
              <w:rPr>
                <w:rFonts w:ascii="Google Sans" w:eastAsia="Google Sans" w:hAnsi="Google Sans" w:cs="Google Sans"/>
                <w:i/>
              </w:rPr>
            </w:pPr>
            <w:r>
              <w:rPr>
                <w:rFonts w:ascii="Google Sans" w:eastAsia="Google Sans" w:hAnsi="Google Sans" w:cs="Google Sans"/>
                <w:i/>
              </w:rPr>
              <w:t>Customer data is poorly encrypted.</w:t>
            </w:r>
          </w:p>
        </w:tc>
        <w:tc>
          <w:tcPr>
            <w:tcW w:w="1275" w:type="dxa"/>
            <w:shd w:val="clear" w:color="auto" w:fill="auto"/>
            <w:tcMar>
              <w:top w:w="100" w:type="dxa"/>
              <w:left w:w="100" w:type="dxa"/>
              <w:bottom w:w="100" w:type="dxa"/>
              <w:right w:w="100" w:type="dxa"/>
            </w:tcMar>
          </w:tcPr>
          <w:p w:rsidR="00CC3A35" w:rsidRPr="000141FC" w:rsidRDefault="00EB61D2">
            <w:pPr>
              <w:widowControl w:val="0"/>
              <w:spacing w:line="240" w:lineRule="auto"/>
              <w:ind w:right="-60"/>
              <w:jc w:val="right"/>
              <w:rPr>
                <w:rFonts w:ascii="Google Sans" w:eastAsia="Google Sans" w:hAnsi="Google Sans" w:cs="Google Sans"/>
                <w:b/>
                <w:color w:val="0070C0"/>
              </w:rPr>
            </w:pPr>
            <w:r w:rsidRPr="000141FC">
              <w:rPr>
                <w:rFonts w:ascii="Google Sans" w:eastAsia="Google Sans" w:hAnsi="Google Sans" w:cs="Google Sans"/>
                <w:b/>
                <w:color w:val="0070C0"/>
              </w:rPr>
              <w:t>2</w:t>
            </w:r>
          </w:p>
        </w:tc>
        <w:tc>
          <w:tcPr>
            <w:tcW w:w="1215" w:type="dxa"/>
            <w:shd w:val="clear" w:color="auto" w:fill="auto"/>
            <w:tcMar>
              <w:top w:w="100" w:type="dxa"/>
              <w:left w:w="100" w:type="dxa"/>
              <w:bottom w:w="100" w:type="dxa"/>
              <w:right w:w="100" w:type="dxa"/>
            </w:tcMar>
          </w:tcPr>
          <w:p w:rsidR="00CC3A35" w:rsidRPr="000141FC" w:rsidRDefault="00EB61D2">
            <w:pPr>
              <w:widowControl w:val="0"/>
              <w:spacing w:line="240" w:lineRule="auto"/>
              <w:ind w:right="-45"/>
              <w:jc w:val="right"/>
              <w:rPr>
                <w:rFonts w:ascii="Google Sans" w:eastAsia="Google Sans" w:hAnsi="Google Sans" w:cs="Google Sans"/>
                <w:b/>
                <w:color w:val="0070C0"/>
              </w:rPr>
            </w:pPr>
            <w:r w:rsidRPr="000141FC">
              <w:rPr>
                <w:rFonts w:ascii="Google Sans" w:eastAsia="Google Sans" w:hAnsi="Google Sans" w:cs="Google Sans"/>
                <w:b/>
                <w:color w:val="0070C0"/>
              </w:rPr>
              <w:t>3</w:t>
            </w:r>
          </w:p>
        </w:tc>
        <w:tc>
          <w:tcPr>
            <w:tcW w:w="1155" w:type="dxa"/>
            <w:shd w:val="clear" w:color="auto" w:fill="auto"/>
            <w:tcMar>
              <w:top w:w="100" w:type="dxa"/>
              <w:left w:w="100" w:type="dxa"/>
              <w:bottom w:w="100" w:type="dxa"/>
              <w:right w:w="100" w:type="dxa"/>
            </w:tcMar>
          </w:tcPr>
          <w:p w:rsidR="00CC3A35" w:rsidRPr="000141FC" w:rsidRDefault="00EB61D2">
            <w:pPr>
              <w:widowControl w:val="0"/>
              <w:spacing w:line="240" w:lineRule="auto"/>
              <w:ind w:right="-45"/>
              <w:jc w:val="right"/>
              <w:rPr>
                <w:rFonts w:ascii="Google Sans" w:eastAsia="Google Sans" w:hAnsi="Google Sans" w:cs="Google Sans"/>
                <w:b/>
                <w:color w:val="0070C0"/>
              </w:rPr>
            </w:pPr>
            <w:r w:rsidRPr="000141FC">
              <w:rPr>
                <w:rFonts w:ascii="Google Sans" w:eastAsia="Google Sans" w:hAnsi="Google Sans" w:cs="Google Sans"/>
                <w:b/>
                <w:color w:val="0070C0"/>
              </w:rPr>
              <w:t>6</w:t>
            </w:r>
          </w:p>
        </w:tc>
      </w:tr>
      <w:tr w:rsidR="00CC3A35">
        <w:trPr>
          <w:trHeight w:val="420"/>
          <w:jc w:val="center"/>
        </w:trPr>
        <w:tc>
          <w:tcPr>
            <w:tcW w:w="930" w:type="dxa"/>
            <w:vMerge/>
            <w:shd w:val="clear" w:color="auto" w:fill="F3F3F3"/>
            <w:tcMar>
              <w:top w:w="100" w:type="dxa"/>
              <w:left w:w="100" w:type="dxa"/>
              <w:bottom w:w="100" w:type="dxa"/>
              <w:right w:w="100" w:type="dxa"/>
            </w:tcMar>
          </w:tcPr>
          <w:p w:rsidR="00CC3A35" w:rsidRDefault="00CC3A35">
            <w:pPr>
              <w:widowControl w:val="0"/>
              <w:spacing w:line="240" w:lineRule="auto"/>
              <w:ind w:right="60"/>
              <w:rPr>
                <w:rFonts w:ascii="Google Sans" w:eastAsia="Google Sans" w:hAnsi="Google Sans" w:cs="Google Sans"/>
              </w:rPr>
            </w:pPr>
          </w:p>
        </w:tc>
        <w:tc>
          <w:tcPr>
            <w:tcW w:w="2040" w:type="dxa"/>
            <w:shd w:val="clear" w:color="auto" w:fill="auto"/>
            <w:tcMar>
              <w:top w:w="100" w:type="dxa"/>
              <w:left w:w="100" w:type="dxa"/>
              <w:bottom w:w="100" w:type="dxa"/>
              <w:right w:w="100" w:type="dxa"/>
            </w:tcMar>
          </w:tcPr>
          <w:p w:rsidR="00CC3A35" w:rsidRDefault="00EB61D2">
            <w:pPr>
              <w:widowControl w:val="0"/>
              <w:spacing w:line="240" w:lineRule="auto"/>
              <w:ind w:right="60"/>
              <w:rPr>
                <w:rFonts w:ascii="Google Sans" w:eastAsia="Google Sans" w:hAnsi="Google Sans" w:cs="Google Sans"/>
              </w:rPr>
            </w:pPr>
            <w:r>
              <w:rPr>
                <w:rFonts w:ascii="Google Sans" w:eastAsia="Google Sans" w:hAnsi="Google Sans" w:cs="Google Sans"/>
              </w:rPr>
              <w:t>Financial records leak</w:t>
            </w:r>
          </w:p>
        </w:tc>
        <w:tc>
          <w:tcPr>
            <w:tcW w:w="3435" w:type="dxa"/>
            <w:shd w:val="clear" w:color="auto" w:fill="auto"/>
            <w:tcMar>
              <w:top w:w="100" w:type="dxa"/>
              <w:left w:w="100" w:type="dxa"/>
              <w:bottom w:w="100" w:type="dxa"/>
              <w:right w:w="100" w:type="dxa"/>
            </w:tcMar>
          </w:tcPr>
          <w:p w:rsidR="00CC3A35" w:rsidRDefault="00EB61D2">
            <w:pPr>
              <w:widowControl w:val="0"/>
              <w:spacing w:line="240" w:lineRule="auto"/>
              <w:ind w:right="-90"/>
              <w:rPr>
                <w:rFonts w:ascii="Google Sans" w:eastAsia="Google Sans" w:hAnsi="Google Sans" w:cs="Google Sans"/>
                <w:i/>
              </w:rPr>
            </w:pPr>
            <w:r>
              <w:rPr>
                <w:rFonts w:ascii="Google Sans" w:eastAsia="Google Sans" w:hAnsi="Google Sans" w:cs="Google Sans"/>
                <w:i/>
              </w:rPr>
              <w:t>A database server of backed up data is publicly accessible.</w:t>
            </w:r>
          </w:p>
        </w:tc>
        <w:tc>
          <w:tcPr>
            <w:tcW w:w="1275" w:type="dxa"/>
            <w:shd w:val="clear" w:color="auto" w:fill="auto"/>
            <w:tcMar>
              <w:top w:w="100" w:type="dxa"/>
              <w:left w:w="100" w:type="dxa"/>
              <w:bottom w:w="100" w:type="dxa"/>
              <w:right w:w="100" w:type="dxa"/>
            </w:tcMar>
          </w:tcPr>
          <w:p w:rsidR="00CC3A35" w:rsidRPr="000141FC" w:rsidRDefault="00EB61D2">
            <w:pPr>
              <w:widowControl w:val="0"/>
              <w:spacing w:line="240" w:lineRule="auto"/>
              <w:ind w:right="-60"/>
              <w:jc w:val="right"/>
              <w:rPr>
                <w:rFonts w:ascii="Google Sans" w:eastAsia="Google Sans" w:hAnsi="Google Sans" w:cs="Google Sans"/>
                <w:b/>
                <w:color w:val="0070C0"/>
              </w:rPr>
            </w:pPr>
            <w:r w:rsidRPr="000141FC">
              <w:rPr>
                <w:rFonts w:ascii="Google Sans" w:eastAsia="Google Sans" w:hAnsi="Google Sans" w:cs="Google Sans"/>
                <w:b/>
                <w:color w:val="0070C0"/>
              </w:rPr>
              <w:t>3</w:t>
            </w:r>
          </w:p>
        </w:tc>
        <w:tc>
          <w:tcPr>
            <w:tcW w:w="1215" w:type="dxa"/>
            <w:shd w:val="clear" w:color="auto" w:fill="auto"/>
            <w:tcMar>
              <w:top w:w="100" w:type="dxa"/>
              <w:left w:w="100" w:type="dxa"/>
              <w:bottom w:w="100" w:type="dxa"/>
              <w:right w:w="100" w:type="dxa"/>
            </w:tcMar>
          </w:tcPr>
          <w:p w:rsidR="00CC3A35" w:rsidRPr="000141FC" w:rsidRDefault="00EB61D2">
            <w:pPr>
              <w:widowControl w:val="0"/>
              <w:spacing w:line="240" w:lineRule="auto"/>
              <w:ind w:right="-45"/>
              <w:jc w:val="right"/>
              <w:rPr>
                <w:rFonts w:ascii="Google Sans" w:eastAsia="Google Sans" w:hAnsi="Google Sans" w:cs="Google Sans"/>
                <w:b/>
                <w:color w:val="0070C0"/>
              </w:rPr>
            </w:pPr>
            <w:r w:rsidRPr="000141FC">
              <w:rPr>
                <w:rFonts w:ascii="Google Sans" w:eastAsia="Google Sans" w:hAnsi="Google Sans" w:cs="Google Sans"/>
                <w:b/>
                <w:color w:val="0070C0"/>
              </w:rPr>
              <w:t>3</w:t>
            </w:r>
          </w:p>
        </w:tc>
        <w:tc>
          <w:tcPr>
            <w:tcW w:w="1155" w:type="dxa"/>
            <w:shd w:val="clear" w:color="auto" w:fill="auto"/>
            <w:tcMar>
              <w:top w:w="100" w:type="dxa"/>
              <w:left w:w="100" w:type="dxa"/>
              <w:bottom w:w="100" w:type="dxa"/>
              <w:right w:w="100" w:type="dxa"/>
            </w:tcMar>
          </w:tcPr>
          <w:p w:rsidR="00CC3A35" w:rsidRPr="000141FC" w:rsidRDefault="00EB61D2">
            <w:pPr>
              <w:widowControl w:val="0"/>
              <w:spacing w:line="240" w:lineRule="auto"/>
              <w:ind w:right="-45"/>
              <w:jc w:val="right"/>
              <w:rPr>
                <w:rFonts w:ascii="Google Sans" w:eastAsia="Google Sans" w:hAnsi="Google Sans" w:cs="Google Sans"/>
                <w:b/>
                <w:color w:val="0070C0"/>
              </w:rPr>
            </w:pPr>
            <w:r w:rsidRPr="000141FC">
              <w:rPr>
                <w:rFonts w:ascii="Google Sans" w:eastAsia="Google Sans" w:hAnsi="Google Sans" w:cs="Google Sans"/>
                <w:b/>
                <w:color w:val="0070C0"/>
              </w:rPr>
              <w:t>9</w:t>
            </w:r>
          </w:p>
        </w:tc>
      </w:tr>
      <w:tr w:rsidR="00CC3A35">
        <w:trPr>
          <w:trHeight w:val="420"/>
          <w:jc w:val="center"/>
        </w:trPr>
        <w:tc>
          <w:tcPr>
            <w:tcW w:w="930" w:type="dxa"/>
            <w:vMerge/>
            <w:shd w:val="clear" w:color="auto" w:fill="F3F3F3"/>
            <w:tcMar>
              <w:top w:w="100" w:type="dxa"/>
              <w:left w:w="100" w:type="dxa"/>
              <w:bottom w:w="100" w:type="dxa"/>
              <w:right w:w="100" w:type="dxa"/>
            </w:tcMar>
          </w:tcPr>
          <w:p w:rsidR="00CC3A35" w:rsidRDefault="00CC3A35">
            <w:pPr>
              <w:widowControl w:val="0"/>
              <w:spacing w:line="240" w:lineRule="auto"/>
              <w:ind w:right="60"/>
              <w:rPr>
                <w:rFonts w:ascii="Google Sans" w:eastAsia="Google Sans" w:hAnsi="Google Sans" w:cs="Google Sans"/>
              </w:rPr>
            </w:pPr>
          </w:p>
        </w:tc>
        <w:tc>
          <w:tcPr>
            <w:tcW w:w="2040" w:type="dxa"/>
            <w:shd w:val="clear" w:color="auto" w:fill="auto"/>
            <w:tcMar>
              <w:top w:w="100" w:type="dxa"/>
              <w:left w:w="100" w:type="dxa"/>
              <w:bottom w:w="100" w:type="dxa"/>
              <w:right w:w="100" w:type="dxa"/>
            </w:tcMar>
          </w:tcPr>
          <w:p w:rsidR="00CC3A35" w:rsidRDefault="00EB61D2">
            <w:pPr>
              <w:widowControl w:val="0"/>
              <w:spacing w:line="240" w:lineRule="auto"/>
              <w:ind w:right="60"/>
              <w:rPr>
                <w:rFonts w:ascii="Google Sans" w:eastAsia="Google Sans" w:hAnsi="Google Sans" w:cs="Google Sans"/>
              </w:rPr>
            </w:pPr>
            <w:r>
              <w:rPr>
                <w:rFonts w:ascii="Google Sans" w:eastAsia="Google Sans" w:hAnsi="Google Sans" w:cs="Google Sans"/>
              </w:rPr>
              <w:t>Theft</w:t>
            </w:r>
          </w:p>
        </w:tc>
        <w:tc>
          <w:tcPr>
            <w:tcW w:w="3435" w:type="dxa"/>
            <w:shd w:val="clear" w:color="auto" w:fill="auto"/>
            <w:tcMar>
              <w:top w:w="100" w:type="dxa"/>
              <w:left w:w="100" w:type="dxa"/>
              <w:bottom w:w="100" w:type="dxa"/>
              <w:right w:w="100" w:type="dxa"/>
            </w:tcMar>
          </w:tcPr>
          <w:p w:rsidR="00CC3A35" w:rsidRDefault="00EB61D2">
            <w:pPr>
              <w:widowControl w:val="0"/>
              <w:spacing w:line="240" w:lineRule="auto"/>
              <w:ind w:right="-90"/>
              <w:rPr>
                <w:rFonts w:ascii="Google Sans" w:eastAsia="Google Sans" w:hAnsi="Google Sans" w:cs="Google Sans"/>
                <w:i/>
              </w:rPr>
            </w:pPr>
            <w:r>
              <w:rPr>
                <w:rFonts w:ascii="Google Sans" w:eastAsia="Google Sans" w:hAnsi="Google Sans" w:cs="Google Sans"/>
                <w:i/>
              </w:rPr>
              <w:t>The bank's safe is left unlocked.</w:t>
            </w:r>
          </w:p>
        </w:tc>
        <w:tc>
          <w:tcPr>
            <w:tcW w:w="1275" w:type="dxa"/>
            <w:shd w:val="clear" w:color="auto" w:fill="auto"/>
            <w:tcMar>
              <w:top w:w="100" w:type="dxa"/>
              <w:left w:w="100" w:type="dxa"/>
              <w:bottom w:w="100" w:type="dxa"/>
              <w:right w:w="100" w:type="dxa"/>
            </w:tcMar>
          </w:tcPr>
          <w:p w:rsidR="00CC3A35" w:rsidRPr="000141FC" w:rsidRDefault="00EB61D2">
            <w:pPr>
              <w:widowControl w:val="0"/>
              <w:spacing w:line="240" w:lineRule="auto"/>
              <w:ind w:right="-60"/>
              <w:jc w:val="right"/>
              <w:rPr>
                <w:rFonts w:ascii="Google Sans" w:eastAsia="Google Sans" w:hAnsi="Google Sans" w:cs="Google Sans"/>
                <w:b/>
                <w:color w:val="0070C0"/>
              </w:rPr>
            </w:pPr>
            <w:r w:rsidRPr="000141FC">
              <w:rPr>
                <w:rFonts w:ascii="Google Sans" w:eastAsia="Google Sans" w:hAnsi="Google Sans" w:cs="Google Sans"/>
                <w:b/>
                <w:color w:val="0070C0"/>
              </w:rPr>
              <w:t>1</w:t>
            </w:r>
          </w:p>
        </w:tc>
        <w:tc>
          <w:tcPr>
            <w:tcW w:w="1215" w:type="dxa"/>
            <w:shd w:val="clear" w:color="auto" w:fill="auto"/>
            <w:tcMar>
              <w:top w:w="100" w:type="dxa"/>
              <w:left w:w="100" w:type="dxa"/>
              <w:bottom w:w="100" w:type="dxa"/>
              <w:right w:w="100" w:type="dxa"/>
            </w:tcMar>
          </w:tcPr>
          <w:p w:rsidR="00CC3A35" w:rsidRPr="000141FC" w:rsidRDefault="00EB61D2">
            <w:pPr>
              <w:widowControl w:val="0"/>
              <w:spacing w:line="240" w:lineRule="auto"/>
              <w:ind w:right="-45"/>
              <w:jc w:val="right"/>
              <w:rPr>
                <w:rFonts w:ascii="Google Sans" w:eastAsia="Google Sans" w:hAnsi="Google Sans" w:cs="Google Sans"/>
                <w:b/>
                <w:color w:val="0070C0"/>
              </w:rPr>
            </w:pPr>
            <w:r w:rsidRPr="000141FC">
              <w:rPr>
                <w:rFonts w:ascii="Google Sans" w:eastAsia="Google Sans" w:hAnsi="Google Sans" w:cs="Google Sans"/>
                <w:b/>
                <w:color w:val="0070C0"/>
              </w:rPr>
              <w:t>3</w:t>
            </w:r>
          </w:p>
        </w:tc>
        <w:tc>
          <w:tcPr>
            <w:tcW w:w="1155" w:type="dxa"/>
            <w:shd w:val="clear" w:color="auto" w:fill="auto"/>
            <w:tcMar>
              <w:top w:w="100" w:type="dxa"/>
              <w:left w:w="100" w:type="dxa"/>
              <w:bottom w:w="100" w:type="dxa"/>
              <w:right w:w="100" w:type="dxa"/>
            </w:tcMar>
          </w:tcPr>
          <w:p w:rsidR="00CC3A35" w:rsidRPr="000141FC" w:rsidRDefault="00EB61D2">
            <w:pPr>
              <w:widowControl w:val="0"/>
              <w:spacing w:line="240" w:lineRule="auto"/>
              <w:ind w:right="-45"/>
              <w:jc w:val="right"/>
              <w:rPr>
                <w:rFonts w:ascii="Google Sans" w:eastAsia="Google Sans" w:hAnsi="Google Sans" w:cs="Google Sans"/>
                <w:b/>
                <w:color w:val="0070C0"/>
              </w:rPr>
            </w:pPr>
            <w:r w:rsidRPr="000141FC">
              <w:rPr>
                <w:rFonts w:ascii="Google Sans" w:eastAsia="Google Sans" w:hAnsi="Google Sans" w:cs="Google Sans"/>
                <w:b/>
                <w:color w:val="0070C0"/>
              </w:rPr>
              <w:t>3</w:t>
            </w:r>
          </w:p>
        </w:tc>
      </w:tr>
      <w:tr w:rsidR="00CC3A35">
        <w:trPr>
          <w:trHeight w:val="420"/>
          <w:jc w:val="center"/>
        </w:trPr>
        <w:tc>
          <w:tcPr>
            <w:tcW w:w="930" w:type="dxa"/>
            <w:vMerge/>
            <w:shd w:val="clear" w:color="auto" w:fill="F3F3F3"/>
            <w:tcMar>
              <w:top w:w="100" w:type="dxa"/>
              <w:left w:w="100" w:type="dxa"/>
              <w:bottom w:w="100" w:type="dxa"/>
              <w:right w:w="100" w:type="dxa"/>
            </w:tcMar>
          </w:tcPr>
          <w:p w:rsidR="00CC3A35" w:rsidRDefault="00CC3A35">
            <w:pPr>
              <w:widowControl w:val="0"/>
              <w:spacing w:line="240" w:lineRule="auto"/>
              <w:ind w:right="60"/>
              <w:rPr>
                <w:rFonts w:ascii="Google Sans" w:eastAsia="Google Sans" w:hAnsi="Google Sans" w:cs="Google Sans"/>
              </w:rPr>
            </w:pPr>
          </w:p>
        </w:tc>
        <w:tc>
          <w:tcPr>
            <w:tcW w:w="2040" w:type="dxa"/>
            <w:shd w:val="clear" w:color="auto" w:fill="auto"/>
            <w:tcMar>
              <w:top w:w="100" w:type="dxa"/>
              <w:left w:w="100" w:type="dxa"/>
              <w:bottom w:w="100" w:type="dxa"/>
              <w:right w:w="100" w:type="dxa"/>
            </w:tcMar>
          </w:tcPr>
          <w:p w:rsidR="00CC3A35" w:rsidRDefault="00EB61D2">
            <w:pPr>
              <w:widowControl w:val="0"/>
              <w:spacing w:line="240" w:lineRule="auto"/>
              <w:ind w:right="60"/>
              <w:rPr>
                <w:rFonts w:ascii="Google Sans" w:eastAsia="Google Sans" w:hAnsi="Google Sans" w:cs="Google Sans"/>
              </w:rPr>
            </w:pPr>
            <w:r>
              <w:rPr>
                <w:rFonts w:ascii="Google Sans" w:eastAsia="Google Sans" w:hAnsi="Google Sans" w:cs="Google Sans"/>
              </w:rPr>
              <w:t>Supply chain disruption</w:t>
            </w:r>
          </w:p>
        </w:tc>
        <w:tc>
          <w:tcPr>
            <w:tcW w:w="3435" w:type="dxa"/>
            <w:shd w:val="clear" w:color="auto" w:fill="auto"/>
            <w:tcMar>
              <w:top w:w="100" w:type="dxa"/>
              <w:left w:w="100" w:type="dxa"/>
              <w:bottom w:w="100" w:type="dxa"/>
              <w:right w:w="100" w:type="dxa"/>
            </w:tcMar>
          </w:tcPr>
          <w:p w:rsidR="00CC3A35" w:rsidRDefault="00EB61D2">
            <w:pPr>
              <w:widowControl w:val="0"/>
              <w:spacing w:line="240" w:lineRule="auto"/>
              <w:ind w:right="-90"/>
              <w:rPr>
                <w:rFonts w:ascii="Google Sans" w:eastAsia="Google Sans" w:hAnsi="Google Sans" w:cs="Google Sans"/>
                <w:i/>
              </w:rPr>
            </w:pPr>
            <w:r>
              <w:rPr>
                <w:rFonts w:ascii="Google Sans" w:eastAsia="Google Sans" w:hAnsi="Google Sans" w:cs="Google Sans"/>
                <w:i/>
              </w:rPr>
              <w:t>Delivery delays due to natural disasters.</w:t>
            </w:r>
          </w:p>
        </w:tc>
        <w:tc>
          <w:tcPr>
            <w:tcW w:w="1275" w:type="dxa"/>
            <w:shd w:val="clear" w:color="auto" w:fill="auto"/>
            <w:tcMar>
              <w:top w:w="100" w:type="dxa"/>
              <w:left w:w="100" w:type="dxa"/>
              <w:bottom w:w="100" w:type="dxa"/>
              <w:right w:w="100" w:type="dxa"/>
            </w:tcMar>
          </w:tcPr>
          <w:p w:rsidR="00CC3A35" w:rsidRPr="000141FC" w:rsidRDefault="00EB61D2">
            <w:pPr>
              <w:widowControl w:val="0"/>
              <w:spacing w:line="240" w:lineRule="auto"/>
              <w:ind w:right="-60"/>
              <w:jc w:val="right"/>
              <w:rPr>
                <w:rFonts w:ascii="Google Sans" w:eastAsia="Google Sans" w:hAnsi="Google Sans" w:cs="Google Sans"/>
                <w:b/>
                <w:color w:val="0070C0"/>
              </w:rPr>
            </w:pPr>
            <w:r w:rsidRPr="000141FC">
              <w:rPr>
                <w:rFonts w:ascii="Google Sans" w:eastAsia="Google Sans" w:hAnsi="Google Sans" w:cs="Google Sans"/>
                <w:b/>
                <w:color w:val="0070C0"/>
              </w:rPr>
              <w:t>1</w:t>
            </w:r>
          </w:p>
        </w:tc>
        <w:tc>
          <w:tcPr>
            <w:tcW w:w="1215" w:type="dxa"/>
            <w:shd w:val="clear" w:color="auto" w:fill="auto"/>
            <w:tcMar>
              <w:top w:w="100" w:type="dxa"/>
              <w:left w:w="100" w:type="dxa"/>
              <w:bottom w:w="100" w:type="dxa"/>
              <w:right w:w="100" w:type="dxa"/>
            </w:tcMar>
          </w:tcPr>
          <w:p w:rsidR="00CC3A35" w:rsidRPr="000141FC" w:rsidRDefault="00EB61D2">
            <w:pPr>
              <w:widowControl w:val="0"/>
              <w:spacing w:line="240" w:lineRule="auto"/>
              <w:ind w:right="-45"/>
              <w:jc w:val="right"/>
              <w:rPr>
                <w:rFonts w:ascii="Google Sans" w:eastAsia="Google Sans" w:hAnsi="Google Sans" w:cs="Google Sans"/>
                <w:b/>
                <w:color w:val="0070C0"/>
              </w:rPr>
            </w:pPr>
            <w:r w:rsidRPr="000141FC">
              <w:rPr>
                <w:rFonts w:ascii="Google Sans" w:eastAsia="Google Sans" w:hAnsi="Google Sans" w:cs="Google Sans"/>
                <w:b/>
                <w:color w:val="0070C0"/>
              </w:rPr>
              <w:t>2</w:t>
            </w:r>
          </w:p>
        </w:tc>
        <w:tc>
          <w:tcPr>
            <w:tcW w:w="1155" w:type="dxa"/>
            <w:shd w:val="clear" w:color="auto" w:fill="auto"/>
            <w:tcMar>
              <w:top w:w="100" w:type="dxa"/>
              <w:left w:w="100" w:type="dxa"/>
              <w:bottom w:w="100" w:type="dxa"/>
              <w:right w:w="100" w:type="dxa"/>
            </w:tcMar>
          </w:tcPr>
          <w:p w:rsidR="00CC3A35" w:rsidRPr="000141FC" w:rsidRDefault="00EB61D2">
            <w:pPr>
              <w:widowControl w:val="0"/>
              <w:spacing w:line="240" w:lineRule="auto"/>
              <w:ind w:right="-45"/>
              <w:jc w:val="right"/>
              <w:rPr>
                <w:rFonts w:ascii="Google Sans" w:eastAsia="Google Sans" w:hAnsi="Google Sans" w:cs="Google Sans"/>
                <w:b/>
                <w:color w:val="0070C0"/>
              </w:rPr>
            </w:pPr>
            <w:r w:rsidRPr="000141FC">
              <w:rPr>
                <w:rFonts w:ascii="Google Sans" w:eastAsia="Google Sans" w:hAnsi="Google Sans" w:cs="Google Sans"/>
                <w:b/>
                <w:color w:val="0070C0"/>
              </w:rPr>
              <w:t>2</w:t>
            </w:r>
          </w:p>
        </w:tc>
      </w:tr>
      <w:tr w:rsidR="00CC3A35">
        <w:trPr>
          <w:trHeight w:val="420"/>
          <w:jc w:val="center"/>
        </w:trPr>
        <w:tc>
          <w:tcPr>
            <w:tcW w:w="930" w:type="dxa"/>
            <w:shd w:val="clear" w:color="auto" w:fill="F3F3F3"/>
            <w:tcMar>
              <w:top w:w="100" w:type="dxa"/>
              <w:left w:w="100" w:type="dxa"/>
              <w:bottom w:w="100" w:type="dxa"/>
              <w:right w:w="100" w:type="dxa"/>
            </w:tcMar>
          </w:tcPr>
          <w:p w:rsidR="00CC3A35" w:rsidRDefault="00EB61D2">
            <w:pPr>
              <w:widowControl w:val="0"/>
              <w:spacing w:line="240" w:lineRule="auto"/>
              <w:ind w:right="60"/>
              <w:rPr>
                <w:rFonts w:ascii="Google Sans" w:eastAsia="Google Sans" w:hAnsi="Google Sans" w:cs="Google Sans"/>
              </w:rPr>
            </w:pPr>
            <w:r>
              <w:rPr>
                <w:rFonts w:ascii="Google Sans" w:eastAsia="Google Sans" w:hAnsi="Google Sans" w:cs="Google Sans"/>
              </w:rPr>
              <w:t>Notes</w:t>
            </w:r>
          </w:p>
        </w:tc>
        <w:tc>
          <w:tcPr>
            <w:tcW w:w="9120" w:type="dxa"/>
            <w:gridSpan w:val="5"/>
            <w:shd w:val="clear" w:color="auto" w:fill="auto"/>
            <w:tcMar>
              <w:top w:w="100" w:type="dxa"/>
              <w:left w:w="100" w:type="dxa"/>
              <w:bottom w:w="100" w:type="dxa"/>
              <w:right w:w="100" w:type="dxa"/>
            </w:tcMar>
          </w:tcPr>
          <w:p w:rsidR="000141FC" w:rsidRPr="000141FC" w:rsidRDefault="00EB61D2">
            <w:pPr>
              <w:ind w:right="-90"/>
              <w:rPr>
                <w:rFonts w:ascii="Google Sans" w:eastAsia="Google Sans" w:hAnsi="Google Sans" w:cs="Google Sans"/>
                <w:b/>
                <w:color w:val="0070C0"/>
              </w:rPr>
            </w:pPr>
            <w:r w:rsidRPr="000141FC">
              <w:rPr>
                <w:rFonts w:ascii="Google Sans" w:eastAsia="Google Sans" w:hAnsi="Google Sans" w:cs="Google Sans"/>
                <w:b/>
                <w:color w:val="0070C0"/>
              </w:rPr>
              <w:t>Doing business with other companies might increase the risks to data since it presents other avenues for the</w:t>
            </w:r>
            <w:r w:rsidR="000141FC" w:rsidRPr="000141FC">
              <w:rPr>
                <w:rFonts w:ascii="Google Sans" w:eastAsia="Google Sans" w:hAnsi="Google Sans" w:cs="Google Sans"/>
                <w:b/>
                <w:color w:val="0070C0"/>
              </w:rPr>
              <w:t xml:space="preserve"> information to be compromised.</w:t>
            </w:r>
            <w:r w:rsidR="000141FC" w:rsidRPr="000141FC">
              <w:rPr>
                <w:b/>
              </w:rPr>
              <w:t xml:space="preserve"> </w:t>
            </w:r>
            <w:r w:rsidR="000141FC" w:rsidRPr="000141FC">
              <w:rPr>
                <w:rFonts w:ascii="Google Sans" w:eastAsia="Google Sans" w:hAnsi="Google Sans" w:cs="Google Sans"/>
                <w:b/>
                <w:color w:val="0070C0"/>
              </w:rPr>
              <w:t>The number of other companies that interact with the bank is a risk factor to be considered and might introduce incidents beyond the bank's control.</w:t>
            </w:r>
          </w:p>
          <w:p w:rsidR="000141FC" w:rsidRPr="000141FC" w:rsidRDefault="000141FC">
            <w:pPr>
              <w:ind w:right="-90"/>
              <w:rPr>
                <w:rFonts w:ascii="Google Sans" w:eastAsia="Google Sans" w:hAnsi="Google Sans" w:cs="Google Sans"/>
                <w:b/>
                <w:color w:val="0070C0"/>
              </w:rPr>
            </w:pPr>
          </w:p>
          <w:p w:rsidR="00CC3A35" w:rsidRPr="000141FC" w:rsidRDefault="00EB61D2">
            <w:pPr>
              <w:ind w:right="-90"/>
              <w:rPr>
                <w:rFonts w:ascii="Google Sans" w:eastAsia="Google Sans" w:hAnsi="Google Sans" w:cs="Google Sans"/>
                <w:b/>
                <w:color w:val="0070C0"/>
              </w:rPr>
            </w:pPr>
            <w:r w:rsidRPr="000141FC">
              <w:rPr>
                <w:rFonts w:ascii="Google Sans" w:eastAsia="Google Sans" w:hAnsi="Google Sans" w:cs="Google Sans"/>
                <w:b/>
                <w:color w:val="0070C0"/>
              </w:rPr>
              <w:t>The risk of theft is important</w:t>
            </w:r>
            <w:r w:rsidR="000141FC" w:rsidRPr="000141FC">
              <w:rPr>
                <w:rFonts w:ascii="Google Sans" w:eastAsia="Google Sans" w:hAnsi="Google Sans" w:cs="Google Sans"/>
                <w:b/>
                <w:color w:val="0070C0"/>
              </w:rPr>
              <w:t xml:space="preserve"> to consider because of the number of customers and the operational impact it could have to the business</w:t>
            </w:r>
            <w:r w:rsidRPr="000141FC">
              <w:rPr>
                <w:rFonts w:ascii="Google Sans" w:eastAsia="Google Sans" w:hAnsi="Google Sans" w:cs="Google Sans"/>
                <w:b/>
                <w:color w:val="0070C0"/>
              </w:rPr>
              <w:t>, but might not be a priority because the bank is in an area with low crime rates.</w:t>
            </w:r>
          </w:p>
          <w:p w:rsidR="004B5A03" w:rsidRPr="000141FC" w:rsidRDefault="004B5A03">
            <w:pPr>
              <w:ind w:right="-90"/>
              <w:rPr>
                <w:rFonts w:ascii="Google Sans" w:eastAsia="Google Sans" w:hAnsi="Google Sans" w:cs="Google Sans"/>
                <w:b/>
                <w:color w:val="0070C0"/>
              </w:rPr>
            </w:pPr>
          </w:p>
          <w:p w:rsidR="004B5A03" w:rsidRPr="000141FC" w:rsidRDefault="004B5A03">
            <w:pPr>
              <w:ind w:right="-90"/>
              <w:rPr>
                <w:rFonts w:ascii="Google Sans" w:eastAsia="Google Sans" w:hAnsi="Google Sans" w:cs="Google Sans"/>
                <w:b/>
                <w:color w:val="0070C0"/>
              </w:rPr>
            </w:pPr>
            <w:r w:rsidRPr="000141FC">
              <w:rPr>
                <w:rFonts w:ascii="Google Sans" w:eastAsia="Google Sans" w:hAnsi="Google Sans" w:cs="Google Sans"/>
                <w:b/>
                <w:color w:val="0070C0"/>
              </w:rPr>
              <w:t>Being located in a coastal area, there's a likelihood that the bank may experience supply chain disruptions caused by hurricanes. However, a hurricane might only impact the bank every few years, so you can score the likelihood as low.</w:t>
            </w:r>
          </w:p>
          <w:p w:rsidR="009469F8" w:rsidRPr="000141FC" w:rsidRDefault="009469F8">
            <w:pPr>
              <w:ind w:right="-90"/>
              <w:rPr>
                <w:rFonts w:ascii="Google Sans" w:eastAsia="Google Sans" w:hAnsi="Google Sans" w:cs="Google Sans"/>
                <w:b/>
                <w:color w:val="0070C0"/>
              </w:rPr>
            </w:pPr>
          </w:p>
          <w:p w:rsidR="009469F8" w:rsidRDefault="009469F8">
            <w:pPr>
              <w:ind w:right="-90"/>
              <w:rPr>
                <w:rFonts w:ascii="Google Sans" w:eastAsia="Google Sans" w:hAnsi="Google Sans" w:cs="Google Sans"/>
                <w:b/>
                <w:color w:val="0070C0"/>
              </w:rPr>
            </w:pPr>
            <w:r w:rsidRPr="000141FC">
              <w:rPr>
                <w:rFonts w:ascii="Google Sans" w:eastAsia="Google Sans" w:hAnsi="Google Sans" w:cs="Google Sans"/>
                <w:b/>
                <w:color w:val="0070C0"/>
              </w:rPr>
              <w:t>A leak of financial records might lead to a loss of profits, a loss of customers, and heavy regulatory fines. A risk such as this might receive a severity score of 3 because it greatly impacts the bank's ability to operate.</w:t>
            </w:r>
          </w:p>
          <w:p w:rsidR="000141FC" w:rsidRDefault="000141FC">
            <w:pPr>
              <w:ind w:right="-90"/>
              <w:rPr>
                <w:rFonts w:ascii="Google Sans" w:eastAsia="Google Sans" w:hAnsi="Google Sans" w:cs="Google Sans"/>
                <w:b/>
                <w:color w:val="0070C0"/>
              </w:rPr>
            </w:pPr>
          </w:p>
          <w:p w:rsidR="000141FC" w:rsidRDefault="000141FC">
            <w:pPr>
              <w:ind w:right="-90"/>
              <w:rPr>
                <w:rFonts w:ascii="Google Sans" w:eastAsia="Google Sans" w:hAnsi="Google Sans" w:cs="Google Sans"/>
                <w:b/>
                <w:color w:val="0070C0"/>
              </w:rPr>
            </w:pPr>
            <w:r w:rsidRPr="000141FC">
              <w:rPr>
                <w:rFonts w:ascii="Google Sans" w:eastAsia="Google Sans" w:hAnsi="Google Sans" w:cs="Google Sans"/>
                <w:b/>
                <w:color w:val="0070C0"/>
              </w:rPr>
              <w:lastRenderedPageBreak/>
              <w:t xml:space="preserve">No risk received a severity score less than 2 because risks that involve data breaches such as business email </w:t>
            </w:r>
            <w:proofErr w:type="gramStart"/>
            <w:r w:rsidRPr="000141FC">
              <w:rPr>
                <w:rFonts w:ascii="Google Sans" w:eastAsia="Google Sans" w:hAnsi="Google Sans" w:cs="Google Sans"/>
                <w:b/>
                <w:color w:val="0070C0"/>
              </w:rPr>
              <w:t>compromise,</w:t>
            </w:r>
            <w:proofErr w:type="gramEnd"/>
            <w:r w:rsidRPr="000141FC">
              <w:rPr>
                <w:rFonts w:ascii="Google Sans" w:eastAsia="Google Sans" w:hAnsi="Google Sans" w:cs="Google Sans"/>
                <w:b/>
                <w:color w:val="0070C0"/>
              </w:rPr>
              <w:t xml:space="preserve"> can have serious consequences. Customers at a bank trust the businesses to protect their money and personal information. Also, the bank's operations could be terminated if they fail to comply with regulations.</w:t>
            </w:r>
          </w:p>
          <w:p w:rsidR="000141FC" w:rsidRDefault="000141FC">
            <w:pPr>
              <w:ind w:right="-90"/>
              <w:rPr>
                <w:rFonts w:ascii="Google Sans" w:eastAsia="Google Sans" w:hAnsi="Google Sans" w:cs="Google Sans"/>
                <w:b/>
                <w:color w:val="0070C0"/>
              </w:rPr>
            </w:pPr>
          </w:p>
          <w:p w:rsidR="000141FC" w:rsidRPr="000141FC" w:rsidRDefault="000141FC">
            <w:pPr>
              <w:ind w:right="-90"/>
              <w:rPr>
                <w:rFonts w:ascii="Google Sans" w:eastAsia="Google Sans" w:hAnsi="Google Sans" w:cs="Google Sans"/>
                <w:b/>
                <w:color w:val="0070C0"/>
              </w:rPr>
            </w:pPr>
            <w:r w:rsidRPr="000141FC">
              <w:rPr>
                <w:rFonts w:ascii="Google Sans" w:eastAsia="Google Sans" w:hAnsi="Google Sans" w:cs="Google Sans"/>
                <w:b/>
                <w:color w:val="0070C0"/>
              </w:rPr>
              <w:t>A financial records leak received the highest overall risk score of 9. This indicates that this risk is almost certain to happen and would greatly impact the bank's ability to operate. Such a high overall score signals the security team to prioritize remediating, or resolving any issues related to that risk before moving on to risks that scored lower.</w:t>
            </w:r>
            <w:bookmarkStart w:id="2" w:name="_GoBack"/>
            <w:bookmarkEnd w:id="2"/>
          </w:p>
        </w:tc>
      </w:tr>
    </w:tbl>
    <w:p w:rsidR="00CC3A35" w:rsidRDefault="00CC3A35">
      <w:pPr>
        <w:ind w:left="-360" w:right="-360"/>
        <w:rPr>
          <w:rFonts w:ascii="Google Sans" w:eastAsia="Google Sans" w:hAnsi="Google Sans" w:cs="Google Sans"/>
          <w:i/>
        </w:rPr>
      </w:pPr>
    </w:p>
    <w:p w:rsidR="00CC3A35" w:rsidRDefault="00CC3A35">
      <w:pPr>
        <w:ind w:left="-360" w:right="-360"/>
        <w:rPr>
          <w:rFonts w:ascii="Google Sans" w:eastAsia="Google Sans" w:hAnsi="Google Sans" w:cs="Google Sans"/>
        </w:rPr>
      </w:pPr>
    </w:p>
    <w:p w:rsidR="00CC3A35" w:rsidRDefault="00EB61D2">
      <w:pPr>
        <w:ind w:left="-360" w:right="-360"/>
        <w:rPr>
          <w:rFonts w:ascii="Google Sans" w:eastAsia="Google Sans" w:hAnsi="Google Sans" w:cs="Google Sans"/>
        </w:rPr>
      </w:pPr>
      <w:r>
        <w:rPr>
          <w:rFonts w:ascii="Google Sans" w:eastAsia="Google Sans" w:hAnsi="Google Sans" w:cs="Google Sans"/>
          <w:b/>
        </w:rPr>
        <w:t>Asset:</w:t>
      </w:r>
      <w:r>
        <w:rPr>
          <w:rFonts w:ascii="Google Sans" w:eastAsia="Google Sans" w:hAnsi="Google Sans" w:cs="Google Sans"/>
        </w:rPr>
        <w:t xml:space="preserve"> The asset at risk of being harmed, damaged, or stolen.</w:t>
      </w:r>
    </w:p>
    <w:p w:rsidR="00CC3A35" w:rsidRDefault="00EB61D2">
      <w:pPr>
        <w:ind w:left="-360" w:right="-360"/>
        <w:rPr>
          <w:rFonts w:ascii="Google Sans" w:eastAsia="Google Sans" w:hAnsi="Google Sans" w:cs="Google Sans"/>
        </w:rPr>
      </w:pPr>
      <w:r>
        <w:rPr>
          <w:rFonts w:ascii="Google Sans" w:eastAsia="Google Sans" w:hAnsi="Google Sans" w:cs="Google Sans"/>
          <w:b/>
        </w:rPr>
        <w:t>Risk(s):</w:t>
      </w:r>
      <w:r>
        <w:rPr>
          <w:rFonts w:ascii="Google Sans" w:eastAsia="Google Sans" w:hAnsi="Google Sans" w:cs="Google Sans"/>
        </w:rPr>
        <w:t xml:space="preserve"> A potential risk to the organization's information systems and data.</w:t>
      </w:r>
    </w:p>
    <w:p w:rsidR="00CC3A35" w:rsidRDefault="00EB61D2">
      <w:pPr>
        <w:ind w:left="-360" w:right="-360"/>
        <w:rPr>
          <w:rFonts w:ascii="Google Sans" w:eastAsia="Google Sans" w:hAnsi="Google Sans" w:cs="Google Sans"/>
        </w:rPr>
      </w:pPr>
      <w:r>
        <w:rPr>
          <w:rFonts w:ascii="Google Sans" w:eastAsia="Google Sans" w:hAnsi="Google Sans" w:cs="Google Sans"/>
          <w:b/>
        </w:rPr>
        <w:t>Description:</w:t>
      </w:r>
      <w:r>
        <w:rPr>
          <w:rFonts w:ascii="Google Sans" w:eastAsia="Google Sans" w:hAnsi="Google Sans" w:cs="Google Sans"/>
        </w:rPr>
        <w:t xml:space="preserve"> A vulnerability that might lead to a security incident.</w:t>
      </w:r>
    </w:p>
    <w:p w:rsidR="00CC3A35" w:rsidRDefault="00EB61D2">
      <w:pPr>
        <w:ind w:left="-360" w:right="-360"/>
        <w:rPr>
          <w:rFonts w:ascii="Google Sans" w:eastAsia="Google Sans" w:hAnsi="Google Sans" w:cs="Google Sans"/>
        </w:rPr>
      </w:pPr>
      <w:r>
        <w:rPr>
          <w:rFonts w:ascii="Google Sans" w:eastAsia="Google Sans" w:hAnsi="Google Sans" w:cs="Google Sans"/>
          <w:b/>
        </w:rPr>
        <w:t>Likelihood:</w:t>
      </w:r>
      <w:r>
        <w:rPr>
          <w:rFonts w:ascii="Google Sans" w:eastAsia="Google Sans" w:hAnsi="Google Sans" w:cs="Google Sans"/>
        </w:rPr>
        <w:t xml:space="preserve"> Score from 1-3 of the chances of a vulnerability being exploited. A 1 means there's a low likelihood, a 2 means there's a moderate likelihood, and a 3 means there's a high likelihood.</w:t>
      </w:r>
    </w:p>
    <w:p w:rsidR="00CC3A35" w:rsidRDefault="00EB61D2">
      <w:pPr>
        <w:ind w:left="-360" w:right="-360"/>
        <w:rPr>
          <w:rFonts w:ascii="Google Sans" w:eastAsia="Google Sans" w:hAnsi="Google Sans" w:cs="Google Sans"/>
        </w:rPr>
      </w:pPr>
      <w:r>
        <w:rPr>
          <w:rFonts w:ascii="Google Sans" w:eastAsia="Google Sans" w:hAnsi="Google Sans" w:cs="Google Sans"/>
          <w:b/>
        </w:rPr>
        <w:t>Severity:</w:t>
      </w:r>
      <w:r>
        <w:rPr>
          <w:rFonts w:ascii="Google Sans" w:eastAsia="Google Sans" w:hAnsi="Google Sans" w:cs="Google Sans"/>
        </w:rPr>
        <w:t xml:space="preserve"> Score from 1-3 of the potential damage the threat would cause to the business. A 1 means a low severity impact, a 2 is a moderate severity impact, and a 3 is a high severity impact.</w:t>
      </w:r>
    </w:p>
    <w:p w:rsidR="00CC3A35" w:rsidRDefault="00EB61D2">
      <w:pPr>
        <w:ind w:left="-360"/>
      </w:pPr>
      <w:r>
        <w:rPr>
          <w:rFonts w:ascii="Google Sans" w:eastAsia="Google Sans" w:hAnsi="Google Sans" w:cs="Google Sans"/>
          <w:b/>
        </w:rPr>
        <w:t>Priority:</w:t>
      </w:r>
      <w:r>
        <w:rPr>
          <w:rFonts w:ascii="Google Sans" w:eastAsia="Google Sans" w:hAnsi="Google Sans" w:cs="Google Sans"/>
        </w:rPr>
        <w:t xml:space="preserve"> How quickly a risk should be addressed to avoid the potential incident. Use the following formula to calculate the overall score: </w:t>
      </w:r>
      <w:r>
        <w:rPr>
          <w:rFonts w:ascii="Google Sans" w:eastAsia="Google Sans" w:hAnsi="Google Sans" w:cs="Google Sans"/>
          <w:b/>
        </w:rPr>
        <w:t>Likelihood x Impact Severity = Risk</w:t>
      </w:r>
    </w:p>
    <w:p w:rsidR="00EB61D2" w:rsidRDefault="00EB61D2">
      <w:pPr>
        <w:ind w:left="-360"/>
      </w:pPr>
    </w:p>
    <w:p w:rsidR="00EB61D2" w:rsidRDefault="00EB61D2">
      <w:pPr>
        <w:ind w:left="-360"/>
      </w:pPr>
      <w:r w:rsidRPr="00EB61D2">
        <w:rPr>
          <w:noProof/>
          <w:lang w:val="en-SG"/>
        </w:rPr>
        <w:drawing>
          <wp:inline distT="0" distB="0" distL="0" distR="0" wp14:anchorId="3D6BEAE2" wp14:editId="628BC0DC">
            <wp:extent cx="5943600" cy="29984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2998470"/>
                    </a:xfrm>
                    <a:prstGeom prst="rect">
                      <a:avLst/>
                    </a:prstGeom>
                  </pic:spPr>
                </pic:pic>
              </a:graphicData>
            </a:graphic>
          </wp:inline>
        </w:drawing>
      </w:r>
    </w:p>
    <w:sectPr w:rsidR="00EB61D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Google Sans">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CC3A35"/>
    <w:rsid w:val="000141FC"/>
    <w:rsid w:val="00231EB8"/>
    <w:rsid w:val="004B5A03"/>
    <w:rsid w:val="009469F8"/>
    <w:rsid w:val="00952B5E"/>
    <w:rsid w:val="00CC3A35"/>
    <w:rsid w:val="00D9281D"/>
    <w:rsid w:val="00E95B9F"/>
    <w:rsid w:val="00EB61D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E95B9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5B9F"/>
    <w:rPr>
      <w:rFonts w:ascii="Tahoma" w:hAnsi="Tahoma" w:cs="Tahoma"/>
      <w:sz w:val="16"/>
      <w:szCs w:val="16"/>
    </w:rPr>
  </w:style>
  <w:style w:type="paragraph" w:styleId="NormalWeb">
    <w:name w:val="Normal (Web)"/>
    <w:basedOn w:val="Normal"/>
    <w:uiPriority w:val="99"/>
    <w:unhideWhenUsed/>
    <w:rsid w:val="004B5A03"/>
    <w:pPr>
      <w:spacing w:before="100" w:beforeAutospacing="1" w:after="100" w:afterAutospacing="1" w:line="240" w:lineRule="auto"/>
    </w:pPr>
    <w:rPr>
      <w:rFonts w:ascii="Times New Roman" w:eastAsia="Times New Roman" w:hAnsi="Times New Roman" w:cs="Times New Roman"/>
      <w:sz w:val="24"/>
      <w:szCs w:val="24"/>
      <w:lang w:val="en-SG"/>
    </w:rPr>
  </w:style>
  <w:style w:type="character" w:styleId="Strong">
    <w:name w:val="Strong"/>
    <w:basedOn w:val="DefaultParagraphFont"/>
    <w:uiPriority w:val="22"/>
    <w:qFormat/>
    <w:rsid w:val="004B5A0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E95B9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5B9F"/>
    <w:rPr>
      <w:rFonts w:ascii="Tahoma" w:hAnsi="Tahoma" w:cs="Tahoma"/>
      <w:sz w:val="16"/>
      <w:szCs w:val="16"/>
    </w:rPr>
  </w:style>
  <w:style w:type="paragraph" w:styleId="NormalWeb">
    <w:name w:val="Normal (Web)"/>
    <w:basedOn w:val="Normal"/>
    <w:uiPriority w:val="99"/>
    <w:unhideWhenUsed/>
    <w:rsid w:val="004B5A03"/>
    <w:pPr>
      <w:spacing w:before="100" w:beforeAutospacing="1" w:after="100" w:afterAutospacing="1" w:line="240" w:lineRule="auto"/>
    </w:pPr>
    <w:rPr>
      <w:rFonts w:ascii="Times New Roman" w:eastAsia="Times New Roman" w:hAnsi="Times New Roman" w:cs="Times New Roman"/>
      <w:sz w:val="24"/>
      <w:szCs w:val="24"/>
      <w:lang w:val="en-SG"/>
    </w:rPr>
  </w:style>
  <w:style w:type="character" w:styleId="Strong">
    <w:name w:val="Strong"/>
    <w:basedOn w:val="DefaultParagraphFont"/>
    <w:uiPriority w:val="22"/>
    <w:qFormat/>
    <w:rsid w:val="004B5A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8289393">
      <w:bodyDiv w:val="1"/>
      <w:marLeft w:val="0"/>
      <w:marRight w:val="0"/>
      <w:marTop w:val="0"/>
      <w:marBottom w:val="0"/>
      <w:divBdr>
        <w:top w:val="none" w:sz="0" w:space="0" w:color="auto"/>
        <w:left w:val="none" w:sz="0" w:space="0" w:color="auto"/>
        <w:bottom w:val="none" w:sz="0" w:space="0" w:color="auto"/>
        <w:right w:val="none" w:sz="0" w:space="0" w:color="auto"/>
      </w:divBdr>
    </w:div>
    <w:div w:id="514077161">
      <w:bodyDiv w:val="1"/>
      <w:marLeft w:val="0"/>
      <w:marRight w:val="0"/>
      <w:marTop w:val="0"/>
      <w:marBottom w:val="0"/>
      <w:divBdr>
        <w:top w:val="none" w:sz="0" w:space="0" w:color="auto"/>
        <w:left w:val="none" w:sz="0" w:space="0" w:color="auto"/>
        <w:bottom w:val="none" w:sz="0" w:space="0" w:color="auto"/>
        <w:right w:val="none" w:sz="0" w:space="0" w:color="auto"/>
      </w:divBdr>
      <w:divsChild>
        <w:div w:id="1869096840">
          <w:marLeft w:val="0"/>
          <w:marRight w:val="0"/>
          <w:marTop w:val="0"/>
          <w:marBottom w:val="0"/>
          <w:divBdr>
            <w:top w:val="none" w:sz="0" w:space="0" w:color="auto"/>
            <w:left w:val="none" w:sz="0" w:space="0" w:color="auto"/>
            <w:bottom w:val="none" w:sz="0" w:space="0" w:color="auto"/>
            <w:right w:val="none" w:sz="0" w:space="0" w:color="auto"/>
          </w:divBdr>
        </w:div>
      </w:divsChild>
    </w:div>
    <w:div w:id="910968294">
      <w:bodyDiv w:val="1"/>
      <w:marLeft w:val="0"/>
      <w:marRight w:val="0"/>
      <w:marTop w:val="0"/>
      <w:marBottom w:val="0"/>
      <w:divBdr>
        <w:top w:val="none" w:sz="0" w:space="0" w:color="auto"/>
        <w:left w:val="none" w:sz="0" w:space="0" w:color="auto"/>
        <w:bottom w:val="none" w:sz="0" w:space="0" w:color="auto"/>
        <w:right w:val="none" w:sz="0" w:space="0" w:color="auto"/>
      </w:divBdr>
      <w:divsChild>
        <w:div w:id="81413059">
          <w:marLeft w:val="0"/>
          <w:marRight w:val="0"/>
          <w:marTop w:val="0"/>
          <w:marBottom w:val="0"/>
          <w:divBdr>
            <w:top w:val="none" w:sz="0" w:space="0" w:color="auto"/>
            <w:left w:val="none" w:sz="0" w:space="0" w:color="auto"/>
            <w:bottom w:val="none" w:sz="0" w:space="0" w:color="auto"/>
            <w:right w:val="none" w:sz="0" w:space="0" w:color="auto"/>
          </w:divBdr>
        </w:div>
      </w:divsChild>
    </w:div>
    <w:div w:id="1221551251">
      <w:bodyDiv w:val="1"/>
      <w:marLeft w:val="0"/>
      <w:marRight w:val="0"/>
      <w:marTop w:val="0"/>
      <w:marBottom w:val="0"/>
      <w:divBdr>
        <w:top w:val="none" w:sz="0" w:space="0" w:color="auto"/>
        <w:left w:val="none" w:sz="0" w:space="0" w:color="auto"/>
        <w:bottom w:val="none" w:sz="0" w:space="0" w:color="auto"/>
        <w:right w:val="none" w:sz="0" w:space="0" w:color="auto"/>
      </w:divBdr>
    </w:div>
    <w:div w:id="20027382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3</Pages>
  <Words>725</Words>
  <Characters>4136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ZhiQian Chua</cp:lastModifiedBy>
  <cp:revision>5</cp:revision>
  <dcterms:created xsi:type="dcterms:W3CDTF">2026-05-08T11:32:00Z</dcterms:created>
  <dcterms:modified xsi:type="dcterms:W3CDTF">2026-05-08T12:21:00Z</dcterms:modified>
</cp:coreProperties>
</file>