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19D8" w14:textId="24421BDE" w:rsidR="00EB2EA1" w:rsidRPr="0068410F" w:rsidRDefault="0068410F">
      <w:pPr>
        <w:rPr>
          <w:b/>
          <w:bCs/>
        </w:rPr>
      </w:pPr>
      <w:r w:rsidRPr="0068410F">
        <w:rPr>
          <w:b/>
          <w:bCs/>
        </w:rPr>
        <w:t>Good-Faith Claims Handling</w:t>
      </w:r>
    </w:p>
    <w:p w14:paraId="1733C87A" w14:textId="6505CE9E" w:rsidR="0068410F" w:rsidRDefault="0068410F">
      <w:r>
        <w:t>Law of Bad Faith</w:t>
      </w:r>
    </w:p>
    <w:p w14:paraId="2AD471D8" w14:textId="737A9C9D" w:rsidR="0068410F" w:rsidRDefault="0068410F">
      <w:r>
        <w:t>Development of the Law of Bad Faith</w:t>
      </w:r>
    </w:p>
    <w:p w14:paraId="41D7163E" w14:textId="2A8237C2" w:rsidR="008A4482" w:rsidRDefault="008A4482">
      <w:r>
        <w:t>-</w:t>
      </w:r>
      <w:r w:rsidRPr="008A4482">
        <w:rPr>
          <w:highlight w:val="yellow"/>
        </w:rPr>
        <w:t>bad-faith claim</w:t>
      </w:r>
      <w:r>
        <w:t>:</w:t>
      </w:r>
    </w:p>
    <w:p w14:paraId="29452586" w14:textId="4FCC3F45" w:rsidR="0068410F" w:rsidRDefault="0068410F">
      <w:r>
        <w:t>Duty of Good Faith and Fair Dealing</w:t>
      </w:r>
    </w:p>
    <w:p w14:paraId="69A42BA8" w14:textId="2886269F" w:rsidR="0068410F" w:rsidRDefault="0068410F">
      <w:r>
        <w:t>Public Interest</w:t>
      </w:r>
    </w:p>
    <w:p w14:paraId="3D84613A" w14:textId="319846DE" w:rsidR="0068410F" w:rsidRDefault="0068410F">
      <w:r>
        <w:t>Higher Standard of Conduct</w:t>
      </w:r>
      <w:r w:rsidR="005410B4">
        <w:t>, see pages 9.4-9.5</w:t>
      </w:r>
    </w:p>
    <w:p w14:paraId="64222419" w14:textId="60A1C4B2" w:rsidR="001A69EB" w:rsidRDefault="001A69EB">
      <w:r>
        <w:t>Parties to a Bad-Faith Claim</w:t>
      </w:r>
    </w:p>
    <w:p w14:paraId="3903DBD9" w14:textId="5106B83A" w:rsidR="008A4482" w:rsidRDefault="008A4482">
      <w:r>
        <w:t>-</w:t>
      </w:r>
      <w:r w:rsidRPr="008A4482">
        <w:rPr>
          <w:highlight w:val="yellow"/>
        </w:rPr>
        <w:t>defendant</w:t>
      </w:r>
    </w:p>
    <w:p w14:paraId="0B6CD65A" w14:textId="03823478" w:rsidR="008A4482" w:rsidRDefault="008A4482">
      <w:r>
        <w:t>-</w:t>
      </w:r>
      <w:r w:rsidRPr="008A4482">
        <w:rPr>
          <w:highlight w:val="yellow"/>
        </w:rPr>
        <w:t>plaintiff</w:t>
      </w:r>
    </w:p>
    <w:p w14:paraId="6C6EED8C" w14:textId="23F1628A" w:rsidR="001A69EB" w:rsidRDefault="001A69EB" w:rsidP="001A69EB">
      <w:pPr>
        <w:pStyle w:val="ListParagraph"/>
        <w:numPr>
          <w:ilvl w:val="0"/>
          <w:numId w:val="1"/>
        </w:numPr>
      </w:pPr>
      <w:r>
        <w:t>Insured</w:t>
      </w:r>
    </w:p>
    <w:p w14:paraId="7E5E14B5" w14:textId="6E32A5F8" w:rsidR="001A69EB" w:rsidRDefault="001A69EB" w:rsidP="001A69EB">
      <w:pPr>
        <w:pStyle w:val="ListParagraph"/>
        <w:numPr>
          <w:ilvl w:val="0"/>
          <w:numId w:val="2"/>
        </w:numPr>
      </w:pPr>
      <w:r>
        <w:t>First-party lawsuit</w:t>
      </w:r>
    </w:p>
    <w:p w14:paraId="2BD89818" w14:textId="60776814" w:rsidR="001A69EB" w:rsidRDefault="001A69EB" w:rsidP="001A69EB">
      <w:pPr>
        <w:pStyle w:val="ListParagraph"/>
        <w:numPr>
          <w:ilvl w:val="0"/>
          <w:numId w:val="2"/>
        </w:numPr>
      </w:pPr>
      <w:r>
        <w:t>Third-party lawsuit</w:t>
      </w:r>
    </w:p>
    <w:p w14:paraId="5FE0BBC7" w14:textId="2CF22E61" w:rsidR="001A69EB" w:rsidRDefault="001A69EB" w:rsidP="001A69EB">
      <w:pPr>
        <w:pStyle w:val="ListParagraph"/>
        <w:numPr>
          <w:ilvl w:val="0"/>
          <w:numId w:val="1"/>
        </w:numPr>
      </w:pPr>
      <w:r>
        <w:t>Claimants</w:t>
      </w:r>
    </w:p>
    <w:p w14:paraId="61EA0465" w14:textId="07159E86" w:rsidR="001A69EB" w:rsidRPr="008A4482" w:rsidRDefault="001A69EB" w:rsidP="001A69EB">
      <w:pPr>
        <w:pStyle w:val="ListParagraph"/>
        <w:numPr>
          <w:ilvl w:val="0"/>
          <w:numId w:val="1"/>
        </w:numPr>
        <w:rPr>
          <w:highlight w:val="yellow"/>
        </w:rPr>
      </w:pPr>
      <w:r w:rsidRPr="008A4482">
        <w:rPr>
          <w:highlight w:val="yellow"/>
        </w:rPr>
        <w:t>Excess insurers</w:t>
      </w:r>
    </w:p>
    <w:p w14:paraId="7A81B011" w14:textId="2E13CC6C" w:rsidR="001A69EB" w:rsidRDefault="001A69EB" w:rsidP="001A69EB">
      <w:r>
        <w:t>Bases of Bad-Faith Claims</w:t>
      </w:r>
    </w:p>
    <w:p w14:paraId="48960C32" w14:textId="42A7149D" w:rsidR="001A69EB" w:rsidRDefault="001A69EB" w:rsidP="001A69EB">
      <w:pPr>
        <w:pStyle w:val="ListParagraph"/>
        <w:numPr>
          <w:ilvl w:val="0"/>
          <w:numId w:val="3"/>
        </w:numPr>
      </w:pPr>
      <w:r>
        <w:t>Claim or coverage denial</w:t>
      </w:r>
    </w:p>
    <w:p w14:paraId="1ECEAE64" w14:textId="750DEB45" w:rsidR="001A69EB" w:rsidRDefault="001A69EB" w:rsidP="001A69EB">
      <w:pPr>
        <w:pStyle w:val="ListParagraph"/>
        <w:numPr>
          <w:ilvl w:val="0"/>
          <w:numId w:val="3"/>
        </w:numPr>
      </w:pPr>
      <w:r>
        <w:t>Excess liability claims</w:t>
      </w:r>
    </w:p>
    <w:p w14:paraId="3207A436" w14:textId="4D5A0A2D" w:rsidR="001A69EB" w:rsidRDefault="001A69EB" w:rsidP="001A69EB">
      <w:pPr>
        <w:pStyle w:val="ListParagraph"/>
        <w:numPr>
          <w:ilvl w:val="0"/>
          <w:numId w:val="3"/>
        </w:numPr>
      </w:pPr>
      <w:r>
        <w:t xml:space="preserve">Statutory </w:t>
      </w:r>
      <w:r w:rsidR="004D0D4D">
        <w:t>bad faith</w:t>
      </w:r>
    </w:p>
    <w:p w14:paraId="1245370B" w14:textId="06DDDDD8" w:rsidR="004D0D4D" w:rsidRDefault="004D0D4D" w:rsidP="001A69EB">
      <w:pPr>
        <w:pStyle w:val="ListParagraph"/>
        <w:numPr>
          <w:ilvl w:val="0"/>
          <w:numId w:val="3"/>
        </w:numPr>
      </w:pPr>
      <w:r>
        <w:t>Unfair Claim Settlement Practices Acts</w:t>
      </w:r>
    </w:p>
    <w:p w14:paraId="2C96D3F9" w14:textId="65FA88BF" w:rsidR="004D0D4D" w:rsidRDefault="004D0D4D" w:rsidP="004D0D4D">
      <w:r>
        <w:t>Provisions of the NAIC Model Act</w:t>
      </w:r>
    </w:p>
    <w:p w14:paraId="575D0784" w14:textId="183215AE" w:rsidR="004D0D4D" w:rsidRDefault="004D0D4D" w:rsidP="004D0D4D">
      <w:r>
        <w:t>Enforcement:</w:t>
      </w:r>
    </w:p>
    <w:p w14:paraId="5476825C" w14:textId="05970658" w:rsidR="004D0D4D" w:rsidRDefault="004D0D4D" w:rsidP="004D0D4D">
      <w:pPr>
        <w:pStyle w:val="ListParagraph"/>
        <w:numPr>
          <w:ilvl w:val="0"/>
          <w:numId w:val="4"/>
        </w:numPr>
      </w:pPr>
      <w:r>
        <w:t>Fines</w:t>
      </w:r>
    </w:p>
    <w:p w14:paraId="4FC27C9A" w14:textId="41A30402" w:rsidR="004D0D4D" w:rsidRDefault="004D0D4D" w:rsidP="004D0D4D">
      <w:pPr>
        <w:pStyle w:val="ListParagraph"/>
        <w:numPr>
          <w:ilvl w:val="0"/>
          <w:numId w:val="4"/>
        </w:numPr>
      </w:pPr>
      <w:r>
        <w:t>Interest on an overdue claim payment</w:t>
      </w:r>
    </w:p>
    <w:p w14:paraId="25DD9313" w14:textId="201D3FD1" w:rsidR="004D0D4D" w:rsidRDefault="004D0D4D" w:rsidP="004D0D4D">
      <w:pPr>
        <w:pStyle w:val="ListParagraph"/>
        <w:numPr>
          <w:ilvl w:val="0"/>
          <w:numId w:val="4"/>
        </w:numPr>
      </w:pPr>
      <w:r>
        <w:t>Payment of other fees and costs</w:t>
      </w:r>
    </w:p>
    <w:p w14:paraId="1D26052D" w14:textId="504B6EA4" w:rsidR="004D0D4D" w:rsidRDefault="004D0D4D" w:rsidP="004D0D4D">
      <w:pPr>
        <w:pStyle w:val="ListParagraph"/>
        <w:numPr>
          <w:ilvl w:val="0"/>
          <w:numId w:val="4"/>
        </w:numPr>
      </w:pPr>
      <w:r>
        <w:t>Injunctions or cease-and-desist orders</w:t>
      </w:r>
    </w:p>
    <w:p w14:paraId="78E0722D" w14:textId="7436EDB0" w:rsidR="004D0D4D" w:rsidRDefault="004D0D4D" w:rsidP="004D0D4D">
      <w:pPr>
        <w:pStyle w:val="ListParagraph"/>
        <w:numPr>
          <w:ilvl w:val="0"/>
          <w:numId w:val="4"/>
        </w:numPr>
      </w:pPr>
      <w:r>
        <w:t>Suspension of a claim rep/insurer’s license</w:t>
      </w:r>
    </w:p>
    <w:p w14:paraId="7A496E0C" w14:textId="0BF77ECA" w:rsidR="004D0D4D" w:rsidRDefault="004D0D4D" w:rsidP="004D0D4D">
      <w:pPr>
        <w:pStyle w:val="ListParagraph"/>
        <w:numPr>
          <w:ilvl w:val="0"/>
          <w:numId w:val="4"/>
        </w:numPr>
      </w:pPr>
      <w:r>
        <w:t>Revocation of a claim rep/insurer’s license</w:t>
      </w:r>
    </w:p>
    <w:p w14:paraId="30C7B21F" w14:textId="59B0F389" w:rsidR="004D0D4D" w:rsidRDefault="004D0D4D" w:rsidP="004D0D4D">
      <w:r>
        <w:t>State Provisions</w:t>
      </w:r>
    </w:p>
    <w:p w14:paraId="747BB4D2" w14:textId="60AACE05" w:rsidR="004D0D4D" w:rsidRDefault="004D0D4D" w:rsidP="004D0D4D">
      <w:r>
        <w:t>Bad-faith lawsuits under the model act</w:t>
      </w:r>
    </w:p>
    <w:p w14:paraId="13AE6FBC" w14:textId="62A629BF" w:rsidR="004D0D4D" w:rsidRDefault="004D0D4D" w:rsidP="004D0D4D">
      <w:r>
        <w:t>Other bases for bad faith</w:t>
      </w:r>
    </w:p>
    <w:p w14:paraId="44543246" w14:textId="77777777" w:rsidR="005410B4" w:rsidRDefault="005410B4" w:rsidP="004D0D4D"/>
    <w:p w14:paraId="0630895D" w14:textId="77777777" w:rsidR="005410B4" w:rsidRDefault="005410B4" w:rsidP="004D0D4D"/>
    <w:p w14:paraId="1B9C7169" w14:textId="6D197F2B" w:rsidR="004D0D4D" w:rsidRDefault="004D0D4D" w:rsidP="004D0D4D">
      <w:bookmarkStart w:id="0" w:name="_GoBack"/>
      <w:bookmarkEnd w:id="0"/>
      <w:r>
        <w:lastRenderedPageBreak/>
        <w:t>Damages for Bad Faith or Extracontractual Liability</w:t>
      </w:r>
    </w:p>
    <w:p w14:paraId="61A26DBD" w14:textId="35239FE2" w:rsidR="004D0D4D" w:rsidRDefault="004D0D4D" w:rsidP="004D0D4D">
      <w:pPr>
        <w:pStyle w:val="ListParagraph"/>
        <w:numPr>
          <w:ilvl w:val="0"/>
          <w:numId w:val="5"/>
        </w:numPr>
      </w:pPr>
      <w:r>
        <w:t>Compensatory damages</w:t>
      </w:r>
    </w:p>
    <w:p w14:paraId="32B97519" w14:textId="25044E9D" w:rsidR="008A4482" w:rsidRPr="008A4482" w:rsidRDefault="008A4482" w:rsidP="008A4482">
      <w:pPr>
        <w:pStyle w:val="ListParagraph"/>
        <w:numPr>
          <w:ilvl w:val="0"/>
          <w:numId w:val="8"/>
        </w:numPr>
        <w:rPr>
          <w:highlight w:val="yellow"/>
        </w:rPr>
      </w:pPr>
      <w:r w:rsidRPr="008A4482">
        <w:rPr>
          <w:highlight w:val="yellow"/>
        </w:rPr>
        <w:t>Contractual damages</w:t>
      </w:r>
    </w:p>
    <w:p w14:paraId="3148A8B7" w14:textId="033E1F9D" w:rsidR="008A4482" w:rsidRPr="008A4482" w:rsidRDefault="008A4482" w:rsidP="008A4482">
      <w:pPr>
        <w:pStyle w:val="ListParagraph"/>
        <w:numPr>
          <w:ilvl w:val="0"/>
          <w:numId w:val="8"/>
        </w:numPr>
        <w:rPr>
          <w:highlight w:val="yellow"/>
        </w:rPr>
      </w:pPr>
      <w:r w:rsidRPr="008A4482">
        <w:rPr>
          <w:highlight w:val="yellow"/>
        </w:rPr>
        <w:t>Consequential damages</w:t>
      </w:r>
    </w:p>
    <w:p w14:paraId="2E7101AC" w14:textId="079B6192" w:rsidR="004D0D4D" w:rsidRDefault="004D0D4D" w:rsidP="004D0D4D">
      <w:pPr>
        <w:pStyle w:val="ListParagraph"/>
        <w:numPr>
          <w:ilvl w:val="0"/>
          <w:numId w:val="5"/>
        </w:numPr>
      </w:pPr>
      <w:r>
        <w:t>Punitive damages</w:t>
      </w:r>
    </w:p>
    <w:p w14:paraId="6EFAC945" w14:textId="0EB9A8B6" w:rsidR="004D0D4D" w:rsidRDefault="004D0D4D" w:rsidP="004D0D4D">
      <w:pPr>
        <w:pStyle w:val="ListParagraph"/>
        <w:numPr>
          <w:ilvl w:val="0"/>
          <w:numId w:val="5"/>
        </w:numPr>
      </w:pPr>
      <w:r>
        <w:t>Lawyers’ fees and court costs</w:t>
      </w:r>
    </w:p>
    <w:p w14:paraId="038A0904" w14:textId="13FC900C" w:rsidR="004D0D4D" w:rsidRDefault="004D0D4D" w:rsidP="004D0D4D">
      <w:pPr>
        <w:pStyle w:val="ListParagraph"/>
        <w:numPr>
          <w:ilvl w:val="0"/>
          <w:numId w:val="5"/>
        </w:numPr>
      </w:pPr>
      <w:r>
        <w:t>Pre-judgement interest</w:t>
      </w:r>
    </w:p>
    <w:p w14:paraId="08CC8F84" w14:textId="5B2EDBAC" w:rsidR="004D0D4D" w:rsidRDefault="004D0D4D" w:rsidP="004D0D4D">
      <w:r>
        <w:t>Defenses to a Bad-faith Claim</w:t>
      </w:r>
    </w:p>
    <w:p w14:paraId="2FAE41FB" w14:textId="014F8E26" w:rsidR="004D0D4D" w:rsidRDefault="004D0D4D" w:rsidP="004D0D4D">
      <w:pPr>
        <w:pStyle w:val="ListParagraph"/>
        <w:numPr>
          <w:ilvl w:val="0"/>
          <w:numId w:val="6"/>
        </w:numPr>
        <w:rPr>
          <w:highlight w:val="yellow"/>
        </w:rPr>
      </w:pPr>
      <w:r w:rsidRPr="008A4482">
        <w:rPr>
          <w:highlight w:val="yellow"/>
        </w:rPr>
        <w:t>Statute of Limitations</w:t>
      </w:r>
    </w:p>
    <w:p w14:paraId="640CFF8D" w14:textId="364C3D3B" w:rsidR="008A4482" w:rsidRPr="008A4482" w:rsidRDefault="008A4482" w:rsidP="008A4482">
      <w:pPr>
        <w:pStyle w:val="ListParagraph"/>
        <w:rPr>
          <w:highlight w:val="yellow"/>
        </w:rPr>
      </w:pPr>
      <w:r>
        <w:rPr>
          <w:highlight w:val="yellow"/>
        </w:rPr>
        <w:t>-tort:</w:t>
      </w:r>
    </w:p>
    <w:p w14:paraId="47ACF716" w14:textId="25D5CD50" w:rsidR="004D0D4D" w:rsidRDefault="004D0D4D" w:rsidP="008A4482">
      <w:pPr>
        <w:pStyle w:val="ListParagraph"/>
        <w:numPr>
          <w:ilvl w:val="0"/>
          <w:numId w:val="6"/>
        </w:numPr>
      </w:pPr>
      <w:r>
        <w:t>Lack of Right to Sue (Lack of Standing)</w:t>
      </w:r>
    </w:p>
    <w:p w14:paraId="1632377A" w14:textId="4E5034CB" w:rsidR="008A4482" w:rsidRDefault="008A4482" w:rsidP="008A4482">
      <w:pPr>
        <w:pStyle w:val="ListParagraph"/>
      </w:pPr>
      <w:r w:rsidRPr="008A4482">
        <w:rPr>
          <w:highlight w:val="yellow"/>
        </w:rPr>
        <w:t>-tortfeasor:</w:t>
      </w:r>
    </w:p>
    <w:p w14:paraId="13708F6D" w14:textId="4D8490D5" w:rsidR="008A4482" w:rsidRDefault="008A4482" w:rsidP="008A4482">
      <w:pPr>
        <w:pStyle w:val="ListParagraph"/>
        <w:numPr>
          <w:ilvl w:val="0"/>
          <w:numId w:val="6"/>
        </w:numPr>
      </w:pPr>
      <w:r>
        <w:t>Reliance on Lawyers’ Advice</w:t>
      </w:r>
    </w:p>
    <w:p w14:paraId="71B511EB" w14:textId="4A993C40" w:rsidR="008A4482" w:rsidRDefault="008A4482" w:rsidP="008A4482">
      <w:pPr>
        <w:pStyle w:val="ListParagraph"/>
        <w:numPr>
          <w:ilvl w:val="0"/>
          <w:numId w:val="6"/>
        </w:numPr>
      </w:pPr>
      <w:r>
        <w:t>An Insured’s Collusion with the Claimant</w:t>
      </w:r>
    </w:p>
    <w:p w14:paraId="73A93525" w14:textId="62FD6914" w:rsidR="008A4482" w:rsidRDefault="008A4482" w:rsidP="008A4482">
      <w:pPr>
        <w:pStyle w:val="ListParagraph"/>
        <w:numPr>
          <w:ilvl w:val="0"/>
          <w:numId w:val="6"/>
        </w:numPr>
      </w:pPr>
      <w:r>
        <w:t>Debatable Reasonable Basis</w:t>
      </w:r>
    </w:p>
    <w:p w14:paraId="2EB5146F" w14:textId="00D45B05" w:rsidR="008A4482" w:rsidRDefault="008A4482" w:rsidP="008A4482">
      <w:pPr>
        <w:pStyle w:val="ListParagraph"/>
        <w:numPr>
          <w:ilvl w:val="0"/>
          <w:numId w:val="6"/>
        </w:numPr>
      </w:pPr>
      <w:r>
        <w:t>Statutory Defenses</w:t>
      </w:r>
    </w:p>
    <w:p w14:paraId="6DB482E4" w14:textId="22976AA9" w:rsidR="008A4482" w:rsidRDefault="008A4482" w:rsidP="008A4482">
      <w:pPr>
        <w:pStyle w:val="ListParagraph"/>
        <w:numPr>
          <w:ilvl w:val="0"/>
          <w:numId w:val="6"/>
        </w:numPr>
      </w:pPr>
      <w:r>
        <w:t>Fair Dealing and Good Documentation</w:t>
      </w:r>
    </w:p>
    <w:p w14:paraId="25E38E0B" w14:textId="04FCB4E3" w:rsidR="008A4482" w:rsidRDefault="008A4482" w:rsidP="008A4482">
      <w:pPr>
        <w:pStyle w:val="ListParagraph"/>
        <w:numPr>
          <w:ilvl w:val="0"/>
          <w:numId w:val="6"/>
        </w:numPr>
      </w:pPr>
      <w:r>
        <w:t>Comparative Bad Faith</w:t>
      </w:r>
    </w:p>
    <w:p w14:paraId="6DB4230E" w14:textId="4EB7E1A2" w:rsidR="008A4482" w:rsidRDefault="008A4482" w:rsidP="008A4482">
      <w:pPr>
        <w:pStyle w:val="ListParagraph"/>
        <w:numPr>
          <w:ilvl w:val="0"/>
          <w:numId w:val="6"/>
        </w:numPr>
      </w:pPr>
      <w:r>
        <w:t>Contributory Negligence</w:t>
      </w:r>
    </w:p>
    <w:p w14:paraId="7F57F118" w14:textId="03E2C1D0" w:rsidR="008A4482" w:rsidRDefault="008A4482" w:rsidP="008A4482">
      <w:r>
        <w:t>Elements of Good-faith Claims Handling</w:t>
      </w:r>
    </w:p>
    <w:p w14:paraId="15750BFC" w14:textId="39E38B37" w:rsidR="008A4482" w:rsidRDefault="008A4482" w:rsidP="008A4482">
      <w:pPr>
        <w:pStyle w:val="ListParagraph"/>
        <w:numPr>
          <w:ilvl w:val="0"/>
          <w:numId w:val="7"/>
        </w:numPr>
      </w:pPr>
      <w:r>
        <w:t>Thorough, timely, and unbiased investigation</w:t>
      </w:r>
    </w:p>
    <w:p w14:paraId="69608B47" w14:textId="66A03DAA" w:rsidR="005410B4" w:rsidRPr="005410B4" w:rsidRDefault="005410B4" w:rsidP="005410B4">
      <w:pPr>
        <w:pStyle w:val="ListParagraph"/>
        <w:rPr>
          <w:u w:val="single"/>
        </w:rPr>
      </w:pPr>
      <w:r w:rsidRPr="005410B4">
        <w:rPr>
          <w:u w:val="single"/>
        </w:rPr>
        <w:t>Compliance with Federal Statutes:</w:t>
      </w:r>
    </w:p>
    <w:p w14:paraId="2C6A9746" w14:textId="23A36439" w:rsidR="005410B4" w:rsidRDefault="005410B4" w:rsidP="005410B4">
      <w:pPr>
        <w:pStyle w:val="ListParagraph"/>
        <w:numPr>
          <w:ilvl w:val="0"/>
          <w:numId w:val="9"/>
        </w:numPr>
      </w:pPr>
      <w:r>
        <w:t>HIPAA</w:t>
      </w:r>
    </w:p>
    <w:p w14:paraId="4E48AC42" w14:textId="654C306A" w:rsidR="005410B4" w:rsidRDefault="005410B4" w:rsidP="005410B4">
      <w:pPr>
        <w:pStyle w:val="ListParagraph"/>
        <w:numPr>
          <w:ilvl w:val="0"/>
          <w:numId w:val="9"/>
        </w:numPr>
      </w:pPr>
      <w:r>
        <w:t>Gramm-Leach-Bliley Act</w:t>
      </w:r>
    </w:p>
    <w:p w14:paraId="36EA405B" w14:textId="26392CB6" w:rsidR="005410B4" w:rsidRDefault="005410B4" w:rsidP="005410B4">
      <w:pPr>
        <w:pStyle w:val="ListParagraph"/>
        <w:numPr>
          <w:ilvl w:val="0"/>
          <w:numId w:val="9"/>
        </w:numPr>
      </w:pPr>
      <w:r>
        <w:t>Sarbanes-Oxley Act</w:t>
      </w:r>
    </w:p>
    <w:p w14:paraId="7A750793" w14:textId="168E62DF" w:rsidR="005410B4" w:rsidRDefault="005410B4" w:rsidP="005410B4">
      <w:pPr>
        <w:pStyle w:val="ListParagraph"/>
        <w:numPr>
          <w:ilvl w:val="0"/>
          <w:numId w:val="9"/>
        </w:numPr>
      </w:pPr>
      <w:r>
        <w:t>Fair Credit Reporting Act</w:t>
      </w:r>
    </w:p>
    <w:p w14:paraId="72E3AEB0" w14:textId="7A76701B" w:rsidR="008A4482" w:rsidRDefault="008A4482" w:rsidP="008A4482">
      <w:pPr>
        <w:pStyle w:val="ListParagraph"/>
        <w:numPr>
          <w:ilvl w:val="0"/>
          <w:numId w:val="7"/>
        </w:numPr>
      </w:pPr>
      <w:r>
        <w:t>Complete and accurate documentation</w:t>
      </w:r>
    </w:p>
    <w:p w14:paraId="2CB7B1E6" w14:textId="05A979A8" w:rsidR="008A4482" w:rsidRDefault="008A4482" w:rsidP="008A4482">
      <w:pPr>
        <w:pStyle w:val="ListParagraph"/>
        <w:numPr>
          <w:ilvl w:val="0"/>
          <w:numId w:val="7"/>
        </w:numPr>
      </w:pPr>
      <w:r>
        <w:t>Fair evaluation</w:t>
      </w:r>
    </w:p>
    <w:p w14:paraId="51ACCFBD" w14:textId="1EC4D7C9" w:rsidR="008A4482" w:rsidRDefault="008A4482" w:rsidP="008A4482">
      <w:pPr>
        <w:pStyle w:val="ListParagraph"/>
        <w:numPr>
          <w:ilvl w:val="0"/>
          <w:numId w:val="7"/>
        </w:numPr>
      </w:pPr>
      <w:r>
        <w:t>Good-faith negotiation</w:t>
      </w:r>
    </w:p>
    <w:p w14:paraId="00970C39" w14:textId="0997B159" w:rsidR="008A4482" w:rsidRDefault="008A4482" w:rsidP="008A4482">
      <w:pPr>
        <w:pStyle w:val="ListParagraph"/>
        <w:numPr>
          <w:ilvl w:val="0"/>
          <w:numId w:val="7"/>
        </w:numPr>
      </w:pPr>
      <w:r>
        <w:t>Regular and prompt communication</w:t>
      </w:r>
    </w:p>
    <w:p w14:paraId="1B7B69D8" w14:textId="078D2B2E" w:rsidR="008A4482" w:rsidRDefault="008A4482" w:rsidP="008A4482">
      <w:pPr>
        <w:pStyle w:val="ListParagraph"/>
        <w:numPr>
          <w:ilvl w:val="0"/>
          <w:numId w:val="7"/>
        </w:numPr>
      </w:pPr>
      <w:r>
        <w:t>Competent legal advice</w:t>
      </w:r>
    </w:p>
    <w:p w14:paraId="4DBE4114" w14:textId="688C8FEE" w:rsidR="008A4482" w:rsidRDefault="008A4482" w:rsidP="008A4482">
      <w:pPr>
        <w:pStyle w:val="ListParagraph"/>
        <w:numPr>
          <w:ilvl w:val="0"/>
          <w:numId w:val="7"/>
        </w:numPr>
      </w:pPr>
      <w:r>
        <w:t>Effective claims management</w:t>
      </w:r>
    </w:p>
    <w:sectPr w:rsidR="008A44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606B" w14:textId="77777777" w:rsidR="0024211F" w:rsidRDefault="0024211F" w:rsidP="0068410F">
      <w:pPr>
        <w:spacing w:after="0" w:line="240" w:lineRule="auto"/>
      </w:pPr>
      <w:r>
        <w:separator/>
      </w:r>
    </w:p>
  </w:endnote>
  <w:endnote w:type="continuationSeparator" w:id="0">
    <w:p w14:paraId="305FC48B" w14:textId="77777777" w:rsidR="0024211F" w:rsidRDefault="0024211F" w:rsidP="0068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8566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C653C" w14:textId="574CE945" w:rsidR="0068410F" w:rsidRDefault="00684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27659" w14:textId="77777777" w:rsidR="0068410F" w:rsidRDefault="00684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1DE8F" w14:textId="77777777" w:rsidR="0024211F" w:rsidRDefault="0024211F" w:rsidP="0068410F">
      <w:pPr>
        <w:spacing w:after="0" w:line="240" w:lineRule="auto"/>
      </w:pPr>
      <w:r>
        <w:separator/>
      </w:r>
    </w:p>
  </w:footnote>
  <w:footnote w:type="continuationSeparator" w:id="0">
    <w:p w14:paraId="50EFA751" w14:textId="77777777" w:rsidR="0024211F" w:rsidRDefault="0024211F" w:rsidP="00684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1C68B" w14:textId="53A53E80" w:rsidR="0068410F" w:rsidRDefault="0068410F">
    <w:pPr>
      <w:pStyle w:val="Header"/>
    </w:pPr>
    <w:r>
      <w:t>AIC 30: Chapter Nine</w:t>
    </w:r>
  </w:p>
  <w:p w14:paraId="2148C97B" w14:textId="77777777" w:rsidR="0068410F" w:rsidRDefault="00684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0C1"/>
    <w:multiLevelType w:val="hybridMultilevel"/>
    <w:tmpl w:val="58A2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229"/>
    <w:multiLevelType w:val="hybridMultilevel"/>
    <w:tmpl w:val="4BF8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5B8"/>
    <w:multiLevelType w:val="hybridMultilevel"/>
    <w:tmpl w:val="994684C2"/>
    <w:lvl w:ilvl="0" w:tplc="B1BCE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63B6F"/>
    <w:multiLevelType w:val="hybridMultilevel"/>
    <w:tmpl w:val="8A14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4B96"/>
    <w:multiLevelType w:val="hybridMultilevel"/>
    <w:tmpl w:val="905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1B42"/>
    <w:multiLevelType w:val="hybridMultilevel"/>
    <w:tmpl w:val="765E6FD4"/>
    <w:lvl w:ilvl="0" w:tplc="BB380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366EC"/>
    <w:multiLevelType w:val="hybridMultilevel"/>
    <w:tmpl w:val="FF6C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357CD"/>
    <w:multiLevelType w:val="hybridMultilevel"/>
    <w:tmpl w:val="CDB2CB98"/>
    <w:lvl w:ilvl="0" w:tplc="A8240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E00891"/>
    <w:multiLevelType w:val="hybridMultilevel"/>
    <w:tmpl w:val="A77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0F"/>
    <w:rsid w:val="001A69EB"/>
    <w:rsid w:val="0024211F"/>
    <w:rsid w:val="004D0D4D"/>
    <w:rsid w:val="005410B4"/>
    <w:rsid w:val="0068410F"/>
    <w:rsid w:val="007A26C1"/>
    <w:rsid w:val="008A4482"/>
    <w:rsid w:val="00E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A03A"/>
  <w15:chartTrackingRefBased/>
  <w15:docId w15:val="{6BB644FF-F0B4-4189-98FC-561329C1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0F"/>
  </w:style>
  <w:style w:type="paragraph" w:styleId="Footer">
    <w:name w:val="footer"/>
    <w:basedOn w:val="Normal"/>
    <w:link w:val="FooterChar"/>
    <w:uiPriority w:val="99"/>
    <w:unhideWhenUsed/>
    <w:rsid w:val="0068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0F"/>
  </w:style>
  <w:style w:type="paragraph" w:styleId="ListParagraph">
    <w:name w:val="List Paragraph"/>
    <w:basedOn w:val="Normal"/>
    <w:uiPriority w:val="34"/>
    <w:qFormat/>
    <w:rsid w:val="001A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4</cp:revision>
  <cp:lastPrinted>2020-01-14T20:47:00Z</cp:lastPrinted>
  <dcterms:created xsi:type="dcterms:W3CDTF">2020-01-07T21:20:00Z</dcterms:created>
  <dcterms:modified xsi:type="dcterms:W3CDTF">2020-01-14T20:47:00Z</dcterms:modified>
</cp:coreProperties>
</file>