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80"/>
      </w:pPr>
      <w:r>
        <w:rPr>
          <w:rFonts w:ascii="Calibri" w:hAnsi="Calibri" w:cs="Calibri" w:eastAsia="PingFang SC"/>
          <w:b/>
          <w:color w:val="2E74B5"/>
          <w:sz w:val="20"/>
        </w:rPr>
        <w:t>ARCHITECTURE BASELINE</w:t>
      </w:r>
    </w:p>
    <w:p>
      <w:pPr>
        <w:pStyle w:val="Title"/>
        <w:spacing w:after="80"/>
      </w:pPr>
      <w:r>
        <w:t>Canada Logistics Marketplace</w:t>
      </w:r>
    </w:p>
    <w:p>
      <w:pPr>
        <w:spacing w:after="440"/>
      </w:pPr>
      <w:r>
        <w:rPr>
          <w:rFonts w:ascii="Calibri" w:hAnsi="Calibri" w:cs="Calibri" w:eastAsia="PingFang SC"/>
          <w:color w:val="5F6B7A"/>
          <w:sz w:val="28"/>
        </w:rPr>
        <w:t>加拿大物流服务交易平台 · MVP 目标架构与实施基线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20"/>
              </w:rPr>
              <w:t>项目元数据</w:t>
            </w:r>
          </w:p>
        </w:tc>
        <w:tc>
          <w:tcPr>
            <w:tcW w:type="dxa" w:w="731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20"/>
              </w:rPr>
              <w:t>值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版本</w:t>
            </w:r>
          </w:p>
        </w:tc>
        <w:tc>
          <w:tcPr>
            <w:tcW w:type="dxa" w:w="7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日期</w:t>
            </w:r>
          </w:p>
        </w:tc>
        <w:tc>
          <w:tcPr>
            <w:tcW w:type="dxa" w:w="7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2026-07-17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架构形态</w:t>
            </w:r>
          </w:p>
        </w:tc>
        <w:tc>
          <w:tcPr>
            <w:tcW w:type="dxa" w:w="7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Next.js + NestJS 模块化单体 + 独立 Worker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数据/消息</w:t>
            </w:r>
          </w:p>
        </w:tc>
        <w:tc>
          <w:tcPr>
            <w:tcW w:type="dxa" w:w="7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PostgreSQL + Redis + RabbitMQ + S3 Compatible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范围</w:t>
            </w:r>
          </w:p>
        </w:tc>
        <w:tc>
          <w:tcPr>
            <w:tcW w:type="dxa" w:w="7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目录、ER、模块关系、API、DDL、技术架构、MVP 计划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明确不包含</w:t>
            </w:r>
          </w:p>
        </w:tc>
        <w:tc>
          <w:tcPr>
            <w:tcW w:type="dxa" w:w="7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业务代码、Prisma migration、现有系统覆盖或删除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7FB" w:val="clear"/>
            <w:tcBorders>
              <w:top w:val="single" w:sz="8" w:color="2E74B5"/>
              <w:start w:val="single" w:sz="8" w:color="2E74B5"/>
              <w:bottom w:val="single" w:sz="8" w:color="2E74B5"/>
              <w:end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 w:eastAsia="PingFang SC"/>
                <w:b/>
                <w:color w:val="2E74B5"/>
              </w:rPr>
              <w:t xml:space="preserve">架构结论  </w:t>
            </w:r>
            <w:r>
              <w:rPr>
                <w:rFonts w:ascii="Calibri" w:hAnsi="Calibri" w:cs="Calibri" w:eastAsia="PingFang SC"/>
                <w:color w:val="1F2937"/>
              </w:rPr>
              <w:t>MVP 先做模块化单体和可靠异步，不提前拆微服务；交易的是可组合物流服务，AI 只产生候选与建议，确定性校验和审批负责放行。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0B254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FFFFFF"/>
                <w:sz w:val="20"/>
              </w:rPr>
              <w:t>72</w:t>
            </w:r>
          </w:p>
        </w:tc>
        <w:tc>
          <w:tcPr>
            <w:tcW w:type="dxa" w:w="2340"/>
            <w:shd w:fill="0B254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FFFFFF"/>
                <w:sz w:val="20"/>
              </w:rPr>
              <w:t>4</w:t>
            </w:r>
          </w:p>
        </w:tc>
        <w:tc>
          <w:tcPr>
            <w:tcW w:type="dxa" w:w="2340"/>
            <w:shd w:fill="0B254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FFFFFF"/>
                <w:sz w:val="20"/>
              </w:rPr>
              <w:t>15</w:t>
            </w:r>
          </w:p>
        </w:tc>
        <w:tc>
          <w:tcPr>
            <w:tcW w:type="dxa" w:w="2340"/>
            <w:shd w:fill="0B254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FFFFFF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数据库表</w:t>
            </w:r>
          </w:p>
        </w:tc>
        <w:tc>
          <w:tcPr>
            <w:tcW w:type="dxa" w:w="234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只读视图</w:t>
            </w:r>
          </w:p>
        </w:tc>
        <w:tc>
          <w:tcPr>
            <w:tcW w:type="dxa" w:w="234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限界上下文</w:t>
            </w:r>
          </w:p>
        </w:tc>
        <w:tc>
          <w:tcPr>
            <w:tcW w:type="dxa" w:w="234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20"/>
              </w:rPr>
              <w:t>正式架构交付项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0. 阅读导航</w:t>
      </w:r>
    </w:p>
    <w:p>
      <w:pPr>
        <w:keepLines/>
      </w:pPr>
      <w:r>
        <w:rPr>
          <w:rFonts w:ascii="Calibri" w:hAnsi="Calibri" w:cs="Calibri" w:eastAsia="PingFang SC"/>
          <w:color w:val="1F2937"/>
        </w:rPr>
        <w:t>本 Word 文档用于架构评审；仓库中的 Markdown 与 SQL 是可追踪的详细基线。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50"/>
        <w:gridCol w:w="3900"/>
        <w:gridCol w:w="4310"/>
      </w:tblGrid>
      <w:tr>
        <w:trPr>
          <w:tblHeader w:val="true"/>
          <w:cantSplit/>
        </w:trPr>
        <w:tc>
          <w:tcPr>
            <w:tcW w:type="dxa" w:w="11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39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回答的问题</w:t>
            </w:r>
          </w:p>
        </w:tc>
        <w:tc>
          <w:tcPr>
            <w:tcW w:type="dxa" w:w="431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详细产物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1 目标架构与目录</w:t>
            </w:r>
          </w:p>
        </w:tc>
        <w:tc>
          <w:tcPr>
            <w:tcW w:type="dxa" w:w="3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代码如何按 DDD 落地？</w:t>
            </w:r>
          </w:p>
        </w:tc>
        <w:tc>
          <w:tcPr>
            <w:tcW w:type="dxa" w:w="4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01-directory-and-ddd.md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2 数据模型与 ER</w:t>
            </w:r>
          </w:p>
        </w:tc>
        <w:tc>
          <w:tcPr>
            <w:tcW w:type="dxa" w:w="3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核心实体、版本、约束是什么？</w:t>
            </w:r>
          </w:p>
        </w:tc>
        <w:tc>
          <w:tcPr>
            <w:tcW w:type="dxa" w:w="4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02-data-model-and-er.md + DDL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3 模块关系</w:t>
            </w:r>
          </w:p>
        </w:tc>
        <w:tc>
          <w:tcPr>
            <w:tcW w:type="dxa" w:w="3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同步/异步边界和事件是什么？</w:t>
            </w:r>
          </w:p>
        </w:tc>
        <w:tc>
          <w:tcPr>
            <w:tcW w:type="dxa" w:w="4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03-module-context-map.md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4 API</w:t>
            </w:r>
          </w:p>
        </w:tc>
        <w:tc>
          <w:tcPr>
            <w:tcW w:type="dxa" w:w="3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四角色与外部系统如何接入？</w:t>
            </w:r>
          </w:p>
        </w:tc>
        <w:tc>
          <w:tcPr>
            <w:tcW w:type="dxa" w:w="4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04-api-design.md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5 技术架构</w:t>
            </w:r>
          </w:p>
        </w:tc>
        <w:tc>
          <w:tcPr>
            <w:tcW w:type="dxa" w:w="3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如何运行、扩缩、观测和保护？</w:t>
            </w:r>
          </w:p>
        </w:tc>
        <w:tc>
          <w:tcPr>
            <w:tcW w:type="dxa" w:w="4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05-technical-architecture.md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6 MVP 计划</w:t>
            </w:r>
          </w:p>
        </w:tc>
        <w:tc>
          <w:tcPr>
            <w:tcW w:type="dxa" w:w="3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按什么顺序开发和验收？</w:t>
            </w:r>
          </w:p>
        </w:tc>
        <w:tc>
          <w:tcPr>
            <w:tcW w:type="dxa" w:w="4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06-mvp-delivery-plan.md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7 ADR/评审门</w:t>
            </w:r>
          </w:p>
        </w:tc>
        <w:tc>
          <w:tcPr>
            <w:tcW w:type="dxa" w:w="3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哪些选择已定、哪些待业务确认？</w:t>
            </w:r>
          </w:p>
        </w:tc>
        <w:tc>
          <w:tcPr>
            <w:tcW w:type="dxa" w:w="4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07-architecture-decisions.md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执行摘要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服务能力而非线路产品：服务目录、Offering、Coverage、Plan Leg 和 Fulfillment Task 都是数据，可在后台扩展。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API First：Web、供应商门户、Email/API/Excel/Webhook 全部进入同一应用层合约。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强事务 + 可靠异步：同步命令只提交 PostgreSQL 事务和 Outbox；邮件、AI、Webhook、Forecast 由 Worker 执行。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组织级 RBAC：用户通过 Membership 在不同组织获得角色；供应商只可访问本组织 RFQ、报价和任务。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不可变版本：Plan、Supplier Quote、Customer Quote 修改产生新 revision，客户接受与履约引用当时快照。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Price Intelligence 独立：Collector、Forecast、Recommendation、Dynamic Pricing 不直接拥有或改写 Quote。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Legacy 安全迁移：现有 FastAPI/Vite 与确定性 Zone Engine 先保留，以黄金样例、dual-run 和 Feature Flag 迁移。</w:t>
      </w:r>
    </w:p>
    <w:p>
      <w:pPr>
        <w:pStyle w:val="Heading1"/>
        <w:keepNext/>
        <w:keepLines/>
      </w:pPr>
      <w:r>
        <w:t>1. 目标目录与 DDD 模块</w:t>
      </w:r>
    </w:p>
    <w:p>
      <w:pPr>
        <w:spacing w:before="40" w:after="40"/>
        <w:ind w:left="259" w:right="259"/>
        <w:shd w:fill="F2F4F7"/>
        <w:keepLines/>
      </w:pPr>
      <w:r>
        <w:rPr>
          <w:rFonts w:ascii="Menlo" w:hAnsi="Menlo" w:cs="Menlo" w:eastAsia="PingFang SC"/>
          <w:color w:val="0B2545"/>
          <w:sz w:val="17"/>
        </w:rPr>
        <w:t>apps/web        Next.js App Router；四角色门户</w:t>
      </w:r>
    </w:p>
    <w:p>
      <w:pPr>
        <w:spacing w:before="40" w:after="40"/>
        <w:ind w:left="259" w:right="259"/>
        <w:shd w:fill="F2F4F7"/>
        <w:keepLines/>
      </w:pPr>
      <w:r>
        <w:rPr>
          <w:rFonts w:ascii="Menlo" w:hAnsi="Menlo" w:cs="Menlo" w:eastAsia="PingFang SC"/>
          <w:color w:val="0B2545"/>
          <w:sz w:val="17"/>
        </w:rPr>
        <w:t>apps/api        NestJS HTTP API；模块化单体</w:t>
      </w:r>
    </w:p>
    <w:p>
      <w:pPr>
        <w:spacing w:before="40" w:after="40"/>
        <w:ind w:left="259" w:right="259"/>
        <w:shd w:fill="F2F4F7"/>
        <w:keepLines/>
      </w:pPr>
      <w:r>
        <w:rPr>
          <w:rFonts w:ascii="Menlo" w:hAnsi="Menlo" w:cs="Menlo" w:eastAsia="PingFang SC"/>
          <w:color w:val="0B2545"/>
          <w:sz w:val="17"/>
        </w:rPr>
        <w:t>apps/worker     RabbitMQ consumer、scheduler、outbox relay</w:t>
      </w:r>
    </w:p>
    <w:p>
      <w:pPr>
        <w:spacing w:before="40" w:after="40"/>
        <w:ind w:left="259" w:right="259"/>
        <w:shd w:fill="F2F4F7"/>
        <w:keepLines/>
      </w:pPr>
      <w:r>
        <w:rPr>
          <w:rFonts w:ascii="Menlo" w:hAnsi="Menlo" w:cs="Menlo" w:eastAsia="PingFang SC"/>
          <w:color w:val="0B2545"/>
          <w:sz w:val="17"/>
        </w:rPr>
        <w:t>packages/       contracts / database / config / security / observability / ui</w:t>
      </w:r>
    </w:p>
    <w:p>
      <w:pPr>
        <w:spacing w:before="40" w:after="40"/>
        <w:ind w:left="259" w:right="259"/>
        <w:shd w:fill="F2F4F7"/>
        <w:keepLines/>
      </w:pPr>
      <w:r>
        <w:rPr>
          <w:rFonts w:ascii="Menlo" w:hAnsi="Menlo" w:cs="Menlo" w:eastAsia="PingFang SC"/>
          <w:color w:val="0B2545"/>
          <w:sz w:val="17"/>
        </w:rPr>
        <w:t>docs/           architecture / api / domains / runbooks</w:t>
      </w:r>
    </w:p>
    <w:p>
      <w:pPr>
        <w:spacing w:before="40" w:after="40"/>
        <w:ind w:left="259" w:right="259"/>
        <w:shd w:fill="F2F4F7"/>
        <w:keepLines/>
      </w:pPr>
      <w:r>
        <w:rPr>
          <w:rFonts w:ascii="Menlo" w:hAnsi="Menlo" w:cs="Menlo" w:eastAsia="PingFang SC"/>
          <w:color w:val="0B2545"/>
          <w:sz w:val="17"/>
        </w:rPr>
        <w:t>infra/          docker / kubernetes / terraform / monitoring</w:t>
      </w:r>
    </w:p>
    <w:p>
      <w:pPr>
        <w:spacing w:before="40" w:after="40"/>
        <w:ind w:left="259" w:right="259"/>
        <w:shd w:fill="F2F4F7"/>
        <w:keepLines/>
      </w:pPr>
      <w:r>
        <w:rPr>
          <w:rFonts w:ascii="Menlo" w:hAnsi="Menlo" w:cs="Menlo" w:eastAsia="PingFang SC"/>
          <w:color w:val="0B2545"/>
          <w:sz w:val="17"/>
        </w:rPr>
        <w:t>apps/legacy-quote-v1  迁移期保留的现有 FastAPI/Vite 能力</w:t>
      </w:r>
    </w:p>
    <w:p>
      <w:pPr>
        <w:keepLines/>
      </w:pPr>
      <w:r>
        <w:rPr>
          <w:rFonts w:ascii="Calibri" w:hAnsi="Calibri" w:cs="Calibri" w:eastAsia="PingFang SC"/>
          <w:color w:val="1F2937"/>
        </w:rPr>
        <w:t>每个 NestJS 领域模块使用统一结构：Domain（Entity/Value Object/Event/Policy/Repository Port）→ Application（Command/Query/Service/DTO/Port）→ Infrastructure（Prisma/Messaging/Integration Adapter）→ Interface（Controller/Validation/Presenter/Consumer）。</w:t>
      </w:r>
    </w:p>
    <w:p>
      <w:pPr>
        <w:pStyle w:val="Heading2"/>
        <w:keepNext/>
        <w:keepLines/>
      </w:pPr>
      <w:r>
        <w:t>模块所有权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50"/>
        <w:gridCol w:w="3960"/>
        <w:gridCol w:w="3550"/>
      </w:tblGrid>
      <w:tr>
        <w:trPr>
          <w:tblHeader w:val="true"/>
          <w:cantSplit/>
        </w:trPr>
        <w:tc>
          <w:tcPr>
            <w:tcW w:type="dxa" w:w="18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9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核心职责</w:t>
            </w:r>
          </w:p>
        </w:tc>
        <w:tc>
          <w:tcPr>
            <w:tcW w:type="dxa" w:w="35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拥有的数据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Identity &amp; Access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Organization、Membership、JWT、RBAC、API Client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users / organizations / roles / sessions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Service Catalog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服务、关系、Offering、Coverage、Facility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service_* / supplier_service_* / facilities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Shipment Request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地址、Cargo、客户服务需求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locations / shipment_requests / cargo / services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Planning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AI/规则 Plan、DAG 校验、revision、审批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logistics_plans / plan_legs / dependencies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 轮次、选商、邀请、渠道发送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rfqs / items / invitations / dispatch attempts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Quote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回复接入、AI 解析、标准化、复核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supplier_quotes / items / charges / parse runs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Quote Center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最低/最快/推荐/DDP/Self Import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customer_quotes / options / acceptances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Matching + Order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拼货池、锁价、订单、Shipment 编组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pools / locks / orders / shipments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Fulfillment + Tracking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任务拆分、依赖、状态、统一 Timeline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tasks / history / milestones / events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Center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档案、资质、投诉、KPI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supplier_profiles / complaints / kpi snapshots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Price Intelligence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收集、预测、推荐、动态定价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observations / forecasts / policies / decisions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Integration + AI Governance</w:t>
            </w:r>
          </w:p>
        </w:tc>
        <w:tc>
          <w:tcPr>
            <w:tcW w:type="dxa" w:w="39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文件、连接、消息、模型证据、复核</w:t>
            </w:r>
          </w:p>
        </w:tc>
        <w:tc>
          <w:tcPr>
            <w:tcW w:type="dxa" w:w="35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assets / outbox / inbox / ai runs / reviews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7FB" w:val="clear"/>
            <w:tcBorders>
              <w:top w:val="single" w:sz="8" w:color="2E74B5"/>
              <w:start w:val="single" w:sz="8" w:color="2E74B5"/>
              <w:bottom w:val="single" w:sz="8" w:color="2E74B5"/>
              <w:end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 w:eastAsia="PingFang SC"/>
                <w:b/>
                <w:color w:val="2E74B5"/>
              </w:rPr>
              <w:t xml:space="preserve">依赖规则  </w:t>
            </w:r>
            <w:r>
              <w:rPr>
                <w:rFonts w:ascii="Calibri" w:hAnsi="Calibri" w:cs="Calibri" w:eastAsia="PingFang SC"/>
                <w:color w:val="1F2937"/>
              </w:rPr>
              <w:t>Domain 不依赖 NestJS/Prisma；跨模块不得直接访问对方 Repository，只能调用公开 Application Facade 或消费版本化领域事件。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模块关系与主流程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1" name="Picture 1" descr="Marketplace domain flow showing request, planning, RFQ, quotes, order, matching, fulfillment, tracking, supplier center and price intellig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PingFang SC"/>
          <w:i/>
          <w:color w:val="5F6B7A"/>
          <w:sz w:val="18"/>
        </w:rPr>
        <w:t>图 1 · Marketplace 领域主流程与 Price Intelligence 反馈回路</w:t>
      </w:r>
    </w:p>
    <w:p>
      <w:pPr>
        <w:keepLines/>
      </w:pPr>
      <w:r>
        <w:rPr>
          <w:rFonts w:ascii="Calibri" w:hAnsi="Calibri" w:cs="Calibri" w:eastAsia="PingFang SC"/>
          <w:color w:val="1F2937"/>
        </w:rPr>
        <w:t>主交易链路：客户提交 Shipment Request → Hybrid Planner 生成并校验 Plan → RFQ 选商与多渠道分发 → 供应商回复/AI 解析 → 多方案 Customer Quote → 接受后生成 Order → 拼货/锁价 → Shipment/Task → Tracking。</w:t>
      </w:r>
    </w:p>
    <w:p>
      <w:pPr>
        <w:pStyle w:val="Heading2"/>
        <w:keepNext/>
        <w:keepLines/>
      </w:pPr>
      <w:r>
        <w:t>关键领域事件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800"/>
        <w:gridCol w:w="2300"/>
        <w:gridCol w:w="3260"/>
      </w:tblGrid>
      <w:tr>
        <w:trPr>
          <w:tblHeader w:val="true"/>
          <w:cantSplit/>
        </w:trPr>
        <w:tc>
          <w:tcPr>
            <w:tcW w:type="dxa" w:w="38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事件</w:t>
            </w:r>
          </w:p>
        </w:tc>
        <w:tc>
          <w:tcPr>
            <w:tcW w:type="dxa" w:w="23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Producer</w:t>
            </w:r>
          </w:p>
        </w:tc>
        <w:tc>
          <w:tcPr>
            <w:tcW w:type="dxa" w:w="32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主要 Consumer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ShipmentRequestSubmitted.v1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Shipment Request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Planning / Audit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LogisticsPlanApproved.v1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Planning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 / Shipment Request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RfqPublished.v1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Integration / Supplier Center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RfqReplyReceived.v1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Integration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Quote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SupplierQuoteValidated.v1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Quote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Quote Center / Price Intelligence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CustomerQuoteAccepted.v1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Quote Center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Order / Price Intelligence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PoolCapacityChanged.v1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Matching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Price Intelligence / Dashboard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ShipmentAllocated.v1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Order/Matching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Fulfillment / Tracking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FulfillmentTaskStatusChanged.v1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Fulfillment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Tracking / Supplier KPI / Notification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PriceForecastGenerated.v1</w:t>
            </w:r>
          </w:p>
        </w:tc>
        <w:tc>
          <w:tcPr>
            <w:tcW w:type="dxa" w:w="23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Price Intelligence</w:t>
            </w:r>
          </w:p>
        </w:tc>
        <w:tc>
          <w:tcPr>
            <w:tcW w:type="dxa" w:w="32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Quote Center / Dashboard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数据模型与 ER 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7FB" w:val="clear"/>
            <w:tcBorders>
              <w:top w:val="single" w:sz="8" w:color="2E74B5"/>
              <w:start w:val="single" w:sz="8" w:color="2E74B5"/>
              <w:bottom w:val="single" w:sz="8" w:color="2E74B5"/>
              <w:end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 w:eastAsia="PingFang SC"/>
                <w:b/>
                <w:color w:val="2E74B5"/>
              </w:rPr>
              <w:t xml:space="preserve">基线规模  </w:t>
            </w:r>
            <w:r>
              <w:rPr>
                <w:rFonts w:ascii="Calibri" w:hAnsi="Calibri" w:cs="Calibri" w:eastAsia="PingFang SC"/>
                <w:color w:val="1F2937"/>
              </w:rPr>
              <w:t>PostgreSQL marketplace schema：72 张表、4 个可重建只读视图；所有核心交易均有组织归属、版本、来源和审计路径。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50"/>
        <w:gridCol w:w="3850"/>
        <w:gridCol w:w="3660"/>
      </w:tblGrid>
      <w:tr>
        <w:trPr>
          <w:tblHeader w:val="true"/>
          <w:cantSplit/>
        </w:trPr>
        <w:tc>
          <w:tcPr>
            <w:tcW w:type="dxa" w:w="18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数据域</w:t>
            </w:r>
          </w:p>
        </w:tc>
        <w:tc>
          <w:tcPr>
            <w:tcW w:type="dxa" w:w="38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核心实体</w:t>
            </w:r>
          </w:p>
        </w:tc>
        <w:tc>
          <w:tcPr>
            <w:tcW w:type="dxa" w:w="36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核心关系/目的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IAM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User, Organization, Membership, Role, Permission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一个用户多组织；权限按当前组织计算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Catalog/Supplier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Service, Relationship, Offering, Coverage, Facility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服务动态扩展；供应商能力可筛选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Request/Plan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Shipment Request, Cargo, Plan, Plan Leg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客户意图 → 可采购/可履约 DAG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RFQ/Supplier Quote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RFQ, Invitation, Dispatch, Quote, Charge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多轮/多供应商/多渠道；原始回复可追溯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Customer Quote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Quote, Option, Option Leg, Acceptance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成本组合、比较、发布和不可变接受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Matching/Order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Pool, Membership, Lock, Order, Shipment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并发容量、价格锁、多单拼货/未来拆单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Fulfillment/Tracking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Task, Dependency, History, Milestone, Event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供应商任务隔离与统一 Timeline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Price Intelligence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Observation, Model, Forecast, Recommendation, Policy, Decision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有证据的价格大脑，不直接改写报价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Platform</w:t>
            </w:r>
          </w:p>
        </w:tc>
        <w:tc>
          <w:tcPr>
            <w:tcW w:type="dxa" w:w="38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File, Connection, AI Run, Review, Outbox, Inbox, Audit</w:t>
            </w:r>
          </w:p>
        </w:tc>
        <w:tc>
          <w:tcPr>
            <w:tcW w:type="dxa" w:w="36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可靠异步、外部集成、模型治理和审计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数据约定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74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ID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UUID；不把数据库自增 ID 暴露为领域标识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时间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timestamptz；API 使用 ISO 8601 UTC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金额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numeric(18,4) + ISO currency；API 以字符串传输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价格分析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原币金额 + CAD 归一化金额 + FX snapshot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重量/体积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数据库统一 kg/cbm；API 边界换算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状态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text + CHECK；重要 Aggregate 使用 version CAS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JSONB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外部 payload、快照、扩展条件；可检索核心字段必须结构化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删除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Master Data 可逻辑删；交易/事件/审计追加式保留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数据库必须保证的关键不变量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RFQ 和 Customer Quote 所引用的 Plan 必须属于同一 Shipment Request。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Supplier Quote 的 Supplier 必须与 RFQ Invitation 的 Supplier 相同。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被接受的 Quote Option 必须属于该 Customer Quote；Order 必须引用同一 Acceptance/Option。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同一 RFQ 对同一 Supplier 只允许一条 Invitation；报价/计划/客户报价 revision 唯一。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一个 Customer Quote 最多一个 Recommended Option。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Tracking Event、Price Observation、Task Status History、Supplier KPI、Audit Log 禁止 UPDATE/DELETE。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HTTP command、Outbox/Inbox、Webhook、通知和外部 Tracking Event 均有去重/幂等键。</w:t>
      </w:r>
    </w:p>
    <w:p>
      <w:pPr>
        <w:keepLines/>
      </w:pPr>
      <w:r>
        <w:rPr>
          <w:rFonts w:ascii="Calibri" w:hAnsi="Calibri" w:cs="Calibri" w:eastAsia="PingFang SC"/>
          <w:color w:val="1F2937"/>
        </w:rPr>
        <w:t>Plan DAG 无环、服务完整覆盖、Quote Option 成本腿完整、Pool 并发不超容量、Task 合法状态转换等复杂不变量由 Domain + 真实 PostgreSQL 集成测试保证。</w:t>
      </w:r>
    </w:p>
    <w:p>
      <w:pPr>
        <w:pStyle w:val="Heading1"/>
        <w:keepNext/>
        <w:keepLines/>
      </w:pPr>
      <w:r>
        <w:t>4. REST API 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协议主题</w:t>
            </w:r>
          </w:p>
        </w:tc>
        <w:tc>
          <w:tcPr>
            <w:tcW w:type="dxa" w:w="74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Base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/api/v1；OpenAPI 是前端/外部集成唯一合约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Auth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短时 JWT；Refresh rotation；API Client secret 只显示一次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Org Context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X-Organization-Id + Membership/Permission + Resource Ownership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Idempotency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创建/发布/接受/分配/状态命令必须 Idempotency-Key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Concurrency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If-Match: &lt;version&gt;；冲突返回 409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Async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长任务返回 202 + operationId；GET /operations/{id}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Errors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Problem Details + 稳定业务 code + field errors + requestId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Pagination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Cursor；默认 25、最大 100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Money</w:t>
            </w:r>
          </w:p>
        </w:tc>
        <w:tc>
          <w:tcPr>
            <w:tcW w:type="dxa" w:w="74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十进制字符串；永不使用 JSON 浮点计算金额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API Surface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5000"/>
        <w:gridCol w:w="25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Surface</w:t>
            </w:r>
          </w:p>
        </w:tc>
        <w:tc>
          <w:tcPr>
            <w:tcW w:type="dxa" w:w="50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代表端点</w:t>
            </w:r>
          </w:p>
        </w:tc>
        <w:tc>
          <w:tcPr>
            <w:tcW w:type="dxa" w:w="25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主要角色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Auth/RBAC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POST /auth/login · GET /me · /organizations · /roles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All / Admin / Org Owner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Catalog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GET/POST /services · /supplier-offerings · /facilities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Customer / Supplier /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Request/Plan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POST /shipment-requests · /submit · /logistics-plans · /approve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Customer / Sales /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RFQ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POST /rfqs · /supplier-candidates · /publish · /resend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Sales /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Quote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/reply-files · /quote-parse-runs · /resolve · /supplier/.../quotes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/ Sales /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Quote Center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/customer-quotes · /comparison · /publish · /acceptances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Customer / Sales /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Matching/Order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/orders · /consolidation-pools · /memberships · /price-locks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Sales / Admin / System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Fulfillment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/shipments · /supplier/fulfillment-tasks · /complete · /exceptions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/ Sales /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Tracking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/shipments/{id}/timeline · /tracking-events · /webhooks/inbound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All scoped / External signed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Price Intelligence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/forecasts · /recommendations · /policies · /pricing-decisions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Sales / Analyst / Admin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Platform</w:t>
            </w:r>
          </w:p>
        </w:tc>
        <w:tc>
          <w:tcPr>
            <w:tcW w:type="dxa" w:w="5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/files · /integrations · /review-tasks · /audit-logs · /dashboards</w:t>
            </w:r>
          </w:p>
        </w:tc>
        <w:tc>
          <w:tcPr>
            <w:tcW w:type="dxa" w:w="2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Scoped / Admin / Auditor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FF8E8" w:val="clear"/>
            <w:tcBorders>
              <w:top w:val="single" w:sz="8" w:color="8A5A00"/>
              <w:start w:val="single" w:sz="8" w:color="8A5A00"/>
              <w:bottom w:val="single" w:sz="8" w:color="8A5A00"/>
              <w:end w:val="single" w:sz="8" w:color="8A5A00"/>
              <w:insideH w:val="single" w:sz="8" w:color="8A5A00"/>
              <w:insideV w:val="single" w:sz="8" w:color="8A5A00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 w:eastAsia="PingFang SC"/>
                <w:b/>
                <w:color w:val="8A5A00"/>
              </w:rPr>
              <w:t xml:space="preserve">权限边界  </w:t>
            </w:r>
            <w:r>
              <w:rPr>
                <w:rFonts w:ascii="Calibri" w:hAnsi="Calibri" w:cs="Calibri" w:eastAsia="PingFang SC"/>
                <w:color w:val="1F2937"/>
              </w:rPr>
              <w:t>Controller 先验证 JWT/Permission，再由 Repository/Application Policy 强制 customer/supplier ownership。供应商 Task 查询始终带 current supplier organization filter。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5. 技术架构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35960"/>
            <wp:docPr id="2" name="Picture 2" descr="MVP runtime architecture with clients, Next.js, NestJS API and worker, PostgreSQL, RabbitMQ, Redis, S3, Maps, Resend, AI gateway and supplier end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cs="Calibri" w:eastAsia="PingFang SC"/>
          <w:i/>
          <w:color w:val="5F6B7A"/>
          <w:sz w:val="18"/>
        </w:rPr>
        <w:t>图 2 · MVP Runtime：同步事务与异步 Worker 分离</w:t>
      </w:r>
    </w:p>
    <w:p>
      <w:pPr>
        <w:pStyle w:val="Heading2"/>
        <w:keepNext/>
        <w:keepLines/>
      </w:pPr>
      <w:r>
        <w:t>运行与可靠性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API 同步链路不等待 Email、Webhook、AI 或 Forecast；事务内写业务状态、Audit 和 Outbox。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Outbox Relay 用 SKIP LOCKED 领取，RabbitMQ 使用持久消息/Publisher Confirm；Consumer 用 Inbox 去重。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Redis 仅做缓存、限流和短锁；价格、容量、Order/Task 状态最终以 PostgreSQL 为准。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S3 保存原始回复、Excel/PDF、POD 和模型 artifact；数据库保存对象引用、SHA-256、扫描状态和归属。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Queue 独立配置并发、timeout、重试、退避和 DLQ；业务错误进入 Review，不做无效重试。</w:t>
      </w:r>
    </w:p>
    <w:p>
      <w:pPr>
        <w:pStyle w:val="Heading2"/>
        <w:keepNext/>
        <w:keepLines/>
      </w:pPr>
      <w:r>
        <w:t>初始 SLO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65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核心读 API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99.9% 月可用；P95 &lt; 500 ms（不含 AI/文件）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核心写 API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P95 &lt; 800 ms；事务不等待外部服务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Outbox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P95 事件年龄 &lt; 5 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RFQ 分发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P95 开始发送 &lt; 60 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AI Quote Parse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P95 &lt; 3 min；失败可重试/人工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Tracking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P95 事件可见 &lt; 30 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安全/正确性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重复副作用、跨组织越权、无来源金额发布均为 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DLQ</w:t>
            </w:r>
          </w:p>
        </w:tc>
        <w:tc>
          <w:tcPr>
            <w:tcW w:type="dxa" w:w="65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未告警时间 &lt; 5 min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AI 与 Price Intelligence</w:t>
      </w:r>
    </w:p>
    <w:p>
      <w:pPr>
        <w:pStyle w:val="Heading2"/>
        <w:keepNext/>
        <w:keepLines/>
      </w:pPr>
      <w:r>
        <w:t>AI 安全边界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3730"/>
        <w:gridCol w:w="3930"/>
      </w:tblGrid>
      <w:tr>
        <w:trPr>
          <w:tblHeader w:val="true"/>
          <w:cantSplit/>
        </w:trPr>
        <w:tc>
          <w:tcPr>
            <w:tcW w:type="dxa" w:w="17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能力</w:t>
            </w:r>
          </w:p>
        </w:tc>
        <w:tc>
          <w:tcPr>
            <w:tcW w:type="dxa" w:w="373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AI 可以做</w:t>
            </w:r>
          </w:p>
        </w:tc>
        <w:tc>
          <w:tcPr>
            <w:tcW w:type="dxa" w:w="393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AI 不可以做 / 放行者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Logistics Plan</w:t>
            </w:r>
          </w:p>
        </w:tc>
        <w:tc>
          <w:tcPr>
            <w:tcW w:type="dxa" w:w="37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返回结构化候选 Plan</w:t>
            </w:r>
          </w:p>
        </w:tc>
        <w:tc>
          <w:tcPr>
            <w:tcW w:type="dxa" w:w="39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不能批准；Schema/DAG/服务/地点/能力 validator 放行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Quote Parse</w:t>
            </w:r>
          </w:p>
        </w:tc>
        <w:tc>
          <w:tcPr>
            <w:tcW w:type="dxa" w:w="37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提取 price/currency/THC/DOC/transit/free time/notes</w:t>
            </w:r>
          </w:p>
        </w:tc>
        <w:tc>
          <w:tcPr>
            <w:tcW w:type="dxa" w:w="39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不能绕过来源/算术/RFQ scope；Review/validator 放行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Forecast</w:t>
            </w:r>
          </w:p>
        </w:tc>
        <w:tc>
          <w:tcPr>
            <w:tcW w:type="dxa" w:w="37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产生有版本、有区间的预测</w:t>
            </w:r>
          </w:p>
        </w:tc>
        <w:tc>
          <w:tcPr>
            <w:tcW w:type="dxa" w:w="39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不能隐藏训练截止/样本/误差；Registry + Shadow 放行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Recommendation</w:t>
            </w:r>
          </w:p>
        </w:tc>
        <w:tc>
          <w:tcPr>
            <w:tcW w:type="dxa" w:w="37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建议销售价/采购价区间</w:t>
            </w:r>
          </w:p>
        </w:tc>
        <w:tc>
          <w:tcPr>
            <w:tcW w:type="dxa" w:w="39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不能直接更新 Quote；Policy Guard + Approver 放行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Explanation</w:t>
            </w:r>
          </w:p>
        </w:tc>
        <w:tc>
          <w:tcPr>
            <w:tcW w:type="dxa" w:w="37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解释已锁定结果与风险</w:t>
            </w:r>
          </w:p>
        </w:tc>
        <w:tc>
          <w:tcPr>
            <w:tcW w:type="dxa" w:w="393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不能生成未在证据中的金额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Price Intelligence 四个子模块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2450"/>
        <w:gridCol w:w="2600"/>
        <w:gridCol w:w="271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子模块</w:t>
            </w:r>
          </w:p>
        </w:tc>
        <w:tc>
          <w:tcPr>
            <w:tcW w:type="dxa" w:w="24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26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持久化/输出</w:t>
            </w:r>
          </w:p>
        </w:tc>
        <w:tc>
          <w:tcPr>
            <w:tcW w:type="dxa" w:w="271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关键护栏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Collector</w:t>
            </w:r>
          </w:p>
        </w:tc>
        <w:tc>
          <w:tcPr>
            <w:tcW w:type="dxa" w:w="24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Quote /成交/价卡/历史</w:t>
            </w:r>
          </w:p>
        </w:tc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Price Observation + lineage</w:t>
            </w:r>
          </w:p>
        </w:tc>
        <w:tc>
          <w:tcPr>
            <w:tcW w:type="dxa" w:w="27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原币/CAD/FX/权限/质量；追加修正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Forecast</w:t>
            </w:r>
          </w:p>
        </w:tc>
        <w:tc>
          <w:tcPr>
            <w:tcW w:type="dxa" w:w="24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Time-safe segment series</w:t>
            </w:r>
          </w:p>
        </w:tc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7/14/30 天 P10/P50/P90</w:t>
            </w:r>
          </w:p>
        </w:tc>
        <w:tc>
          <w:tcPr>
            <w:tcW w:type="dxa" w:w="27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训练截止、样本数、回测、Candidate→Shadow→Active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Recommendation</w:t>
            </w:r>
          </w:p>
        </w:tc>
        <w:tc>
          <w:tcPr>
            <w:tcW w:type="dxa" w:w="24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成本/Forecast/容量/热度</w:t>
            </w:r>
          </w:p>
        </w:tc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Sales/Procurement 区间</w:t>
            </w:r>
          </w:p>
        </w:tc>
        <w:tc>
          <w:tcPr>
            <w:tcW w:type="dxa" w:w="27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低置信/过期不可用；完整 evidence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Dynamic Pricing</w:t>
            </w:r>
          </w:p>
        </w:tc>
        <w:tc>
          <w:tcPr>
            <w:tcW w:type="dxa" w:w="24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Recommendation + versioned policy</w:t>
            </w:r>
          </w:p>
        </w:tc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Audited Pricing Decision</w:t>
            </w:r>
          </w:p>
        </w:tc>
        <w:tc>
          <w:tcPr>
            <w:tcW w:type="dxa" w:w="27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毛利 floor、折扣/加价 cap、人工阈值、new quote revision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7FB" w:val="clear"/>
            <w:tcBorders>
              <w:top w:val="single" w:sz="8" w:color="2E74B5"/>
              <w:start w:val="single" w:sz="8" w:color="2E74B5"/>
              <w:bottom w:val="single" w:sz="8" w:color="2E74B5"/>
              <w:end w:val="single" w:sz="8" w:color="2E74B5"/>
              <w:insideH w:val="single" w:sz="8" w:color="2E74B5"/>
              <w:insideV w:val="single" w:sz="8" w:color="2E74B5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 w:eastAsia="PingFang SC"/>
                <w:b/>
                <w:color w:val="2E74B5"/>
              </w:rPr>
              <w:t xml:space="preserve">核心竞争力  </w:t>
            </w:r>
            <w:r>
              <w:rPr>
                <w:rFonts w:ascii="Calibri" w:hAnsi="Calibri" w:cs="Calibri" w:eastAsia="PingFang SC"/>
                <w:color w:val="1F2937"/>
              </w:rPr>
              <w:t>Price Intelligence 消费所有合法交易事实，但不反向拥有 RFQ/Quote/Order。它通过 Advisory Facade 和版本化事件提供建议，保持可解释、可回测、可审批和可回退。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7. MVP 开发计划</w:t>
      </w:r>
    </w:p>
    <w:p>
      <w:pPr>
        <w:keepLines/>
      </w:pPr>
      <w:r>
        <w:rPr>
          <w:rFonts w:ascii="Calibri" w:hAnsi="Calibri" w:cs="Calibri" w:eastAsia="PingFang SC"/>
          <w:color w:val="1F2937"/>
        </w:rPr>
        <w:t>完整 PRD 不是小型 CRUD。以 1 PO、1 Tech Lead、2 Backend、2 Frontend、1 Data/ML、1 QA（DevOps/Security 共享）为基线：Pilot 核心闭环约 14-16 周；完整 MVP 约 22-26 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00"/>
        <w:gridCol w:w="3910"/>
        <w:gridCol w:w="4350"/>
      </w:tblGrid>
      <w:tr>
        <w:trPr>
          <w:tblHeader w:val="true"/>
          <w:cantSplit/>
        </w:trPr>
        <w:tc>
          <w:tcPr>
            <w:tcW w:type="dxa" w:w="11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Phase</w:t>
            </w:r>
          </w:p>
        </w:tc>
        <w:tc>
          <w:tcPr>
            <w:tcW w:type="dxa" w:w="391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范围</w:t>
            </w:r>
          </w:p>
        </w:tc>
        <w:tc>
          <w:tcPr>
            <w:tcW w:type="dxa" w:w="43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主要 Exit Gate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0 架构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目录/ER/关系/API/DDL/技术/计划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Product/Tech/Data/Security 评审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1 数据库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Prisma schema、baseline migration、seed、Outbox/Inbox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空库/升级迁移、约束负向测试、恢复演练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2 IAM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用户、组织、RBAC、JWT、API Client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四角色 E2E；跨组织越权为 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3 Catalog/Plan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服务市场、Request、Hybrid Planner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示例流程可生成；无效 Plan 不批准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4 RFQ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选商、Email/API/Excel/Webhook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批量幂等；失败可重试/DLQ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5 Supplier/Parse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档案、回复接入、AI 解析、Review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金额/币种错误 0 次自动放行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6 Quote/Price Core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多方案、Collector、Recommendation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成本完整；无来源金额不可发布；Pilot Gate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7 Matching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Pool、容量、锁价、通知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并发无超卖；锁/Reservation 自动释放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8 Fulfillment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Order/Shipment/Task/dependency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合法状态机；供应商任务隔离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9 Tracking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Milestone/Event/Timeline/POD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重复/乱序安全；客户字段脱敏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10 Intelligence</w:t>
            </w:r>
          </w:p>
        </w:tc>
        <w:tc>
          <w:tcPr>
            <w:tcW w:type="dxa" w:w="39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Dashboard/KPI/Forecast/Dynamic Pricing</w:t>
            </w:r>
          </w:p>
        </w:tc>
        <w:tc>
          <w:tcPr>
            <w:tcW w:type="dxa" w:w="43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Shadow/误差/漂移/审批/Guardrail 全通过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Phase 1 数据库开发的明确边界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新增 packages/database；将 baseline DDL 翻译为 Prisma schema 和 0001 migration。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建立平台组织、系统角色/权限、初始服务/关系的可重复 Seed。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使用真实 PostgreSQL 执行空库迁移、上一版本升级、constraint/lock/trigger/view 测试。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建立 schema drift 和 destructive migration gate；不得使用 db push 代替 migration。</w:t>
      </w:r>
    </w:p>
    <w:p>
      <w:pPr>
        <w:numPr>
          <w:ilvl w:val="0"/>
          <w:numId w:val="11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保留现有 FastAPI/Vite；数据库阶段不删除、不覆盖、不直接导入生产价卡。</w:t>
      </w:r>
    </w:p>
    <w:p>
      <w:pPr>
        <w:pStyle w:val="Heading1"/>
        <w:keepNext/>
        <w:keepLines/>
      </w:pPr>
      <w:r>
        <w:t>8. 关键 ADR、风险与评审门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50"/>
        <w:gridCol w:w="8310"/>
      </w:tblGrid>
      <w:tr>
        <w:trPr>
          <w:tblHeader w:val="true"/>
          <w:cantSplit/>
        </w:trPr>
        <w:tc>
          <w:tcPr>
            <w:tcW w:type="dxa" w:w="105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ADR</w:t>
            </w:r>
          </w:p>
        </w:tc>
        <w:tc>
          <w:tcPr>
            <w:tcW w:type="dxa" w:w="831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决策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001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模块化单体 + Worker；有组织/性能/合规证据后再拆服务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002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PostgreSQL 是唯一事实源；Redis 可丢失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003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一个 marketplace schema；逻辑表所有权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004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组织级 Membership/Role/Permission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005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Plan/Supplier Quote/Customer Quote 不可变 revision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006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Plan 使用 DAG；界面可线性展示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007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AI 候选/建议；确定性 Guardrail/审批放行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008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原币事实 + CAD/FX 分析快照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009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Outbox/Inbox + RabbitMQ 至少一次投递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010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REST/OpenAPI First；GraphQL 暂不实现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011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Order 与 Shipment 分离，支持拼货/拆单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012-014</w:t>
            </w:r>
          </w:p>
        </w:tc>
        <w:tc>
          <w:tcPr>
            <w:tcW w:type="dxa" w:w="831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Price Intelligence 独立且保护价格隐私；Legacy Strangler 迁移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主要风险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63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主要缓解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服务组合不完整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Catalog relationship + deterministic validator + SME review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回复格式异构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Channel extractor + evidence + gold set + confidence gate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币种/费用口径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原币 + FX snapshot + charge taxonomy + arithmetic gate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跨组织越权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Org RBAC + ownership filter + BOLA tests + audit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消息重复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Outbox/Inbox + idempotency + unique constraints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拼货超卖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PostgreSQL row lock + version CAS + concurrency tests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Forecast 小样本/漂移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样本门槛 + 区间 + Shadow + drift + fallback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Dynamic Pricing 亏损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margin floor/cap + approval + revision + audit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Legacy 回归</w:t>
            </w:r>
          </w:p>
        </w:tc>
        <w:tc>
          <w:tcPr>
            <w:tcW w:type="dxa" w:w="63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golden fixtures + dual-run + feature flag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架构评审门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同意模块化单体 + 独立 Worker。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同意组织级 RBAC 和供应商任务隔离。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同意 marketplace schema、72 表/4 视图 baseline。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同意不可变 revision、Order/Shipment 分离、Outbox/Inbox。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同意 AI/Price Intelligence 的证据、Shadow、Guardrail 和审批边界。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同意 Legacy 在数据库阶段继续保留。</w:t>
      </w:r>
    </w:p>
    <w:p>
      <w:pPr>
        <w:numPr>
          <w:ilvl w:val="0"/>
          <w:numId w:val="10"/>
        </w:numPr>
        <w:spacing w:before="0" w:after="80" w:line="300" w:lineRule="auto"/>
        <w:keepLines/>
      </w:pPr>
      <w:r>
        <w:rPr>
          <w:rFonts w:ascii="Calibri" w:hAnsi="Calibri" w:cs="Calibri" w:eastAsia="PingFang SC"/>
          <w:color w:val="1F2937"/>
        </w:rPr>
        <w:t>确认 Phase 1 只做数据库、迁移、Seed 和基础设施测试，不写业务功能。</w:t>
      </w:r>
    </w:p>
    <w:p>
      <w:pPr>
        <w:pStyle w:val="Heading2"/>
        <w:keepNext/>
        <w:keepLines/>
      </w:pPr>
      <w:r>
        <w:t>进入实施前仍需业务确认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820"/>
        <w:gridCol w:w="3870"/>
        <w:gridCol w:w="2670"/>
      </w:tblGrid>
      <w:tr>
        <w:trPr>
          <w:tblHeader w:val="true"/>
          <w:cantSplit/>
        </w:trPr>
        <w:tc>
          <w:tcPr>
            <w:tcW w:type="dxa" w:w="282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事项</w:t>
            </w:r>
          </w:p>
        </w:tc>
        <w:tc>
          <w:tcPr>
            <w:tcW w:type="dxa" w:w="387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当前默认</w:t>
            </w:r>
          </w:p>
        </w:tc>
        <w:tc>
          <w:tcPr>
            <w:tcW w:type="dxa" w:w="267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7"/>
              </w:rPr>
              <w:t>Owner / 截止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FX 来源与锁定时点</w:t>
            </w:r>
          </w:p>
        </w:tc>
        <w:tc>
          <w:tcPr>
            <w:tcW w:type="dxa" w:w="38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每次 Observation/Quote 保存来源和快照</w:t>
            </w:r>
          </w:p>
        </w:tc>
        <w:tc>
          <w:tcPr>
            <w:tcW w:type="dxa" w:w="26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Finance/Product · Phase 5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GST/CARM/DDP 责任</w:t>
            </w:r>
          </w:p>
        </w:tc>
        <w:tc>
          <w:tcPr>
            <w:tcW w:type="dxa" w:w="38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作为服务，不自动做法律/税务判断</w:t>
            </w:r>
          </w:p>
        </w:tc>
        <w:tc>
          <w:tcPr>
            <w:tcW w:type="dxa" w:w="26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Customs/Finance · Phase 3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Supplier KPI/推荐权重</w:t>
            </w:r>
          </w:p>
        </w:tc>
        <w:tc>
          <w:tcPr>
            <w:tcW w:type="dxa" w:w="38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指标分开存、权重版本化</w:t>
            </w:r>
          </w:p>
        </w:tc>
        <w:tc>
          <w:tcPr>
            <w:tcW w:type="dxa" w:w="26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Procurement/Sales · Phase 4-6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Forecast 样本/误差门槛</w:t>
            </w:r>
          </w:p>
        </w:tc>
        <w:tc>
          <w:tcPr>
            <w:tcW w:type="dxa" w:w="38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低样本不出细粒度预测</w:t>
            </w:r>
          </w:p>
        </w:tc>
        <w:tc>
          <w:tcPr>
            <w:tcW w:type="dxa" w:w="26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Data/Product · Phase 6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聚合价格匿名门槛</w:t>
            </w:r>
          </w:p>
        </w:tc>
        <w:tc>
          <w:tcPr>
            <w:tcW w:type="dxa" w:w="38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未定前不对外显示</w:t>
            </w:r>
          </w:p>
        </w:tc>
        <w:tc>
          <w:tcPr>
            <w:tcW w:type="dxa" w:w="26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Security/Product · Phase 6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Dynamic Pricing 自动阈值</w:t>
            </w:r>
          </w:p>
        </w:tc>
        <w:tc>
          <w:tcPr>
            <w:tcW w:type="dxa" w:w="38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MVP 外部发布默认人工批准</w:t>
            </w:r>
          </w:p>
        </w:tc>
        <w:tc>
          <w:tcPr>
            <w:tcW w:type="dxa" w:w="26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Sales/Finance · Phase 10</w:t>
            </w:r>
          </w:p>
        </w:tc>
      </w:tr>
      <w:tr>
        <w:trPr>
          <w:cantSplit/>
        </w:trPr>
        <w:tc>
          <w:tcPr>
            <w:tcW w:type="dxa" w:w="282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保留期限/AI Provider</w:t>
            </w:r>
          </w:p>
        </w:tc>
        <w:tc>
          <w:tcPr>
            <w:tcW w:type="dxa" w:w="38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架构建议 + Provider-neutral port</w:t>
            </w:r>
          </w:p>
        </w:tc>
        <w:tc>
          <w:tcPr>
            <w:tcW w:type="dxa" w:w="267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7"/>
              </w:rPr>
              <w:t>Legal/Security · 上线前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附录：仓库产物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产物</w:t>
            </w:r>
          </w:p>
        </w:tc>
        <w:tc>
          <w:tcPr>
            <w:tcW w:type="dxa" w:w="6760"/>
            <w:shd w:fill="E8EEF5" w:val="clear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cs="Calibri" w:eastAsia="PingFang SC"/>
                <w:b/>
                <w:color w:val="0B2545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架构索引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docs/architecture/README.md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目录与 DDD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docs/architecture/01-directory-and-ddd.md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数据模型与 ER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docs/architecture/02-data-model-and-er.md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模块 Context Map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docs/architecture/03-module-context-map.md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REST API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docs/architecture/04-api-design.md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技术架构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docs/architecture/05-technical-architecture.md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MVP 计划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docs/architecture/06-mvp-delivery-plan.md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ADR/评审门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docs/architecture/07-architecture-decisions.md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PostgreSQL DDL</w:t>
            </w:r>
          </w:p>
        </w:tc>
        <w:tc>
          <w:tcPr>
            <w:tcW w:type="dxa" w:w="6760"/>
            <w:tcBorders>
              <w:top w:val="single" w:sz="4" w:color="CCD6E2"/>
              <w:start w:val="single" w:sz="4" w:color="CCD6E2"/>
              <w:bottom w:val="single" w:sz="4" w:color="CCD6E2"/>
              <w:end w:val="single" w:sz="4" w:color="CCD6E2"/>
              <w:insideH w:val="single" w:sz="4" w:color="CCD6E2"/>
              <w:insideV w:val="single" w:sz="4" w:color="CCD6E2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cs="Calibri" w:eastAsia="PingFang SC"/>
                <w:color w:val="1F2937"/>
                <w:sz w:val="18"/>
              </w:rPr>
              <w:t>database/marketplace_v1.sql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2F4F7" w:val="clear"/>
            <w:tcBorders>
              <w:top w:val="single" w:sz="8" w:color="5F6B7A"/>
              <w:start w:val="single" w:sz="8" w:color="5F6B7A"/>
              <w:bottom w:val="single" w:sz="8" w:color="5F6B7A"/>
              <w:end w:val="single" w:sz="8" w:color="5F6B7A"/>
              <w:insideH w:val="single" w:sz="8" w:color="5F6B7A"/>
              <w:insideV w:val="single" w:sz="8" w:color="5F6B7A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 w:cs="Calibri" w:eastAsia="PingFang SC"/>
                <w:b/>
                <w:color w:val="5F6B7A"/>
              </w:rPr>
              <w:t xml:space="preserve">验证状态  </w:t>
            </w:r>
            <w:r>
              <w:rPr>
                <w:rFonts w:ascii="Calibri" w:hAnsi="Calibri" w:cs="Calibri" w:eastAsia="PingFang SC"/>
                <w:color w:val="1F2937"/>
              </w:rPr>
              <w:t>Markdown 相对链接/代码围栏、DDL 表/视图数量、外键目标、建表顺序、对象重名、触发表和括号平衡已通过静态检查。真实 PostgreSQL 空库执行列为 Phase 1 第一项，因为当前工作环境没有可用 PostgreSQL 服务。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PingFang SC"/>
        <w:color w:val="5F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cs="Calibri" w:eastAsia="PingFang SC"/>
        <w:b/>
        <w:color w:val="5F6B7A"/>
        <w:sz w:val="17"/>
      </w:rPr>
      <w:t>CANADA LOGISTICS MARKETPLACE</w:t>
    </w:r>
    <w:r>
      <w:rPr>
        <w:rFonts w:ascii="Calibri" w:hAnsi="Calibri" w:cs="Calibri" w:eastAsia="PingFang SC"/>
        <w:color w:val="5F6B7A"/>
        <w:sz w:val="17"/>
      </w:rPr>
      <w:tab/>
      <w:t>ARCHITECTURE BASELINE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Canada Logistics Marketplace Architecture Baseline v1.0</dc:title>
  <dc:subject>MVP architecture, DDD, ER, API, DDL, technical design and delivery plan</dc:subject>
  <dc:creator>Architecture Team</dc:creator>
  <cp:keywords>logistics marketplace, DDD, NestJS, Next.js, PostgreSQL, RFQ, price intelligence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