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160"/>
      </w:pPr>
      <w:r>
        <w:rPr>
          <w:rFonts w:ascii="Calibri" w:hAnsi="Calibri" w:eastAsia="Microsoft YaHei"/>
          <w:b/>
          <w:color w:val="2E74B5"/>
          <w:sz w:val="20"/>
        </w:rPr>
        <w:t>ORCA 6.1.1 · 51 COMPOUNDS · NMR WORKFLOW</w:t>
      </w:r>
    </w:p>
    <w:p>
      <w:pPr>
        <w:spacing w:after="160"/>
      </w:pPr>
      <w:r>
        <w:rPr>
          <w:rFonts w:ascii="Calibri" w:hAnsi="Calibri" w:eastAsia="Microsoft YaHei"/>
          <w:b/>
          <w:color w:val="0B2545"/>
          <w:sz w:val="48"/>
        </w:rPr>
        <w:t>Figure 3 剩余 51 个化合物</w:t>
        <w:br/>
        <w:t>ORCA–NMR 完整计算方案</w:t>
      </w:r>
    </w:p>
    <w:p>
      <w:pPr>
        <w:spacing w:after="360"/>
      </w:pPr>
      <w:r>
        <w:rPr>
          <w:rFonts w:ascii="Calibri" w:hAnsi="Calibri" w:eastAsia="Microsoft YaHei"/>
          <w:color w:val="5F6975"/>
          <w:sz w:val="28"/>
        </w:rPr>
        <w:t>基于苯甲酰胺方案的整合、纠错与自适应 HPC 版本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版本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v1.0 / 2026-08-20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范围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F3_001–F3_052，排除 F3_005 苯甲酰胺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状态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INPUTS_PREPARED · HPC_NOT_RUN · DRAFT_NOT_VALIDATED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默认模式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PRACTICAL_HIGH_ACCURACY；异常时升级 ULTRA_DIAGNOSTIC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交付目录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E:\For_codex\C_N_coupling\ORCA_260820\ORCA_51_NMR_PRACTICAL_HIGH_ACCURACY_v1</w:t>
            </w:r>
          </w:p>
        </w:tc>
      </w:tr>
    </w:tbl>
    <w:p>
      <w:pPr>
        <w:spacing w:before="0" w:after="0" w:line="20" w:lineRule="exact"/>
      </w:pPr>
      <w:r>
        <w:rPr>
          <w:rFonts w:ascii="Calibri" w:hAnsi="Calibri" w:eastAsia="Microsoft YaHei"/>
          <w:color w:val="FFFFFF"/>
          <w:sz w:val="2"/>
        </w:rPr>
        <w:t xml:space="preserve"> </w:t>
      </w:r>
    </w:p>
    <w:p>
      <w:pPr>
        <w:keepLines w:val="0"/>
      </w:pPr>
      <w:r>
        <w:rPr>
          <w:rFonts w:ascii="Calibri" w:hAnsi="Calibri" w:eastAsia="Microsoft YaHei"/>
        </w:rPr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0B2545"/>
              </w:rPr>
              <w:t>科学边界</w:t>
              <w:br/>
            </w:r>
            <w:r>
              <w:rPr>
                <w:rFonts w:ascii="Calibri" w:hAnsi="Calibri" w:eastAsia="Microsoft YaHei"/>
              </w:rPr>
              <w:t>本文件描述的是可复现的计算方案和预生成输入，不是实验数据，也不构成“已验证可与实测完全一致”的承诺。PBE0 与 revDSD 结果必须分别保留；不同固定显式溶剂组成不得直接混合。</w:t>
            </w:r>
          </w:p>
        </w:tc>
      </w:tr>
    </w:tbl>
    <w:p>
      <w:pPr>
        <w:spacing w:before="0" w:after="0" w:line="20" w:lineRule="exact"/>
      </w:pPr>
      <w:r>
        <w:rPr>
          <w:rFonts w:ascii="Calibri" w:hAnsi="Calibri" w:eastAsia="Microsoft YaHei"/>
          <w:color w:val="FFFFFF"/>
          <w:sz w:val="2"/>
        </w:rPr>
        <w:t xml:space="preserve"> </w:t>
      </w:r>
    </w:p>
    <w:p>
      <w:r>
        <w:br w:type="page"/>
      </w:r>
    </w:p>
    <w:p>
      <w:pPr>
        <w:pStyle w:val="Heading1"/>
      </w:pPr>
      <w:r>
        <w:t>执行摘要</w:t>
      </w:r>
    </w:p>
    <w:p>
      <w:pPr>
        <w:keepLines w:val="0"/>
      </w:pPr>
      <w:r>
        <w:rPr>
          <w:rFonts w:ascii="Calibri" w:hAnsi="Calibri" w:eastAsia="Microsoft YaHei"/>
        </w:rPr>
        <w:t>本方案把苯甲酰胺的 2+3+5 GOAT 配置保留为每个化合物三个固定组成分支的最低成功目标，但把“成功任务数”与“构象/谱图收敛”分开。所有备用起点预先生成并保持 HELD，控制器按 wave 释放；达到最低成功数后，仍必须通过低能盆地复现、氢键 motif 覆盖、结构完整性、连续 wave 稳定和加权位移稳定门。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2300"/>
        <w:gridCol w:w="48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指标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数量/配置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化合物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51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排除 F3_005</w:t>
            </w:r>
          </w:p>
        </w:tc>
      </w:tr>
      <w:tr>
        <w:trPr>
          <w:cantSplit/>
        </w:trP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固定组成场景</w:t>
            </w:r>
          </w:p>
        </w:tc>
        <w:tc>
          <w:tcPr>
            <w:tcW w:type="dxa" w:w="2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153</w:t>
            </w:r>
          </w:p>
        </w:tc>
        <w:tc>
          <w:tcPr>
            <w:tcW w:type="dxa" w:w="4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每个化合物 3 个，分支间不混合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最低有效 GOAT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510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51 × (2+3+5)；不是最终收敛保证</w:t>
            </w:r>
          </w:p>
        </w:tc>
      </w:tr>
      <w:tr>
        <w:trPr>
          <w:cantSplit/>
        </w:trP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预生成候选池</w:t>
            </w:r>
          </w:p>
        </w:tc>
        <w:tc>
          <w:tcPr>
            <w:tcW w:type="dxa" w:w="2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1560</w:t>
            </w:r>
          </w:p>
        </w:tc>
        <w:tc>
          <w:tcPr>
            <w:tcW w:type="dxa" w:w="4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未释放任务保持 HELD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复杂度分层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R 17 / M 20 / H 12 / X 2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仅改变候选上限与资源，不改变最低门</w:t>
            </w:r>
          </w:p>
        </w:tc>
      </w:tr>
    </w:tbl>
    <w:p>
      <w:pPr>
        <w:spacing w:before="0" w:after="0" w:line="20" w:lineRule="exact"/>
      </w:pPr>
      <w:r>
        <w:rPr>
          <w:rFonts w:ascii="Calibri" w:hAnsi="Calibri" w:eastAsia="Microsoft YaHei"/>
          <w:color w:val="FFFFFF"/>
          <w:sz w:val="2"/>
        </w:rPr>
        <w:t xml:space="preserve"> </w:t>
      </w:r>
    </w:p>
    <w:p>
      <w:pPr>
        <w:pStyle w:val="Heading2"/>
      </w:pPr>
      <w:r>
        <w:t>本次整合中修正的关键问题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4360"/>
        <w:gridCol w:w="250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原问题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修订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效果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把 2+3+5 当作统一充分条件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仅作为最低成功目标；停止还需要盆地、motif 和位移稳定门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避免柔性分子过早停止</w:t>
            </w:r>
          </w:p>
        </w:tc>
      </w:tr>
      <w:tr>
        <w:trPr>
          <w:cantSplit/>
        </w:trP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先提交全部任务再强制取消</w:t>
            </w:r>
          </w:p>
        </w:tc>
        <w:tc>
          <w:tcPr>
            <w:tcW w:type="dxa" w:w="4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候选预登记为 HELD；逐 wave 释放；不取消 RUNNING/COMPLETING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避免完成时间偏差和半写文件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revDSD 被描述为必然更准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完整 PBE0 基线 + 独立 revDSD 覆盖谱；通过外部验证决定采用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不以成本代替准确性证据</w:t>
            </w:r>
          </w:p>
        </w:tc>
      </w:tr>
      <w:tr>
        <w:trPr>
          <w:cantSplit/>
        </w:trP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NoFrozenCore 对所有分子开启</w:t>
            </w:r>
          </w:p>
        </w:tc>
        <w:tc>
          <w:tcPr>
            <w:tcW w:type="dxa" w:w="4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仅小/轻元素 ULTRA 分支；常规生产保持独立且资源可控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降低内存和适用性风险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把一个显式水等同真实含水量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只解释为条件化湿敏感性；保留匹配干分支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不伪造水活度</w:t>
            </w:r>
          </w:p>
        </w:tc>
      </w:tr>
      <w:tr>
        <w:trPr>
          <w:cantSplit/>
        </w:trP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跨显式溶剂组成 Boltzmann 混合</w:t>
            </w:r>
          </w:p>
        </w:tc>
        <w:tc>
          <w:tcPr>
            <w:tcW w:type="dxa" w:w="4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严格禁止；每个固定组成独立归一化和报告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自由能参照保持一致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全部化合物输出 13C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F3_035/F3_043/F3_044 无碳，不生成虚假的 13C 谱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核种与元素一致</w:t>
            </w:r>
          </w:p>
        </w:tc>
      </w:tr>
      <w:tr>
        <w:trPr>
          <w:cantSplit/>
        </w:trP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16 MPI × 6400 MB 用于 revDSD</w:t>
            </w:r>
          </w:p>
        </w:tc>
        <w:tc>
          <w:tcPr>
            <w:tcW w:type="dxa" w:w="4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从 8 MPI × 7000 MB、约 128 GB 节点和 ≥250 GB scratch pilot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满足 ORCA 内存余量</w:t>
            </w:r>
          </w:p>
        </w:tc>
      </w:tr>
    </w:tbl>
    <w:p>
      <w:pPr>
        <w:spacing w:before="0" w:after="0" w:line="20" w:lineRule="exact"/>
      </w:pPr>
      <w:r>
        <w:rPr>
          <w:rFonts w:ascii="Calibri" w:hAnsi="Calibri" w:eastAsia="Microsoft YaHei"/>
          <w:color w:val="FFFFFF"/>
          <w:sz w:val="2"/>
        </w:rPr>
        <w:t xml:space="preserve"> </w:t>
      </w:r>
    </w:p>
    <w:p>
      <w:pPr>
        <w:pStyle w:val="Heading2"/>
      </w:pPr>
      <w:r>
        <w:t>状态与不可越过的边界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当前包可用于输入审查、GOAT 分波提交和后续任务构建；尚未在目标服务器上运行 ORCA。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GOAT/HPC 路线在配置真实 site profile 后可执行；新的 r2SCAN-3c→PBE0 自动交接 builder 尚未完成夹具验证，因此默认保持 FAIL_CLOSED。包内保留经审计的 GOAT→PBE0 直接兼容路线。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DMSO-d6、D2O、pD、温度和显式水数量多数是已记录的建模假设，不应改写成逐样品实测条件。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只有独立实验/留出集才能验证化学位移误差；不能用同一实验谱反调参数后再宣称预测准确。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L1 原始计算、L2 clean calculated spectrum、L3 synthetic appearance 必须分层保存。</w:t>
      </w:r>
    </w:p>
    <w:p>
      <w:pPr>
        <w:pStyle w:val="Heading1"/>
      </w:pPr>
      <w:r>
        <w:t>完整工作流与门控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650"/>
        <w:gridCol w:w="1650"/>
        <w:gridCol w:w="5200"/>
        <w:gridCol w:w="1860"/>
      </w:tblGrid>
      <w:tr>
        <w:trPr>
          <w:tblHeader w:val="true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阶段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名称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核心方法/规则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输出门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0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身份与条件锁定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结构、立体、盐/质子化态、核种、温度、溶剂、ORCA 6.1.1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identity/condition receipt</w:t>
            </w:r>
          </w:p>
        </w:tc>
      </w:tr>
      <w:tr>
        <w:trPr>
          <w:cantSplit/>
        </w:trPr>
        <w:tc>
          <w:tcPr>
            <w:tcW w:type="dxa" w:w="6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1</w:t>
            </w:r>
          </w:p>
        </w:tc>
        <w:tc>
          <w:tcPr>
            <w:tcW w:type="dxa" w:w="16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固定组成建模</w:t>
            </w:r>
          </w:p>
        </w:tc>
        <w:tc>
          <w:tcPr>
            <w:tcW w:type="dxa" w:w="5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DMSO: continuum / +2DMSO / +2DMSO+H₂O；D₂O: 三个水合层级</w:t>
            </w:r>
          </w:p>
        </w:tc>
        <w:tc>
          <w:tcPr>
            <w:tcW w:type="dxa" w:w="1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scenario registry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2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GOAT 候选搜索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GOAT-ENTROPY/XTB/ALPB；确定 seed；候选池 HELD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wave manifest</w:t>
            </w:r>
          </w:p>
        </w:tc>
      </w:tr>
      <w:tr>
        <w:trPr>
          <w:cantSplit/>
        </w:trPr>
        <w:tc>
          <w:tcPr>
            <w:tcW w:type="dxa" w:w="6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3</w:t>
            </w:r>
          </w:p>
        </w:tc>
        <w:tc>
          <w:tcPr>
            <w:tcW w:type="dxa" w:w="16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结构与去重门</w:t>
            </w:r>
          </w:p>
        </w:tc>
        <w:tc>
          <w:tcPr>
            <w:tcW w:type="dxa" w:w="5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连接关系、总电荷、立体、簇完整、RMSD、氢键 motif</w:t>
            </w:r>
          </w:p>
        </w:tc>
        <w:tc>
          <w:tcPr>
            <w:tcW w:type="dxa" w:w="1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approved GOAT gate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4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经济型 DFT 初筛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r2SCAN-3c/CPCM opt/freq；QRRHO 初筛和异常识别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screening ensemble</w:t>
            </w:r>
          </w:p>
        </w:tc>
      </w:tr>
      <w:tr>
        <w:trPr>
          <w:cantSplit/>
        </w:trPr>
        <w:tc>
          <w:tcPr>
            <w:tcW w:type="dxa" w:w="6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5</w:t>
            </w:r>
          </w:p>
        </w:tc>
        <w:tc>
          <w:tcPr>
            <w:tcW w:type="dxa" w:w="16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生产级 DFT</w:t>
            </w:r>
          </w:p>
        </w:tc>
        <w:tc>
          <w:tcPr>
            <w:tcW w:type="dxa" w:w="5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PBE0-D4/def2-TZVPP/RIJCOSX/CPCM，VeryTightOpt/SCF，DefGrid3</w:t>
            </w:r>
          </w:p>
        </w:tc>
        <w:tc>
          <w:tcPr>
            <w:tcW w:type="dxa" w:w="1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approved opt/freq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6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热力学平均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实验温度 QRRHO；同一固定组成内归一化；检查快交换假设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weight set</w:t>
            </w:r>
          </w:p>
        </w:tc>
      </w:tr>
      <w:tr>
        <w:trPr>
          <w:cantSplit/>
        </w:trPr>
        <w:tc>
          <w:tcPr>
            <w:tcW w:type="dxa" w:w="6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7</w:t>
            </w:r>
          </w:p>
        </w:tc>
        <w:tc>
          <w:tcPr>
            <w:tcW w:type="dxa" w:w="16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完整基线屏蔽</w:t>
            </w:r>
          </w:p>
        </w:tc>
        <w:tc>
          <w:tcPr>
            <w:tcW w:type="dxa" w:w="5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PBE0/pcSseg-3 覆盖全部批准/入选构象</w:t>
            </w:r>
          </w:p>
        </w:tc>
        <w:tc>
          <w:tcPr>
            <w:tcW w:type="dxa" w:w="1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PBE0 shielding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8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高层方法验证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revDSD-PBEP86-D4/2021/pcSseg-3 relaxed density，覆盖人口≥95%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separate revDSD spectrum</w:t>
            </w:r>
          </w:p>
        </w:tc>
      </w:tr>
      <w:tr>
        <w:trPr>
          <w:cantSplit/>
        </w:trPr>
        <w:tc>
          <w:tcPr>
            <w:tcW w:type="dxa" w:w="6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9</w:t>
            </w:r>
          </w:p>
        </w:tc>
        <w:tc>
          <w:tcPr>
            <w:tcW w:type="dxa" w:w="16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参考与定标</w:t>
            </w:r>
          </w:p>
        </w:tc>
        <w:tc>
          <w:tcPr>
            <w:tcW w:type="dxa" w:w="5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同方法、同 ORCA 版本、同溶剂近似 TMS；独立校准集</w:t>
            </w:r>
          </w:p>
        </w:tc>
        <w:tc>
          <w:tcPr>
            <w:tcW w:type="dxa" w:w="1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reference receipt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10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J 与自旋模拟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PBE/pcJ-3 与 PBE0/pcJ-2 分支不平均；交换 H 默认不建相干细结构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transition list</w:t>
            </w:r>
          </w:p>
        </w:tc>
      </w:tr>
      <w:tr>
        <w:trPr>
          <w:cantSplit/>
        </w:trPr>
        <w:tc>
          <w:tcPr>
            <w:tcW w:type="dxa" w:w="6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11</w:t>
            </w:r>
          </w:p>
        </w:tc>
        <w:tc>
          <w:tcPr>
            <w:tcW w:type="dxa" w:w="16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分层出图</w:t>
            </w:r>
          </w:p>
        </w:tc>
        <w:tc>
          <w:tcPr>
            <w:tcW w:type="dxa" w:w="5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clean calculated + 单独标注 synthetic appearance；后处理不移动 analyte ppm</w:t>
            </w:r>
          </w:p>
        </w:tc>
        <w:tc>
          <w:tcPr>
            <w:tcW w:type="dxa" w:w="1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L2/L3 deliverables</w:t>
            </w:r>
          </w:p>
        </w:tc>
      </w:tr>
    </w:tbl>
    <w:p>
      <w:pPr>
        <w:spacing w:before="0" w:after="0" w:line="20" w:lineRule="exact"/>
      </w:pPr>
      <w:r>
        <w:rPr>
          <w:rFonts w:ascii="Calibri" w:hAnsi="Calibri" w:eastAsia="Microsoft YaHei"/>
          <w:color w:val="FFFFFF"/>
          <w:sz w:val="2"/>
        </w:rPr>
        <w:t xml:space="preserve"> </w:t>
      </w:r>
    </w:p>
    <w:p>
      <w:pPr>
        <w:pStyle w:val="Heading2"/>
      </w:pPr>
      <w:r>
        <w:t>方法层级的正确关系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3EA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0B2545"/>
              </w:rPr>
              <w:t>PBE0 是完整基线；revDSD 是独立验证，不是自动替换。</w:t>
              <w:br/>
            </w:r>
            <w:r>
              <w:rPr>
                <w:rFonts w:ascii="Calibri" w:hAnsi="Calibri" w:eastAsia="Microsoft YaHei"/>
              </w:rPr>
              <w:t>未计算 revDSD 的人口尾部不能直接用 PBE0 屏蔽常数填充后与 revDSD 混合。只有 revDSD 覆盖每个固定组成至少 95% 人口时，才可输出该方法的独立归一化谱；覆盖不足则补算，或只报告方法差异诊断。</w:t>
            </w:r>
          </w:p>
        </w:tc>
      </w:tr>
    </w:tbl>
    <w:p>
      <w:pPr>
        <w:spacing w:before="0" w:after="0" w:line="20" w:lineRule="exact"/>
      </w:pPr>
      <w:r>
        <w:rPr>
          <w:rFonts w:ascii="Calibri" w:hAnsi="Calibri" w:eastAsia="Microsoft YaHei"/>
          <w:color w:val="FFFFFF"/>
          <w:sz w:val="2"/>
        </w:rPr>
        <w:t xml:space="preserve"> 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50"/>
        <w:gridCol w:w="3600"/>
        <w:gridCol w:w="4210"/>
      </w:tblGrid>
      <w:tr>
        <w:trPr>
          <w:tblHeader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用途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方法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解释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GOAT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GOAT-ENTROPY XTB ALPB(solvent)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构象/微溶剂化搜索；不是最终 NMR 方法</w:t>
            </w:r>
          </w:p>
        </w:tc>
      </w:tr>
      <w:tr>
        <w:trPr>
          <w:cantSplit/>
        </w:trPr>
        <w:tc>
          <w:tcPr>
            <w:tcW w:type="dxa" w:w="15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快速初筛</w:t>
            </w:r>
          </w:p>
        </w:tc>
        <w:tc>
          <w:tcPr>
            <w:tcW w:type="dxa" w:w="3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r2SCAN-3c + continuum</w:t>
            </w:r>
          </w:p>
        </w:tc>
        <w:tc>
          <w:tcPr>
            <w:tcW w:type="dxa" w:w="42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降低所有候选都做昂贵 PBE0 freq 的成本；异常体系可跳过并直接升级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生产 opt/freq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PBE0-D4/def2-TZVPP RIJCOSX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同组成内能量与 QRRHO；保持显式簇</w:t>
            </w:r>
          </w:p>
        </w:tc>
      </w:tr>
      <w:tr>
        <w:trPr>
          <w:cantSplit/>
        </w:trPr>
        <w:tc>
          <w:tcPr>
            <w:tcW w:type="dxa" w:w="15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完整屏蔽基线</w:t>
            </w:r>
          </w:p>
        </w:tc>
        <w:tc>
          <w:tcPr>
            <w:tcW w:type="dxa" w:w="3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PBE0/pcSseg-3 GIAO</w:t>
            </w:r>
          </w:p>
        </w:tc>
        <w:tc>
          <w:tcPr>
            <w:tcW w:type="dxa" w:w="42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全部批准/生产入选构象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高层验证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revDSD-PBEP86-D4/2021/pcSseg-3 relaxed density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高权重人口并集；NoFrozenCore 只在合格 ULTRA 分支</w:t>
            </w:r>
          </w:p>
        </w:tc>
      </w:tr>
      <w:tr>
        <w:trPr>
          <w:cantSplit/>
        </w:trPr>
        <w:tc>
          <w:tcPr>
            <w:tcW w:type="dxa" w:w="15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J 分支</w:t>
            </w:r>
          </w:p>
        </w:tc>
        <w:tc>
          <w:tcPr>
            <w:tcW w:type="dxa" w:w="3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PBE/pcJ-3 与 PBE0/pcJ-2</w:t>
            </w:r>
          </w:p>
        </w:tc>
        <w:tc>
          <w:tcPr>
            <w:tcW w:type="dxa" w:w="42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保持分支独立，由跨化合物 gate 选定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可选诊断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RI-MP2 / DLPNO-MP2 / CCSD(T) / VPT2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不是默认批量生产；需手动适用性与成本门</w:t>
            </w:r>
          </w:p>
        </w:tc>
      </w:tr>
    </w:tbl>
    <w:p>
      <w:pPr>
        <w:spacing w:before="0" w:after="0" w:line="20" w:lineRule="exact"/>
      </w:pPr>
      <w:r>
        <w:rPr>
          <w:rFonts w:ascii="Calibri" w:hAnsi="Calibri" w:eastAsia="Microsoft YaHei"/>
          <w:color w:val="FFFFFF"/>
          <w:sz w:val="2"/>
        </w:rPr>
        <w:t xml:space="preserve"> </w:t>
      </w:r>
    </w:p>
    <w:p>
      <w:pPr>
        <w:pStyle w:val="Heading1"/>
      </w:pPr>
      <w:r>
        <w:t>GOAT 数量与自适应停止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000"/>
        <w:gridCol w:w="2350"/>
        <w:gridCol w:w="900"/>
        <w:gridCol w:w="900"/>
        <w:gridCol w:w="1300"/>
        <w:gridCol w:w="2910"/>
      </w:tblGrid>
      <w:tr>
        <w:trPr>
          <w:tblHeader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分支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解释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最低成功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首波释放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典型 held/上限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场景 1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continuum / 最低水合层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2 / 4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保持 1 个备用或按复杂度扩展</w:t>
            </w:r>
          </w:p>
        </w:tc>
      </w:tr>
      <w:tr>
        <w:trPr>
          <w:cantSplit/>
        </w:trPr>
        <w:tc>
          <w:tcPr>
            <w:tcW w:type="dxa" w:w="1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场景 2</w:t>
            </w:r>
          </w:p>
        </w:tc>
        <w:tc>
          <w:tcPr>
            <w:tcW w:type="dxa" w:w="2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+2 DMSO / 中等水合层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3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4</w:t>
            </w:r>
          </w:p>
        </w:tc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3 / 6</w:t>
            </w:r>
          </w:p>
        </w:tc>
        <w:tc>
          <w:tcPr>
            <w:tcW w:type="dxa" w:w="29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保持 2 个备用或按复杂度扩展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场景 3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+2 DMSO+1H₂O / 最高水合层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7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5 / 10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湿分支采样更强，但仍不是实际含水量</w:t>
            </w:r>
          </w:p>
        </w:tc>
      </w:tr>
    </w:tbl>
    <w:p>
      <w:pPr>
        <w:spacing w:before="0" w:after="0" w:line="20" w:lineRule="exact"/>
      </w:pPr>
      <w:r>
        <w:rPr>
          <w:rFonts w:ascii="Calibri" w:hAnsi="Calibri" w:eastAsia="Microsoft YaHei"/>
          <w:color w:val="FFFFFF"/>
          <w:sz w:val="2"/>
        </w:rPr>
        <w:t xml:space="preserve"> 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850"/>
        <w:gridCol w:w="2450"/>
        <w:gridCol w:w="1950"/>
        <w:gridCol w:w="950"/>
        <w:gridCol w:w="3160"/>
      </w:tblGrid>
      <w:tr>
        <w:trPr>
          <w:tblHeader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等级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适用对象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三个场景最大候选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总候选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策略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R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刚性/小分子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4 / 6 / 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20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通常从 2+3+5 开始</w:t>
            </w:r>
          </w:p>
        </w:tc>
      </w:tr>
      <w:tr>
        <w:trPr>
          <w:cantSplit/>
        </w:trPr>
        <w:tc>
          <w:tcPr>
            <w:tcW w:type="dxa" w:w="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M</w:t>
            </w:r>
          </w:p>
        </w:tc>
        <w:tc>
          <w:tcPr>
            <w:tcW w:type="dxa" w:w="2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中等柔性</w:t>
            </w:r>
          </w:p>
        </w:tc>
        <w:tc>
          <w:tcPr>
            <w:tcW w:type="dxa" w:w="19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6 / 10 / 16</w:t>
            </w:r>
          </w:p>
        </w:tc>
        <w:tc>
          <w:tcPr>
            <w:tcW w:type="dxa" w:w="9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32</w:t>
            </w:r>
          </w:p>
        </w:tc>
        <w:tc>
          <w:tcPr>
            <w:tcW w:type="dxa" w:w="3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门失败时自动补发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H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离子、盐、多氢键或高柔性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8 / 12 / 20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40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物种与 motif 门更严格</w:t>
            </w:r>
          </w:p>
        </w:tc>
      </w:tr>
      <w:tr>
        <w:trPr>
          <w:cantSplit/>
        </w:trPr>
        <w:tc>
          <w:tcPr>
            <w:tcW w:type="dxa" w:w="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X</w:t>
            </w:r>
          </w:p>
        </w:tc>
        <w:tc>
          <w:tcPr>
            <w:tcW w:type="dxa" w:w="2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超高柔性/复杂药物</w:t>
            </w:r>
          </w:p>
        </w:tc>
        <w:tc>
          <w:tcPr>
            <w:tcW w:type="dxa" w:w="19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10 / 16 / 24</w:t>
            </w:r>
          </w:p>
        </w:tc>
        <w:tc>
          <w:tcPr>
            <w:tcW w:type="dxa" w:w="9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50</w:t>
            </w:r>
          </w:p>
        </w:tc>
        <w:tc>
          <w:tcPr>
            <w:tcW w:type="dxa" w:w="3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建议分构象子空间和代表性 pilot</w:t>
            </w:r>
          </w:p>
        </w:tc>
      </w:tr>
    </w:tbl>
    <w:p>
      <w:pPr>
        <w:spacing w:before="0" w:after="0" w:line="20" w:lineRule="exact"/>
      </w:pPr>
      <w:r>
        <w:rPr>
          <w:rFonts w:ascii="Calibri" w:hAnsi="Calibri" w:eastAsia="Microsoft YaHei"/>
          <w:color w:val="FFFFFF"/>
          <w:sz w:val="2"/>
        </w:rPr>
        <w:t xml:space="preserve"> </w:t>
      </w:r>
    </w:p>
    <w:p>
      <w:pPr>
        <w:pStyle w:val="Heading2"/>
      </w:pPr>
      <w:r>
        <w:t>停止必须同时满足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每个固定组成分支达到预设最低有效成功数；失败重跑同一 seed 不算新的独立起点。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低能盆地在独立 wave 中复现，且连续 wave 不再产生重要的新 DFT 低能盆地。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连接关系、质子化态/盐型、手性和显式溶剂簇完整；氢键 motif 覆盖达标。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同组成内加权位移稳定：非交换 ¹H 变化 &lt;0.03–0.05 ppm；¹³C &lt;0.3–0.5 ppm；NH &lt;0.2 ppm，且峰顺序稳定。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人口尾部受控；若低频模式、慢交换或多物种不确定，停止状态只能是 PROVISIONAL，不得锁为最终 ensemble。</w:t>
      </w:r>
    </w:p>
    <w:p>
      <w:pPr>
        <w:pStyle w:val="Heading1"/>
      </w:pPr>
      <w:r>
        <w:t>特殊化学路由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50"/>
        <w:gridCol w:w="1450"/>
        <w:gridCol w:w="6460"/>
      </w:tblGrid>
      <w:tr>
        <w:trPr>
          <w:tblHeader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对象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风险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强制处理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F3_006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I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常规 basis/ECP 预检；X2C/ZORA/ECP、picture-change 与参考一致性 fail-closed；未批准前不运行 NMR property</w:t>
            </w:r>
          </w:p>
        </w:tc>
      </w:tr>
      <w:tr>
        <w:trPr>
          <w:cantSplit/>
        </w:trPr>
        <w:tc>
          <w:tcPr>
            <w:tcW w:type="dxa" w:w="1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F3_016–017</w:t>
            </w:r>
          </w:p>
        </w:tc>
        <w:tc>
          <w:tcPr>
            <w:tcW w:type="dxa" w:w="1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盐型</w:t>
            </w:r>
          </w:p>
        </w:tc>
        <w:tc>
          <w:tcPr>
            <w:tcW w:type="dxa" w:w="6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full-salt 为主；cation-only 与 contact/separated ion pair 作为独立敏感性，不跨物种混合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F3_019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D₂O/立体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L 标准状态需样品确认；水合层级独立；交换 H 不按普通 analyte ¹H 处理</w:t>
            </w:r>
          </w:p>
        </w:tc>
      </w:tr>
      <w:tr>
        <w:trPr>
          <w:cantSplit/>
        </w:trPr>
        <w:tc>
          <w:tcPr>
            <w:tcW w:type="dxa" w:w="1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F3_020</w:t>
            </w:r>
          </w:p>
        </w:tc>
        <w:tc>
          <w:tcPr>
            <w:tcW w:type="dxa" w:w="1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两性离子</w:t>
            </w:r>
          </w:p>
        </w:tc>
        <w:tc>
          <w:tcPr>
            <w:tcW w:type="dxa" w:w="6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登记图与 D₂O 生产物种 hash 分开；中性与两性离子不得混权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F3_021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二盐酸盐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pD、对离子和主物种未实测时保持模型假设标签</w:t>
            </w:r>
          </w:p>
        </w:tc>
      </w:tr>
      <w:tr>
        <w:trPr>
          <w:cantSplit/>
        </w:trPr>
        <w:tc>
          <w:tcPr>
            <w:tcW w:type="dxa" w:w="1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F3_022</w:t>
            </w:r>
          </w:p>
        </w:tc>
        <w:tc>
          <w:tcPr>
            <w:tcW w:type="dxa" w:w="1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大型多羟基柔性分子</w:t>
            </w:r>
          </w:p>
        </w:tc>
        <w:tc>
          <w:tcPr>
            <w:tcW w:type="dxa" w:w="6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X 级；分构象子空间；先 pilot 再扩大；revDSD 仅手动门控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F3_023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身份冲突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当前登记结构无 nitro；样品身份未确认前 property stage fail-closed</w:t>
            </w:r>
          </w:p>
        </w:tc>
      </w:tr>
      <w:tr>
        <w:trPr>
          <w:cantSplit/>
        </w:trPr>
        <w:tc>
          <w:tcPr>
            <w:tcW w:type="dxa" w:w="1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F3_035/043/044</w:t>
            </w:r>
          </w:p>
        </w:tc>
        <w:tc>
          <w:tcPr>
            <w:tcW w:type="dxa" w:w="1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无碳</w:t>
            </w:r>
          </w:p>
        </w:tc>
        <w:tc>
          <w:tcPr>
            <w:tcW w:type="dxa" w:w="6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不输出 ¹³C；D₂O 中交换 H 信号不作为常规 analyte ¹H；优先 ¹⁵N/³¹P 或正交表征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含 F/P/Cl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基组/耦合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逐元素 basis/auxiliary-basis 预检；需要时输出 ¹⁹F/³¹P，J 图按可见核自动构建</w:t>
            </w:r>
          </w:p>
        </w:tc>
      </w:tr>
    </w:tbl>
    <w:p>
      <w:pPr>
        <w:spacing w:before="0" w:after="0" w:line="20" w:lineRule="exact"/>
      </w:pPr>
      <w:r>
        <w:rPr>
          <w:rFonts w:ascii="Calibri" w:hAnsi="Calibri" w:eastAsia="Microsoft YaHei"/>
          <w:color w:val="FFFFFF"/>
          <w:sz w:val="2"/>
        </w:rPr>
        <w:t xml:space="preserve"> </w:t>
      </w:r>
    </w:p>
    <w:p>
      <w:pPr>
        <w:pStyle w:val="Heading1"/>
      </w:pPr>
      <w:r>
        <w:t>HPC 资源、故障恢复与可移植性</w:t>
      </w:r>
    </w:p>
    <w:p>
      <w:pPr>
        <w:keepLines w:val="0"/>
      </w:pPr>
      <w:r>
        <w:rPr>
          <w:rFonts w:ascii="Calibri" w:hAnsi="Calibri" w:eastAsia="Microsoft YaHei"/>
        </w:rPr>
        <w:t>一万核主要用于在化合物、场景、构象和方法之间并行，而不是把一万个核分给单个 ORCA 作业。对 revDSD MP2 response，增加 MPI ranks 可能复制中间量并恶化内存。资源申请中的 scheduler CPUs 与 ORCA %pal nprocs 必须分开记录。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100"/>
        <w:gridCol w:w="900"/>
        <w:gridCol w:w="1350"/>
        <w:gridCol w:w="900"/>
        <w:gridCol w:w="1100"/>
        <w:gridCol w:w="1150"/>
        <w:gridCol w:w="2860"/>
      </w:tblGrid>
      <w:tr>
        <w:trPr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阶段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ORCA ranks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MaxCore MB/rank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walltime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节点内存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local scratch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备注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GOAT-R/M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8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2,000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24–72 h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≥40 GB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50–150 GB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按场景/分子并行</w:t>
            </w:r>
          </w:p>
        </w:tc>
      </w:tr>
      <w:tr>
        <w:trPr>
          <w:cantSplit/>
        </w:trPr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GOAT-H/X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8</w:t>
            </w:r>
          </w:p>
        </w:tc>
        <w:tc>
          <w:tcPr>
            <w:tcW w:type="dxa" w:w="1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2,000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72–120 h</w:t>
            </w:r>
          </w:p>
        </w:tc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≥64 GB</w:t>
            </w:r>
          </w:p>
        </w:tc>
        <w:tc>
          <w:tcPr>
            <w:tcW w:type="dxa" w:w="11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150–300 GB</w:t>
            </w:r>
          </w:p>
        </w:tc>
        <w:tc>
          <w:tcPr>
            <w:tcW w:type="dxa" w:w="2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逐 wave；不强杀运行任务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r2SCAN opt/freq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8–16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4,000–6,000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48–96 h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96–192 GB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150–300 GB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按实测 MaxRSS 调整</w:t>
            </w:r>
          </w:p>
        </w:tc>
      </w:tr>
      <w:tr>
        <w:trPr>
          <w:cantSplit/>
        </w:trPr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PBE0 opt/freq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8–16</w:t>
            </w:r>
          </w:p>
        </w:tc>
        <w:tc>
          <w:tcPr>
            <w:tcW w:type="dxa" w:w="1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6,000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72–168 h</w:t>
            </w:r>
          </w:p>
        </w:tc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128–256 GB</w:t>
            </w:r>
          </w:p>
        </w:tc>
        <w:tc>
          <w:tcPr>
            <w:tcW w:type="dxa" w:w="11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200–400 GB</w:t>
            </w:r>
          </w:p>
        </w:tc>
        <w:tc>
          <w:tcPr>
            <w:tcW w:type="dxa" w:w="2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大显式簇减少 ranks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PBE0 shielding/J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8–16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6,000–8,000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48–120 h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128–256 GB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150–300 GB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J 单独运行</w:t>
            </w:r>
          </w:p>
        </w:tc>
      </w:tr>
      <w:tr>
        <w:trPr>
          <w:cantSplit/>
        </w:trPr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revDSD pilot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8</w:t>
            </w:r>
          </w:p>
        </w:tc>
        <w:tc>
          <w:tcPr>
            <w:tcW w:type="dxa" w:w="1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7,000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120 h</w:t>
            </w:r>
          </w:p>
        </w:tc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约128 GB</w:t>
            </w:r>
          </w:p>
        </w:tc>
        <w:tc>
          <w:tcPr>
            <w:tcW w:type="dxa" w:w="11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≥250 GB</w:t>
            </w:r>
          </w:p>
        </w:tc>
        <w:tc>
          <w:tcPr>
            <w:tcW w:type="dxa" w:w="2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小/中体系起点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revDSD medium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8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9,000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168 h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约192 GB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≥350 GB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先单任务测 MaxRSS</w:t>
            </w:r>
          </w:p>
        </w:tc>
      </w:tr>
      <w:tr>
        <w:trPr>
          <w:cantSplit/>
        </w:trPr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revDSD large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4–8</w:t>
            </w:r>
          </w:p>
        </w:tc>
        <w:tc>
          <w:tcPr>
            <w:tcW w:type="dxa" w:w="1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9,000–16,000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168 h+</w:t>
            </w:r>
          </w:p>
        </w:tc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约256 GB+</w:t>
            </w:r>
          </w:p>
        </w:tc>
        <w:tc>
          <w:tcPr>
            <w:tcW w:type="dxa" w:w="11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≥500 GB</w:t>
            </w:r>
          </w:p>
        </w:tc>
        <w:tc>
          <w:tcPr>
            <w:tcW w:type="dxa" w:w="2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手动批准，不盲目扩 ranks</w:t>
            </w:r>
          </w:p>
        </w:tc>
      </w:tr>
    </w:tbl>
    <w:p>
      <w:pPr>
        <w:spacing w:before="0" w:after="0" w:line="20" w:lineRule="exact"/>
      </w:pPr>
      <w:r>
        <w:rPr>
          <w:rFonts w:ascii="Calibri" w:hAnsi="Calibri" w:eastAsia="Microsoft YaHei"/>
          <w:color w:val="FFFFFF"/>
          <w:sz w:val="2"/>
        </w:rPr>
        <w:t xml:space="preserve"> 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8E6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0B2545"/>
              </w:rPr>
              <w:t>内存硬门</w:t>
              <w:br/>
            </w:r>
            <w:r>
              <w:rPr>
                <w:rFonts w:ascii="Calibri" w:hAnsi="Calibri" w:eastAsia="Microsoft YaHei"/>
              </w:rPr>
              <w:t>默认要求 nprocs × MaxCore ≤ 70–75% 的节点可用内存，并额外保留 ORCA 模块、MPI 和文件缓存开销。16 × 6400 MB = 102.4 GB 不适合约 114 GB 节点的 revDSD relaxed-density MP2 response。</w:t>
            </w:r>
          </w:p>
        </w:tc>
      </w:tr>
    </w:tbl>
    <w:p>
      <w:pPr>
        <w:spacing w:before="0" w:after="0" w:line="20" w:lineRule="exact"/>
      </w:pPr>
      <w:r>
        <w:rPr>
          <w:rFonts w:ascii="Calibri" w:hAnsi="Calibri" w:eastAsia="Microsoft YaHei"/>
          <w:color w:val="FFFFFF"/>
          <w:sz w:val="2"/>
        </w:rPr>
        <w:t xml:space="preserve"> </w:t>
      </w:r>
    </w:p>
    <w:p>
      <w:pPr>
        <w:pStyle w:val="Heading2"/>
      </w:pPr>
      <w:r>
        <w:t>故障分类与恢复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2500"/>
        <w:gridCol w:w="47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错误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判断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处理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Read-only filesystem / I/O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节点本地盘或 Slurm spool 故障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仓库只读；复制到独立 runtime + local scratch；原子回收并做 SHA-256</w:t>
            </w:r>
          </w:p>
        </w:tc>
      </w:tr>
      <w:tr>
        <w:trPr>
          <w:cantSplit/>
        </w:trP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OpenMPI/OpenFabrics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MPI ABI/传输层不匹配</w:t>
            </w:r>
          </w:p>
        </w:tc>
        <w:tc>
          <w:tcPr>
            <w:tcW w:type="dxa" w:w="4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使用 ORCA 安装包匹配的 OpenMPI；完整路径直接运行 ORCA；禁止外层 mpirun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MP2 response 内存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rank 数和中间量复制过大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8×7000 pilot；仍失败则 4 ranks 或高内存节点；不要把 SCF 结果冒充 relaxed density</w:t>
            </w:r>
          </w:p>
        </w:tc>
      </w:tr>
      <w:tr>
        <w:trPr>
          <w:cantSplit/>
        </w:trP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GOAT 超时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显式簇空间大</w:t>
            </w:r>
          </w:p>
        </w:tc>
        <w:tc>
          <w:tcPr>
            <w:tcW w:type="dxa" w:w="4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等待本 wave 已释放任务进入终态，再补发 HELD；新 attempt 记录新 receipt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虚频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浅势阱/溶剂软模或鞍点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内部模式 &lt;−20 cm⁻¹ 重优化；−20–0 cm⁻¹ 检查振动并位移重优化</w:t>
            </w:r>
          </w:p>
        </w:tc>
      </w:tr>
      <w:tr>
        <w:trPr>
          <w:cantSplit/>
        </w:trP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stale lock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节点失联/旧作业未清理</w:t>
            </w:r>
          </w:p>
        </w:tc>
        <w:tc>
          <w:tcPr>
            <w:tcW w:type="dxa" w:w="4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核对 scheduler JobID + heartbeat + grace period；控制器幂等解锁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SCF/数值失败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不是内存问题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单独修复 SCF/网格/初猜；不得用加内存的 retry ladder 掩盖科学失败</w:t>
            </w:r>
          </w:p>
        </w:tc>
      </w:tr>
    </w:tbl>
    <w:p>
      <w:pPr>
        <w:spacing w:before="0" w:after="0" w:line="20" w:lineRule="exact"/>
      </w:pPr>
      <w:r>
        <w:rPr>
          <w:rFonts w:ascii="Calibri" w:hAnsi="Calibri" w:eastAsia="Microsoft YaHei"/>
          <w:color w:val="FFFFFF"/>
          <w:sz w:val="2"/>
        </w:rPr>
        <w:t xml:space="preserve"> </w:t>
      </w:r>
    </w:p>
    <w:p>
      <w:pPr>
        <w:pStyle w:val="Heading2"/>
      </w:pPr>
      <w:r>
        <w:t>提交与回收顺序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在登录节点执行 package audit，确认 ORCA 6.1.1、MPI、RDKit/Python 和 site_config。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以 dry-run 生成 wave-1 submit plan；人工检查 job count、memory、walltime 和 scratch。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显式 --apply 后只释放 wave 1；服务器端控制器持续收集 state/receipt/heartbeat。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所有已释放任务进入终态后，运行结构、去重、motif 和收敛门；只有门失败才释放下一 wave。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GOAT ensemble 锁定后由 builder 生成 opt/freq；任何输入 hash 改变都要求新 attempt。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property 任务只有在 QRRHO/构象权重、重元素和参考门通过后生成。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回收 L1/L2/L3、effective manifest、checksums 和最终 receipt；严禁以图片替代原始表格。</w:t>
      </w:r>
    </w:p>
    <w:p>
      <w:pPr>
        <w:pStyle w:val="Heading1"/>
      </w:pPr>
      <w:r>
        <w:t>计算时间的现实预估</w:t>
      </w:r>
    </w:p>
    <w:p>
      <w:pPr>
        <w:keepLines w:val="0"/>
      </w:pPr>
      <w:r>
        <w:rPr>
          <w:rFonts w:ascii="Calibri" w:hAnsi="Calibri" w:eastAsia="Microsoft YaHei"/>
        </w:rPr>
        <w:t>下表是服务器 wall-clock 规划范围，不是承诺。实际值由分子大小、柔性、显式簇、队列限制、单节点内存、失败率和可同时运行的数组数决定。增加总 CPU 主要缩短批量吞吐时间；单个 revDSD 作业通常不会随核数线性加速。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750"/>
        <w:gridCol w:w="1700"/>
        <w:gridCol w:w="1800"/>
        <w:gridCol w:w="2000"/>
        <w:gridCol w:w="3110"/>
      </w:tblGrid>
      <w:tr>
        <w:trPr>
          <w:tblHeader w:val="true"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等级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类型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Practical 预估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含全面 revDSD/Ultra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备注</w:t>
            </w:r>
          </w:p>
        </w:tc>
      </w:tr>
      <w:tr>
        <w:trPr>
          <w:cantSplit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R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小/刚性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约 3–10 天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约 1–3 周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优先完成一组代表性 blind validation</w:t>
            </w:r>
          </w:p>
        </w:tc>
      </w:tr>
      <w:tr>
        <w:trPr>
          <w:cantSplit/>
        </w:trPr>
        <w:tc>
          <w:tcPr>
            <w:tcW w:type="dxa" w:w="7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M</w:t>
            </w:r>
          </w:p>
        </w:tc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中等柔性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约 1–3 周</w:t>
            </w:r>
          </w:p>
        </w:tc>
        <w:tc>
          <w:tcPr>
            <w:tcW w:type="dxa" w:w="2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约 2–5 周</w:t>
            </w:r>
          </w:p>
        </w:tc>
        <w:tc>
          <w:tcPr>
            <w:tcW w:type="dxa" w:w="31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PBE0 屏蔽可并行；revDSD 可能成为关键路径</w:t>
            </w:r>
          </w:p>
        </w:tc>
      </w:tr>
      <w:tr>
        <w:trPr>
          <w:cantSplit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H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离子/盐/高柔性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约 2–6 周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约 4–10 周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物种与显式溶剂不确定性通常比核数更重要</w:t>
            </w:r>
          </w:p>
        </w:tc>
      </w:tr>
      <w:tr>
        <w:trPr>
          <w:cantSplit/>
        </w:trPr>
        <w:tc>
          <w:tcPr>
            <w:tcW w:type="dxa" w:w="7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X</w:t>
            </w:r>
          </w:p>
        </w:tc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复杂药物/极高柔性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约 4–10 周或更久</w:t>
            </w:r>
          </w:p>
        </w:tc>
        <w:tc>
          <w:tcPr>
            <w:tcW w:type="dxa" w:w="2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只在人工批准后</w:t>
            </w:r>
          </w:p>
        </w:tc>
        <w:tc>
          <w:tcPr>
            <w:tcW w:type="dxa" w:w="31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应分区采样和分阶段决策，不建议一开始全量 revDSD</w:t>
            </w:r>
          </w:p>
        </w:tc>
      </w:tr>
    </w:tbl>
    <w:p>
      <w:pPr>
        <w:spacing w:before="0" w:after="0" w:line="20" w:lineRule="exact"/>
      </w:pPr>
      <w:r>
        <w:rPr>
          <w:rFonts w:ascii="Calibri" w:hAnsi="Calibri" w:eastAsia="Microsoft YaHei"/>
          <w:color w:val="FFFFFF"/>
          <w:sz w:val="2"/>
        </w:rPr>
        <w:t xml:space="preserve"> 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0B2545"/>
              </w:rPr>
              <w:t>对 51 个化合物的总 wall-clock</w:t>
              <w:br/>
            </w:r>
            <w:r>
              <w:rPr>
                <w:rFonts w:ascii="Calibri" w:hAnsi="Calibri" w:eastAsia="Microsoft YaHei"/>
              </w:rPr>
              <w:t>若服务器允许大量独立数组并行，整体时间由最慢的 H/X 类和 revDSD 高内存任务决定，而不是 51 个分子的时间简单相加。建议先跑 R 类代表、F3_006 重元素、F3_016/017 盐型、一个 D₂O 体系和 F3_022 X 类 pilot，再决定全量释队。</w:t>
            </w:r>
          </w:p>
        </w:tc>
      </w:tr>
    </w:tbl>
    <w:p>
      <w:pPr>
        <w:spacing w:before="0" w:after="0" w:line="20" w:lineRule="exact"/>
      </w:pPr>
      <w:r>
        <w:rPr>
          <w:rFonts w:ascii="Calibri" w:hAnsi="Calibri" w:eastAsia="Microsoft YaHei"/>
          <w:color w:val="FFFFFF"/>
          <w:sz w:val="2"/>
        </w:rPr>
        <w:t xml:space="preserve"> 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51 个化合物路由总表</w:t>
      </w:r>
    </w:p>
    <w:p>
      <w:pPr>
        <w:keepLines w:val="0"/>
      </w:pPr>
      <w:r>
        <w:rPr>
          <w:rFonts w:ascii="Calibri" w:hAnsi="Calibri" w:eastAsia="Microsoft YaHei"/>
        </w:rPr>
        <w:t>说明：GOAT 列为三个固定组成分支的最低成功目标/最大候选池；实际停止仍受收敛门控制。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850"/>
        <w:gridCol w:w="2700"/>
        <w:gridCol w:w="1100"/>
        <w:gridCol w:w="900"/>
        <w:gridCol w:w="500"/>
        <w:gridCol w:w="1800"/>
        <w:gridCol w:w="1100"/>
        <w:gridCol w:w="5450"/>
      </w:tblGrid>
      <w:tr>
        <w:trPr>
          <w:tblHeader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ID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化合物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式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溶剂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级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GOAT 目标/上限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核种</w:t>
            </w:r>
          </w:p>
        </w:tc>
        <w:tc>
          <w:tcPr>
            <w:tcW w:type="dxa" w:w="5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特殊门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F3_001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formamide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CH3NO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DMSO-d6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R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2/3/5 / 4/6/10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1H;13C</w:t>
            </w:r>
          </w:p>
        </w:tc>
        <w:tc>
          <w:tcPr>
            <w:tcW w:type="dxa" w:w="5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STANDARD_IDENTITY_STEREO_CLUSTER_AND_CONVERGENCE_GATES</w:t>
            </w:r>
          </w:p>
        </w:tc>
      </w:tr>
      <w:tr>
        <w:trPr>
          <w:cantSplit/>
        </w:trPr>
        <w:tc>
          <w:tcPr>
            <w:tcW w:type="dxa" w:w="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F3_002</w:t>
            </w:r>
          </w:p>
        </w:tc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acetamide</w:t>
            </w:r>
          </w:p>
        </w:tc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C2H5NO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DMSO-d6</w:t>
            </w:r>
          </w:p>
        </w:tc>
        <w:tc>
          <w:tcPr>
            <w:tcW w:type="dxa" w:w="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R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2/3/5 / 4/6/10</w:t>
            </w:r>
          </w:p>
        </w:tc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1H;13C</w:t>
            </w:r>
          </w:p>
        </w:tc>
        <w:tc>
          <w:tcPr>
            <w:tcW w:type="dxa" w:w="5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STANDARD_IDENTITY_STEREO_CLUSTER_AND_CONVERGENCE_GATES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F3_003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trifluoroacetamide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C2H2F3NO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DMSO-d6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R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2/3/5 / 4/6/10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1H;13C;19F</w:t>
            </w:r>
          </w:p>
        </w:tc>
        <w:tc>
          <w:tcPr>
            <w:tcW w:type="dxa" w:w="5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19F_REFERENCE_AND_CF_COUPLING_GATE;F_BASIS_PREFLIGHT;ELEMENT_BASIS_COVERAGE_PREFLIGHT</w:t>
            </w:r>
          </w:p>
        </w:tc>
      </w:tr>
      <w:tr>
        <w:trPr>
          <w:cantSplit/>
        </w:trPr>
        <w:tc>
          <w:tcPr>
            <w:tcW w:type="dxa" w:w="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F3_004</w:t>
            </w:r>
          </w:p>
        </w:tc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oxamide</w:t>
            </w:r>
          </w:p>
        </w:tc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C2H4N2O2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DMSO-d6</w:t>
            </w:r>
          </w:p>
        </w:tc>
        <w:tc>
          <w:tcPr>
            <w:tcW w:type="dxa" w:w="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R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2/3/5 / 4/6/10</w:t>
            </w:r>
          </w:p>
        </w:tc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1H;13C</w:t>
            </w:r>
          </w:p>
        </w:tc>
        <w:tc>
          <w:tcPr>
            <w:tcW w:type="dxa" w:w="5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SOLUBILITY_AND_AGGREGATION_RISK;EARLY_COMPLEXITY_UPGRADE_IF_COVERAGE_GATE_FAILS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F3_006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2-iodobenzamide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C7H6INO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DMSO-d6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R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2/3/5 / 4/6/10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1H;13C</w:t>
            </w:r>
          </w:p>
        </w:tc>
        <w:tc>
          <w:tcPr>
            <w:tcW w:type="dxa" w:w="5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IODINE_X2C_OR_ZORA_PICTURE_CHANGE_GATE;I_BASIS_ECP_COVERAGE_GATE;ELEMENT_BASIS_COVERAGE_PREFLIGHT</w:t>
            </w:r>
          </w:p>
        </w:tc>
      </w:tr>
      <w:tr>
        <w:trPr>
          <w:cantSplit/>
        </w:trPr>
        <w:tc>
          <w:tcPr>
            <w:tcW w:type="dxa" w:w="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F3_007</w:t>
            </w:r>
          </w:p>
        </w:tc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phenylacetamide</w:t>
            </w:r>
          </w:p>
        </w:tc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C8H9NO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DMSO-d6</w:t>
            </w:r>
          </w:p>
        </w:tc>
        <w:tc>
          <w:tcPr>
            <w:tcW w:type="dxa" w:w="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M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2/3/5 / 6/10/16</w:t>
            </w:r>
          </w:p>
        </w:tc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1H;13C</w:t>
            </w:r>
          </w:p>
        </w:tc>
        <w:tc>
          <w:tcPr>
            <w:tcW w:type="dxa" w:w="5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STANDARD_IDENTITY_STEREO_CLUSTER_AND_CONVERGENCE_GATES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F3_008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4-hydroxyphenylacetamide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C8H9NO2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DMSO-d6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M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2/3/5 / 6/10/16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1H;13C</w:t>
            </w:r>
          </w:p>
        </w:tc>
        <w:tc>
          <w:tcPr>
            <w:tcW w:type="dxa" w:w="5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STANDARD_IDENTITY_STEREO_CLUSTER_AND_CONVERGENCE_GATES</w:t>
            </w:r>
          </w:p>
        </w:tc>
      </w:tr>
      <w:tr>
        <w:trPr>
          <w:cantSplit/>
        </w:trPr>
        <w:tc>
          <w:tcPr>
            <w:tcW w:type="dxa" w:w="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F3_009</w:t>
            </w:r>
          </w:p>
        </w:tc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4-nitrobenzamide</w:t>
            </w:r>
          </w:p>
        </w:tc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C7H6N2O3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DMSO-d6</w:t>
            </w:r>
          </w:p>
        </w:tc>
        <w:tc>
          <w:tcPr>
            <w:tcW w:type="dxa" w:w="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R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2/3/5 / 4/6/10</w:t>
            </w:r>
          </w:p>
        </w:tc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1H;13C</w:t>
            </w:r>
          </w:p>
        </w:tc>
        <w:tc>
          <w:tcPr>
            <w:tcW w:type="dxa" w:w="5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STANDARD_IDENTITY_STEREO_CLUSTER_AND_CONVERGENCE_GATES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F3_010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4-methoxyphenylacetamide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C9H11NO2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DMSO-d6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M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2/3/5 / 6/10/16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1H;13C</w:t>
            </w:r>
          </w:p>
        </w:tc>
        <w:tc>
          <w:tcPr>
            <w:tcW w:type="dxa" w:w="5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STANDARD_IDENTITY_STEREO_CLUSTER_AND_CONVERGENCE_GATES</w:t>
            </w:r>
          </w:p>
        </w:tc>
      </w:tr>
      <w:tr>
        <w:trPr>
          <w:cantSplit/>
        </w:trPr>
        <w:tc>
          <w:tcPr>
            <w:tcW w:type="dxa" w:w="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F3_011</w:t>
            </w:r>
          </w:p>
        </w:tc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terephthalamide</w:t>
            </w:r>
          </w:p>
        </w:tc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C8H8N2O2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DMSO-d6</w:t>
            </w:r>
          </w:p>
        </w:tc>
        <w:tc>
          <w:tcPr>
            <w:tcW w:type="dxa" w:w="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M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2/3/5 / 6/10/16</w:t>
            </w:r>
          </w:p>
        </w:tc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1H;13C</w:t>
            </w:r>
          </w:p>
        </w:tc>
        <w:tc>
          <w:tcPr>
            <w:tcW w:type="dxa" w:w="5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STANDARD_IDENTITY_STEREO_CLUSTER_AND_CONVERGENCE_GATES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F3_012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nicotinamide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C6H6N2O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DMSO-d6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R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2/3/5 / 4/6/10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1H;13C</w:t>
            </w:r>
          </w:p>
        </w:tc>
        <w:tc>
          <w:tcPr>
            <w:tcW w:type="dxa" w:w="5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STANDARD_IDENTITY_STEREO_CLUSTER_AND_CONVERGENCE_GATES</w:t>
            </w:r>
          </w:p>
        </w:tc>
      </w:tr>
      <w:tr>
        <w:trPr>
          <w:cantSplit/>
        </w:trPr>
        <w:tc>
          <w:tcPr>
            <w:tcW w:type="dxa" w:w="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F3_013</w:t>
            </w:r>
          </w:p>
        </w:tc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glycinamide</w:t>
            </w:r>
          </w:p>
        </w:tc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C2H6N2O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DMSO-d6</w:t>
            </w:r>
          </w:p>
        </w:tc>
        <w:tc>
          <w:tcPr>
            <w:tcW w:type="dxa" w:w="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M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2/3/5 / 6/10/16</w:t>
            </w:r>
          </w:p>
        </w:tc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1H;13C</w:t>
            </w:r>
          </w:p>
        </w:tc>
        <w:tc>
          <w:tcPr>
            <w:tcW w:type="dxa" w:w="5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STANDARD_IDENTITY_STEREO_CLUSTER_AND_CONVERGENCE_GATES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F3_014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L-phenylalaninamide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C9H12N2O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DMSO-d6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M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2/3/5 / 6/10/16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1H;13C</w:t>
            </w:r>
          </w:p>
        </w:tc>
        <w:tc>
          <w:tcPr>
            <w:tcW w:type="dxa" w:w="5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STANDARD_IDENTITY_STEREO_CLUSTER_AND_CONVERGENCE_GATES</w:t>
            </w:r>
          </w:p>
        </w:tc>
      </w:tr>
      <w:tr>
        <w:trPr>
          <w:cantSplit/>
        </w:trPr>
        <w:tc>
          <w:tcPr>
            <w:tcW w:type="dxa" w:w="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F3_015</w:t>
            </w:r>
          </w:p>
        </w:tc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L-prolinamide</w:t>
            </w:r>
          </w:p>
        </w:tc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C5H10N2O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DMSO-d6</w:t>
            </w:r>
          </w:p>
        </w:tc>
        <w:tc>
          <w:tcPr>
            <w:tcW w:type="dxa" w:w="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M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2/3/5 / 6/10/16</w:t>
            </w:r>
          </w:p>
        </w:tc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1H;13C</w:t>
            </w:r>
          </w:p>
        </w:tc>
        <w:tc>
          <w:tcPr>
            <w:tcW w:type="dxa" w:w="5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STANDARD_IDENTITY_STEREO_CLUSTER_AND_CONVERGENCE_GATES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F3_016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L-serinamide hydrochloride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C3H9ClN2O2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DMSO-d6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H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2/3/5 / 8/12/20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1H;13C</w:t>
            </w:r>
          </w:p>
        </w:tc>
        <w:tc>
          <w:tcPr>
            <w:tcW w:type="dxa" w:w="5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FULL_SALT_PRIMARY;CATION_ONLY_MANUAL_SENSITIVITY;ION_PAIR_MOTIF_GATE;ELEMENT_BASIS_COVERAGE_PREFLIGHT</w:t>
            </w:r>
          </w:p>
        </w:tc>
      </w:tr>
      <w:tr>
        <w:trPr>
          <w:cantSplit/>
        </w:trPr>
        <w:tc>
          <w:tcPr>
            <w:tcW w:type="dxa" w:w="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F3_017</w:t>
            </w:r>
          </w:p>
        </w:tc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L-leucinamide hydrochloride</w:t>
            </w:r>
          </w:p>
        </w:tc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C6H15ClN2O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DMSO-d6</w:t>
            </w:r>
          </w:p>
        </w:tc>
        <w:tc>
          <w:tcPr>
            <w:tcW w:type="dxa" w:w="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H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2/3/5 / 8/12/20</w:t>
            </w:r>
          </w:p>
        </w:tc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1H;13C</w:t>
            </w:r>
          </w:p>
        </w:tc>
        <w:tc>
          <w:tcPr>
            <w:tcW w:type="dxa" w:w="5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FULL_SALT_PRIMARY;CATION_ONLY_MANUAL_SENSITIVITY;ION_PAIR_MOTIF_GATE;ELEMENT_BASIS_COVERAGE_PREFLIGHT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F3_018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L-alaninamide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C3H8N2O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DMSO-d6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M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2/3/5 / 6/10/16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1H;13C</w:t>
            </w:r>
          </w:p>
        </w:tc>
        <w:tc>
          <w:tcPr>
            <w:tcW w:type="dxa" w:w="5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STANDARD_IDENTITY_STEREO_CLUSTER_AND_CONVERGENCE_GATES</w:t>
            </w:r>
          </w:p>
        </w:tc>
      </w:tr>
      <w:tr>
        <w:trPr>
          <w:cantSplit/>
        </w:trPr>
        <w:tc>
          <w:tcPr>
            <w:tcW w:type="dxa" w:w="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F3_019</w:t>
            </w:r>
          </w:p>
        </w:tc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L-asparagine zwitterion</w:t>
            </w:r>
          </w:p>
        </w:tc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C4H8N2O3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D2O</w:t>
            </w:r>
          </w:p>
        </w:tc>
        <w:tc>
          <w:tcPr>
            <w:tcW w:type="dxa" w:w="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H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2/3/5 / 8/12/20</w:t>
            </w:r>
          </w:p>
        </w:tc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1H;13C</w:t>
            </w:r>
          </w:p>
        </w:tc>
        <w:tc>
          <w:tcPr>
            <w:tcW w:type="dxa" w:w="5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L_STEREOCHEMISTRY_SAMPLE_CONFIRMATION;D2O_SPECIES_AND_PD_GATE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F3_020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L-glutamine (neutral form shown)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C5H10N2O3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D2O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H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2/3/5 / 8/12/20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1H;13C</w:t>
            </w:r>
          </w:p>
        </w:tc>
        <w:tc>
          <w:tcPr>
            <w:tcW w:type="dxa" w:w="5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AQUEOUS_ZWITTERION_PRIMARY;REGISTRY_NEUTRAL_FORM_NOT_MIXED;PD_GATE</w:t>
            </w:r>
          </w:p>
        </w:tc>
      </w:tr>
      <w:tr>
        <w:trPr>
          <w:cantSplit/>
        </w:trPr>
        <w:tc>
          <w:tcPr>
            <w:tcW w:type="dxa" w:w="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F3_021</w:t>
            </w:r>
          </w:p>
        </w:tc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L-argininamide dihydrochloride</w:t>
            </w:r>
          </w:p>
        </w:tc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C6H17Cl2N5O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D2O</w:t>
            </w:r>
          </w:p>
        </w:tc>
        <w:tc>
          <w:tcPr>
            <w:tcW w:type="dxa" w:w="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H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2/3/5 / 8/12/20</w:t>
            </w:r>
          </w:p>
        </w:tc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1H;13C</w:t>
            </w:r>
          </w:p>
        </w:tc>
        <w:tc>
          <w:tcPr>
            <w:tcW w:type="dxa" w:w="5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DIHYDROCHLORIDE_ASSUMPTION;COUNTERION_RETENTION;PD_GATE;ELEMENT_BASIS_COVERAGE_PREFLIGHT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F3_022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cholamide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C24H41NO4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DMSO-d6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X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2/3/5 / 10/16/24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1H;13C</w:t>
            </w:r>
          </w:p>
        </w:tc>
        <w:tc>
          <w:tcPr>
            <w:tcW w:type="dxa" w:w="5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STANDARD_IDENTITY_STEREO_CLUSTER_AND_CONVERGENCE_GATES</w:t>
            </w:r>
          </w:p>
        </w:tc>
      </w:tr>
      <w:tr>
        <w:trPr>
          <w:cantSplit/>
        </w:trPr>
        <w:tc>
          <w:tcPr>
            <w:tcW w:type="dxa" w:w="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F3_023</w:t>
            </w:r>
          </w:p>
        </w:tc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3-(2-hydroxybenzamido)-L-tyrosine zwitterion</w:t>
            </w:r>
          </w:p>
        </w:tc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C16H16N2O5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DMSO-d6</w:t>
            </w:r>
          </w:p>
        </w:tc>
        <w:tc>
          <w:tcPr>
            <w:tcW w:type="dxa" w:w="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X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2/3/5 / 10/16/24</w:t>
            </w:r>
          </w:p>
        </w:tc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1H;13C</w:t>
            </w:r>
          </w:p>
        </w:tc>
        <w:tc>
          <w:tcPr>
            <w:tcW w:type="dxa" w:w="5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SAMPLE_IDENTITY_CONFIRMATION_REQUIRED;NO_NITRO_GROUP_IN_ADOPTED_STRUCTURE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F3_024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N-methylbenzamide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C8H9NO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DMSO-d6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M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2/3/5 / 6/10/16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1H;13C</w:t>
            </w:r>
          </w:p>
        </w:tc>
        <w:tc>
          <w:tcPr>
            <w:tcW w:type="dxa" w:w="5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STANDARD_IDENTITY_STEREO_CLUSTER_AND_CONVERGENCE_GATES</w:t>
            </w:r>
          </w:p>
        </w:tc>
      </w:tr>
      <w:tr>
        <w:trPr>
          <w:cantSplit/>
        </w:trPr>
        <w:tc>
          <w:tcPr>
            <w:tcW w:type="dxa" w:w="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F3_025</w:t>
            </w:r>
          </w:p>
        </w:tc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N-ethylbenzamide</w:t>
            </w:r>
          </w:p>
        </w:tc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C9H11NO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DMSO-d6</w:t>
            </w:r>
          </w:p>
        </w:tc>
        <w:tc>
          <w:tcPr>
            <w:tcW w:type="dxa" w:w="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M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2/3/5 / 6/10/16</w:t>
            </w:r>
          </w:p>
        </w:tc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1H;13C</w:t>
            </w:r>
          </w:p>
        </w:tc>
        <w:tc>
          <w:tcPr>
            <w:tcW w:type="dxa" w:w="5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STANDARD_IDENTITY_STEREO_CLUSTER_AND_CONVERGENCE_GATES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F3_026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N-isopropylbenzamide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C10H13NO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DMSO-d6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M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2/3/5 / 6/10/16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1H;13C</w:t>
            </w:r>
          </w:p>
        </w:tc>
        <w:tc>
          <w:tcPr>
            <w:tcW w:type="dxa" w:w="5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STANDARD_IDENTITY_STEREO_CLUSTER_AND_CONVERGENCE_GATES</w:t>
            </w:r>
          </w:p>
        </w:tc>
      </w:tr>
      <w:tr>
        <w:trPr>
          <w:cantSplit/>
        </w:trPr>
        <w:tc>
          <w:tcPr>
            <w:tcW w:type="dxa" w:w="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F3_027</w:t>
            </w:r>
          </w:p>
        </w:tc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N-benzylbenzamide</w:t>
            </w:r>
          </w:p>
        </w:tc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C14H13NO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DMSO-d6</w:t>
            </w:r>
          </w:p>
        </w:tc>
        <w:tc>
          <w:tcPr>
            <w:tcW w:type="dxa" w:w="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H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2/3/5 / 8/12/20</w:t>
            </w:r>
          </w:p>
        </w:tc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1H;13C</w:t>
            </w:r>
          </w:p>
        </w:tc>
        <w:tc>
          <w:tcPr>
            <w:tcW w:type="dxa" w:w="5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STANDARD_IDENTITY_STEREO_CLUSTER_AND_CONVERGENCE_GATES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F3_028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N-methylacetamide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C3H7NO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DMSO-d6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M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2/3/5 / 6/10/16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1H;13C</w:t>
            </w:r>
          </w:p>
        </w:tc>
        <w:tc>
          <w:tcPr>
            <w:tcW w:type="dxa" w:w="5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STANDARD_IDENTITY_STEREO_CLUSTER_AND_CONVERGENCE_GATES</w:t>
            </w:r>
          </w:p>
        </w:tc>
      </w:tr>
      <w:tr>
        <w:trPr>
          <w:cantSplit/>
        </w:trPr>
        <w:tc>
          <w:tcPr>
            <w:tcW w:type="dxa" w:w="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F3_029</w:t>
            </w:r>
          </w:p>
        </w:tc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N-methylpyridine-3-carboxamide</w:t>
            </w:r>
          </w:p>
        </w:tc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C7H8N2O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DMSO-d6</w:t>
            </w:r>
          </w:p>
        </w:tc>
        <w:tc>
          <w:tcPr>
            <w:tcW w:type="dxa" w:w="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M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2/3/5 / 6/10/16</w:t>
            </w:r>
          </w:p>
        </w:tc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1H;13C</w:t>
            </w:r>
          </w:p>
        </w:tc>
        <w:tc>
          <w:tcPr>
            <w:tcW w:type="dxa" w:w="5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STANDARD_IDENTITY_STEREO_CLUSTER_AND_CONVERGENCE_GATES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F3_030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N,N-dimethylbenzamide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C9H11NO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DMSO-d6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M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2/3/5 / 6/10/16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1H;13C</w:t>
            </w:r>
          </w:p>
        </w:tc>
        <w:tc>
          <w:tcPr>
            <w:tcW w:type="dxa" w:w="5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STANDARD_IDENTITY_STEREO_CLUSTER_AND_CONVERGENCE_GATES</w:t>
            </w:r>
          </w:p>
        </w:tc>
      </w:tr>
      <w:tr>
        <w:trPr>
          <w:cantSplit/>
        </w:trPr>
        <w:tc>
          <w:tcPr>
            <w:tcW w:type="dxa" w:w="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F3_031</w:t>
            </w:r>
          </w:p>
        </w:tc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N,N-diethylbenzamide</w:t>
            </w:r>
          </w:p>
        </w:tc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C11H15NO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DMSO-d6</w:t>
            </w:r>
          </w:p>
        </w:tc>
        <w:tc>
          <w:tcPr>
            <w:tcW w:type="dxa" w:w="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H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2/3/5 / 8/12/20</w:t>
            </w:r>
          </w:p>
        </w:tc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1H;13C</w:t>
            </w:r>
          </w:p>
        </w:tc>
        <w:tc>
          <w:tcPr>
            <w:tcW w:type="dxa" w:w="5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STANDARD_IDENTITY_STEREO_CLUSTER_AND_CONVERGENCE_GATES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F3_032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N-methyl-N-phenylbenzamide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C14H13NO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DMSO-d6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H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2/3/5 / 8/12/20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1H;13C</w:t>
            </w:r>
          </w:p>
        </w:tc>
        <w:tc>
          <w:tcPr>
            <w:tcW w:type="dxa" w:w="5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STANDARD_IDENTITY_STEREO_CLUSTER_AND_CONVERGENCE_GATES</w:t>
            </w:r>
          </w:p>
        </w:tc>
      </w:tr>
      <w:tr>
        <w:trPr>
          <w:cantSplit/>
        </w:trPr>
        <w:tc>
          <w:tcPr>
            <w:tcW w:type="dxa" w:w="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F3_033</w:t>
            </w:r>
          </w:p>
        </w:tc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N,N-dibenzylformamide</w:t>
            </w:r>
          </w:p>
        </w:tc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C15H15NO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DMSO-d6</w:t>
            </w:r>
          </w:p>
        </w:tc>
        <w:tc>
          <w:tcPr>
            <w:tcW w:type="dxa" w:w="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H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2/3/5 / 8/12/20</w:t>
            </w:r>
          </w:p>
        </w:tc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1H;13C</w:t>
            </w:r>
          </w:p>
        </w:tc>
        <w:tc>
          <w:tcPr>
            <w:tcW w:type="dxa" w:w="5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STANDARD_IDENTITY_STEREO_CLUSTER_AND_CONVERGENCE_GATES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F3_034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p-toluenesulfonamide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C7H9NO2S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DMSO-d6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R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2/3/5 / 4/6/10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1H;13C</w:t>
            </w:r>
          </w:p>
        </w:tc>
        <w:tc>
          <w:tcPr>
            <w:tcW w:type="dxa" w:w="5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STANDARD_IDENTITY_STEREO_CLUSTER_AND_CONVERGENCE_GATES</w:t>
            </w:r>
          </w:p>
        </w:tc>
      </w:tr>
      <w:tr>
        <w:trPr>
          <w:cantSplit/>
        </w:trPr>
        <w:tc>
          <w:tcPr>
            <w:tcW w:type="dxa" w:w="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F3_035</w:t>
            </w:r>
          </w:p>
        </w:tc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sulfamic acid</w:t>
            </w:r>
          </w:p>
        </w:tc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H3NO3S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D2O</w:t>
            </w:r>
          </w:p>
        </w:tc>
        <w:tc>
          <w:tcPr>
            <w:tcW w:type="dxa" w:w="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R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2/3/5 / 4/6/10</w:t>
            </w:r>
          </w:p>
        </w:tc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1H(background/HOD only after fast exchange);15N optional;no 13C</w:t>
            </w:r>
          </w:p>
        </w:tc>
        <w:tc>
          <w:tcPr>
            <w:tcW w:type="dxa" w:w="5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NO_13C; D2O exchange; NO_13C;ORDINARY_ANALYTE_1H_EXCHANGE_SUPPRESSED_IN_D2O;15N_OPTIONAL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F3_036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benzenesulfonamide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C6H7NO2S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DMSO-d6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R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2/3/5 / 4/6/10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1H;13C</w:t>
            </w:r>
          </w:p>
        </w:tc>
        <w:tc>
          <w:tcPr>
            <w:tcW w:type="dxa" w:w="5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STANDARD_IDENTITY_STEREO_CLUSTER_AND_CONVERGENCE_GATES</w:t>
            </w:r>
          </w:p>
        </w:tc>
      </w:tr>
      <w:tr>
        <w:trPr>
          <w:cantSplit/>
        </w:trPr>
        <w:tc>
          <w:tcPr>
            <w:tcW w:type="dxa" w:w="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F3_037</w:t>
            </w:r>
          </w:p>
        </w:tc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4-fluorobenzenesulfonamide</w:t>
            </w:r>
          </w:p>
        </w:tc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C6H6FNO2S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DMSO-d6</w:t>
            </w:r>
          </w:p>
        </w:tc>
        <w:tc>
          <w:tcPr>
            <w:tcW w:type="dxa" w:w="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R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2/3/5 / 4/6/10</w:t>
            </w:r>
          </w:p>
        </w:tc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1H;13C;19F</w:t>
            </w:r>
          </w:p>
        </w:tc>
        <w:tc>
          <w:tcPr>
            <w:tcW w:type="dxa" w:w="5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STANDARD_IDENTITY_STEREO_CLUSTER_AND_CONVERGENCE_GATES;ELEMENT_BASIS_COVERAGE_PREFLIGHT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F3_038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4-methoxybenzenesulfonamide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C7H9NO3S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DMSO-d6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R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2/3/5 / 4/6/10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1H;13C</w:t>
            </w:r>
          </w:p>
        </w:tc>
        <w:tc>
          <w:tcPr>
            <w:tcW w:type="dxa" w:w="5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EARLY_COMPLEXITY_UPGRADE_IF_COVERAGE_GATE_FAILS</w:t>
            </w:r>
          </w:p>
        </w:tc>
      </w:tr>
      <w:tr>
        <w:trPr>
          <w:cantSplit/>
        </w:trPr>
        <w:tc>
          <w:tcPr>
            <w:tcW w:type="dxa" w:w="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F3_039</w:t>
            </w:r>
          </w:p>
        </w:tc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4-trifluoromethylbenzenesulfonamide</w:t>
            </w:r>
          </w:p>
        </w:tc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C7H6F3NO2S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DMSO-d6</w:t>
            </w:r>
          </w:p>
        </w:tc>
        <w:tc>
          <w:tcPr>
            <w:tcW w:type="dxa" w:w="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R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2/3/5 / 4/6/10</w:t>
            </w:r>
          </w:p>
        </w:tc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1H;13C;19F</w:t>
            </w:r>
          </w:p>
        </w:tc>
        <w:tc>
          <w:tcPr>
            <w:tcW w:type="dxa" w:w="5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STANDARD_IDENTITY_STEREO_CLUSTER_AND_CONVERGENCE_GATES;ELEMENT_BASIS_COVERAGE_PREFLIGHT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F3_040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2-naphthalenesulfonamide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C10H9NO2S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DMSO-d6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R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2/3/5 / 4/6/10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1H;13C</w:t>
            </w:r>
          </w:p>
        </w:tc>
        <w:tc>
          <w:tcPr>
            <w:tcW w:type="dxa" w:w="5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EARLY_COMPLEXITY_UPGRADE_IF_COVERAGE_GATE_FAILS</w:t>
            </w:r>
          </w:p>
        </w:tc>
      </w:tr>
      <w:tr>
        <w:trPr>
          <w:cantSplit/>
        </w:trPr>
        <w:tc>
          <w:tcPr>
            <w:tcW w:type="dxa" w:w="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F3_041</w:t>
            </w:r>
          </w:p>
        </w:tc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N-methyl-p-toluenesulfonamide</w:t>
            </w:r>
          </w:p>
        </w:tc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C8H11NO2S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DMSO-d6</w:t>
            </w:r>
          </w:p>
        </w:tc>
        <w:tc>
          <w:tcPr>
            <w:tcW w:type="dxa" w:w="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M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2/3/5 / 6/10/16</w:t>
            </w:r>
          </w:p>
        </w:tc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1H;13C</w:t>
            </w:r>
          </w:p>
        </w:tc>
        <w:tc>
          <w:tcPr>
            <w:tcW w:type="dxa" w:w="5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STANDARD_IDENTITY_STEREO_CLUSTER_AND_CONVERGENCE_GATES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F3_042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N-benzyl-p-toluenesulfonamide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C14H15NO2S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DMSO-d6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H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2/3/5 / 8/12/20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1H;13C</w:t>
            </w:r>
          </w:p>
        </w:tc>
        <w:tc>
          <w:tcPr>
            <w:tcW w:type="dxa" w:w="5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STANDARD_IDENTITY_STEREO_CLUSTER_AND_CONVERGENCE_GATES</w:t>
            </w:r>
          </w:p>
        </w:tc>
      </w:tr>
      <w:tr>
        <w:trPr>
          <w:cantSplit/>
        </w:trPr>
        <w:tc>
          <w:tcPr>
            <w:tcW w:type="dxa" w:w="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F3_043</w:t>
            </w:r>
          </w:p>
        </w:tc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phosphoramide</w:t>
            </w:r>
          </w:p>
        </w:tc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H6N3OP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D2O</w:t>
            </w:r>
          </w:p>
        </w:tc>
        <w:tc>
          <w:tcPr>
            <w:tcW w:type="dxa" w:w="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R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2/3/5 / 4/6/10</w:t>
            </w:r>
          </w:p>
        </w:tc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1H(background/HOD only after fast exchange);31P;15N optional;no 13C</w:t>
            </w:r>
          </w:p>
        </w:tc>
        <w:tc>
          <w:tcPr>
            <w:tcW w:type="dxa" w:w="5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NO_13C; D2O exchange; NO_13C;ORDINARY_ANALYTE_1H_EXCHANGE_SUPPRESSED_IN_D2O;15N_31P_OPTIONAL;ELEMENT_BASIS_COVERAGE_PREFLIGHT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F3_044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phosphorodiamidic acid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H5N2O2P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D2O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R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2/3/5 / 4/6/10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1H(background/HOD only after fast exchange);31P;15N optional;no 13C</w:t>
            </w:r>
          </w:p>
        </w:tc>
        <w:tc>
          <w:tcPr>
            <w:tcW w:type="dxa" w:w="5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NO_13C; D2O exchange; NO_13C;ORDINARY_ANALYTE_1H_EXCHANGE_SUPPRESSED_IN_D2O;15N_31P_OPTIONAL;ANION_COUNTERION_UNKNOWN;ELEMENT_BASIS_COVERAGE_PREFLIGHT</w:t>
            </w:r>
          </w:p>
        </w:tc>
      </w:tr>
      <w:tr>
        <w:trPr>
          <w:cantSplit/>
        </w:trPr>
        <w:tc>
          <w:tcPr>
            <w:tcW w:type="dxa" w:w="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F3_045</w:t>
            </w:r>
          </w:p>
        </w:tc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dimethyl phosphoramidate</w:t>
            </w:r>
          </w:p>
        </w:tc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C2H8NO3P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DMSO-d6</w:t>
            </w:r>
          </w:p>
        </w:tc>
        <w:tc>
          <w:tcPr>
            <w:tcW w:type="dxa" w:w="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M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2/3/5 / 6/10/16</w:t>
            </w:r>
          </w:p>
        </w:tc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1H;13C;31P</w:t>
            </w:r>
          </w:p>
        </w:tc>
        <w:tc>
          <w:tcPr>
            <w:tcW w:type="dxa" w:w="5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STANDARD_IDENTITY_STEREO_CLUSTER_AND_CONVERGENCE_GATES;ELEMENT_BASIS_COVERAGE_PREFLIGHT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F3_046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diethyl phosphoramidate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C4H12NO3P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DMSO-d6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M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2/3/5 / 6/10/16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1H;13C;31P</w:t>
            </w:r>
          </w:p>
        </w:tc>
        <w:tc>
          <w:tcPr>
            <w:tcW w:type="dxa" w:w="5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STANDARD_IDENTITY_STEREO_CLUSTER_AND_CONVERGENCE_GATES;ELEMENT_BASIS_COVERAGE_PREFLIGHT</w:t>
            </w:r>
          </w:p>
        </w:tc>
      </w:tr>
      <w:tr>
        <w:trPr>
          <w:cantSplit/>
        </w:trPr>
        <w:tc>
          <w:tcPr>
            <w:tcW w:type="dxa" w:w="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F3_047</w:t>
            </w:r>
          </w:p>
        </w:tc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diisopropyl phosphoramidate</w:t>
            </w:r>
          </w:p>
        </w:tc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C6H16NO3P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DMSO-d6</w:t>
            </w:r>
          </w:p>
        </w:tc>
        <w:tc>
          <w:tcPr>
            <w:tcW w:type="dxa" w:w="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M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2/3/5 / 6/10/16</w:t>
            </w:r>
          </w:p>
        </w:tc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1H;13C;31P</w:t>
            </w:r>
          </w:p>
        </w:tc>
        <w:tc>
          <w:tcPr>
            <w:tcW w:type="dxa" w:w="5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STANDARD_IDENTITY_STEREO_CLUSTER_AND_CONVERGENCE_GATES;ELEMENT_BASIS_COVERAGE_PREFLIGHT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F3_048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diphenyl phosphoramidate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C12H12NO3P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DMSO-d6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H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2/3/5 / 8/12/20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1H;13C;31P</w:t>
            </w:r>
          </w:p>
        </w:tc>
        <w:tc>
          <w:tcPr>
            <w:tcW w:type="dxa" w:w="5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STANDARD_IDENTITY_STEREO_CLUSTER_AND_CONVERGENCE_GATES;ELEMENT_BASIS_COVERAGE_PREFLIGHT</w:t>
            </w:r>
          </w:p>
        </w:tc>
      </w:tr>
      <w:tr>
        <w:trPr>
          <w:cantSplit/>
        </w:trPr>
        <w:tc>
          <w:tcPr>
            <w:tcW w:type="dxa" w:w="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F3_049</w:t>
            </w:r>
          </w:p>
        </w:tc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N-methyl diethyl phosphoramidate</w:t>
            </w:r>
          </w:p>
        </w:tc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C5H14NO3P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DMSO-d6</w:t>
            </w:r>
          </w:p>
        </w:tc>
        <w:tc>
          <w:tcPr>
            <w:tcW w:type="dxa" w:w="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M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2/3/5 / 6/10/16</w:t>
            </w:r>
          </w:p>
        </w:tc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1H;13C;31P</w:t>
            </w:r>
          </w:p>
        </w:tc>
        <w:tc>
          <w:tcPr>
            <w:tcW w:type="dxa" w:w="5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STANDARD_IDENTITY_STEREO_CLUSTER_AND_CONVERGENCE_GATES;ELEMENT_BASIS_COVERAGE_PREFLIGHT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F3_050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N-benzyl diethyl phosphoramidate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C11H18NO3P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DMSO-d6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H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2/3/5 / 8/12/20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1H;13C;31P</w:t>
            </w:r>
          </w:p>
        </w:tc>
        <w:tc>
          <w:tcPr>
            <w:tcW w:type="dxa" w:w="5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STANDARD_IDENTITY_STEREO_CLUSTER_AND_CONVERGENCE_GATES;ELEMENT_BASIS_COVERAGE_PREFLIGHT</w:t>
            </w:r>
          </w:p>
        </w:tc>
      </w:tr>
      <w:tr>
        <w:trPr>
          <w:cantSplit/>
        </w:trPr>
        <w:tc>
          <w:tcPr>
            <w:tcW w:type="dxa" w:w="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F3_051</w:t>
            </w:r>
          </w:p>
        </w:tc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cyclic phosphoramidate</w:t>
            </w:r>
          </w:p>
        </w:tc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C3H8NO3P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DMSO-d6</w:t>
            </w:r>
          </w:p>
        </w:tc>
        <w:tc>
          <w:tcPr>
            <w:tcW w:type="dxa" w:w="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M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2/3/5 / 6/10/16</w:t>
            </w:r>
          </w:p>
        </w:tc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1H;13C;31P</w:t>
            </w:r>
          </w:p>
        </w:tc>
        <w:tc>
          <w:tcPr>
            <w:tcW w:type="dxa" w:w="5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STANDARD_IDENTITY_STEREO_CLUSTER_AND_CONVERGENCE_GATES;ELEMENT_BASIS_COVERAGE_PREFLIGHT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F3_052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methyl phosphorodiamidate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CH7N2O2P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DMSO-d6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R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2/3/5 / 4/6/10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1H;13C;31P</w:t>
            </w:r>
          </w:p>
        </w:tc>
        <w:tc>
          <w:tcPr>
            <w:tcW w:type="dxa" w:w="5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EARLY_COMPLEXITY_UPGRADE_IF_COVERAGE_GATE_FAILS;ELEMENT_BASIS_COVERAGE_PREFLIGHT</w:t>
            </w:r>
          </w:p>
        </w:tc>
      </w:tr>
    </w:tbl>
    <w:p>
      <w:pPr>
        <w:spacing w:before="0" w:after="0" w:line="20" w:lineRule="exact"/>
      </w:pPr>
      <w:r>
        <w:rPr>
          <w:rFonts w:ascii="Calibri" w:hAnsi="Calibri" w:eastAsia="Microsoft YaHei"/>
          <w:color w:val="FFFFFF"/>
          <w:sz w:val="2"/>
        </w:rPr>
        <w:t xml:space="preserve"> </w:t>
      </w:r>
    </w:p>
    <w:p>
      <w:pPr>
        <w:sectPr>
          <w:pgSz w:w="15840" w:h="12240" w:orient="landscape"/>
          <w:pgMar w:top="792" w:right="720" w:bottom="792" w:left="720" w:header="432" w:footer="432" w:gutter="0"/>
          <w:cols w:space="720"/>
          <w:docGrid w:linePitch="360"/>
        </w:sectPr>
      </w:pPr>
    </w:p>
    <w:p>
      <w:pPr>
        <w:pStyle w:val="Heading1"/>
      </w:pPr>
      <w:r>
        <w:t>包内交付物与验收清单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4300"/>
        <w:gridCol w:w="31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目录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内容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验收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registry/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51 化合物身份来源和原 Figure 3 结构图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应含 F3_001–052，排除 F3_005 的执行范围</w:t>
            </w:r>
          </w:p>
        </w:tc>
      </w:tr>
      <w:tr>
        <w:trPr>
          <w:cantSplit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config/</w:t>
            </w:r>
          </w:p>
        </w:tc>
        <w:tc>
          <w:tcPr>
            <w:tcW w:type="dxa" w:w="4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compound profiles、场景、方法、QRRHO、参考、特殊路由、资源 policy</w:t>
            </w:r>
          </w:p>
        </w:tc>
        <w:tc>
          <w:tcPr>
            <w:tcW w:type="dxa" w:w="3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机器可读 JSON/CSV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01_goat_explicit/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每个候选的 goat.inp、start.xyz、atom/isotope map、validation、hash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所有候选预生成，不等于全部提交</w:t>
            </w:r>
          </w:p>
        </w:tc>
      </w:tr>
      <w:tr>
        <w:trPr>
          <w:cantSplit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data/</w:t>
            </w:r>
          </w:p>
        </w:tc>
        <w:tc>
          <w:tcPr>
            <w:tcW w:type="dxa" w:w="4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scenario registry、GOAT manifest、effective manifest 模板</w:t>
            </w:r>
          </w:p>
        </w:tc>
        <w:tc>
          <w:tcPr>
            <w:tcW w:type="dxa" w:w="3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含 target、wave、state 和 bundle hash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scripts/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准备、控制、失败分类、builder、audit 和 checksums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默认 dry-run/fail-closed</w:t>
            </w:r>
          </w:p>
        </w:tc>
      </w:tr>
      <w:tr>
        <w:trPr>
          <w:cantSplit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hpc/</w:t>
            </w:r>
          </w:p>
        </w:tc>
        <w:tc>
          <w:tcPr>
            <w:tcW w:type="dxa" w:w="4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Slurm/site 配置、资源档、runtime/scratch/stage-out 模板</w:t>
            </w:r>
          </w:p>
        </w:tc>
        <w:tc>
          <w:tcPr>
            <w:tcW w:type="dxa" w:w="3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服务器路径由 site_config 提供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gates/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身份、GOAT、DFT、reference、J、heavy-element 和 final receipt 模板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未审批不得继续</w:t>
            </w:r>
          </w:p>
        </w:tc>
      </w:tr>
      <w:tr>
        <w:trPr>
          <w:cantSplit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docs/</w:t>
            </w:r>
          </w:p>
        </w:tc>
        <w:tc>
          <w:tcPr>
            <w:tcW w:type="dxa" w:w="4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工作流、HPC 恢复、化合物路由、限制和本报告</w:t>
            </w:r>
          </w:p>
        </w:tc>
        <w:tc>
          <w:tcPr>
            <w:tcW w:type="dxa" w:w="3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用于审查和 GitHub 交付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package_metadata/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inventory、SHA-256、audit report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上传前重生成</w:t>
            </w:r>
          </w:p>
        </w:tc>
      </w:tr>
    </w:tbl>
    <w:p>
      <w:pPr>
        <w:spacing w:before="0" w:after="0" w:line="20" w:lineRule="exact"/>
      </w:pPr>
      <w:r>
        <w:rPr>
          <w:rFonts w:ascii="Calibri" w:hAnsi="Calibri" w:eastAsia="Microsoft YaHei"/>
          <w:color w:val="FFFFFF"/>
          <w:sz w:val="2"/>
        </w:rPr>
        <w:t xml:space="preserve"> </w:t>
      </w:r>
    </w:p>
    <w:p>
      <w:pPr>
        <w:pStyle w:val="Heading2"/>
      </w:pPr>
      <w:r>
        <w:t>最终科学验收条件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每个 figure_id 的身份、物种和固定组成场景有 hash-locked receipt；所有异常有人工决策记录。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GOAT effective manifest 与提交/完成/失败/取消状态一致；没有把 completion-time bias 当作收敛。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每个固定组成独立完成构象去重、QRRHO 和权重；总人口归一且尾部受控。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PBE0 与 revDSD 分支不混；TMS/参考与分析物完全同方法；校准集独立。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¹H/¹³C/¹⁹F/³¹P 输出符合元素和实验核种；交换质子与 D₂O 规则被执行。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所有合成外观图明确标注 SYNTHETIC APPEARANCE – NOT EXPERIMENTAL，且不移动 analyte chemical shifts。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包级 audit、代表性测试、输入 hash、最终 checksums 全部 PASS 后才能上传并释队。</w:t>
      </w:r>
    </w:p>
    <w:p>
      <w:pPr>
        <w:pStyle w:val="Heading1"/>
      </w:pPr>
      <w:r>
        <w:t>参考依据</w:t>
      </w:r>
    </w:p>
    <w:p>
      <w:pPr>
        <w:numPr>
          <w:ilvl w:val="0"/>
          <w:numId w:val="10"/>
        </w:numPr>
      </w:pPr>
      <w:hyperlink r:id="rId11">
        <w:r>
          <w:rPr>
            <w:rFonts w:ascii="Calibri" w:hAnsi="Calibri"/>
            <w:color w:val="2E74B5"/>
            <w:u w:val="single"/>
          </w:rPr>
          <w:t>ORCA 6.1 NMR tutorial</w:t>
        </w:r>
      </w:hyperlink>
    </w:p>
    <w:p>
      <w:pPr>
        <w:numPr>
          <w:ilvl w:val="0"/>
          <w:numId w:val="10"/>
        </w:numPr>
      </w:pPr>
      <w:hyperlink r:id="rId12">
        <w:r>
          <w:rPr>
            <w:rFonts w:ascii="Calibri" w:hAnsi="Calibri"/>
            <w:color w:val="2E74B5"/>
            <w:u w:val="single"/>
          </w:rPr>
          <w:t>ORCA 6.1 GOAT manual</w:t>
        </w:r>
      </w:hyperlink>
    </w:p>
    <w:p>
      <w:pPr>
        <w:numPr>
          <w:ilvl w:val="0"/>
          <w:numId w:val="10"/>
        </w:numPr>
      </w:pPr>
      <w:hyperlink r:id="rId13">
        <w:r>
          <w:rPr>
            <w:rFonts w:ascii="Calibri" w:hAnsi="Calibri"/>
            <w:color w:val="2E74B5"/>
            <w:u w:val="single"/>
          </w:rPr>
          <w:t>ORCA 6.1 parallel execution manual</w:t>
        </w:r>
      </w:hyperlink>
    </w:p>
    <w:p>
      <w:pPr>
        <w:numPr>
          <w:ilvl w:val="0"/>
          <w:numId w:val="10"/>
        </w:numPr>
      </w:pPr>
      <w:hyperlink r:id="rId14">
        <w:r>
          <w:rPr>
            <w:rFonts w:ascii="Calibri" w:hAnsi="Calibri"/>
            <w:color w:val="2E74B5"/>
            <w:u w:val="single"/>
          </w:rPr>
          <w:t>Schattenberg &amp; Kaupp, JCTC 2021, high-level shielding benchmark</w:t>
        </w:r>
      </w:hyperlink>
    </w:p>
    <w:p>
      <w:pPr>
        <w:numPr>
          <w:ilvl w:val="0"/>
          <w:numId w:val="10"/>
        </w:numPr>
      </w:pPr>
      <w:hyperlink r:id="rId15">
        <w:r>
          <w:rPr>
            <w:rFonts w:ascii="Calibri" w:hAnsi="Calibri"/>
            <w:color w:val="2E74B5"/>
            <w:u w:val="single"/>
          </w:rPr>
          <w:t>Cohen et al., Molecules 2023, DELTA50 experimental benchmark</w:t>
        </w:r>
      </w:hyperlink>
    </w:p>
    <w:p>
      <w:pPr>
        <w:numPr>
          <w:ilvl w:val="0"/>
          <w:numId w:val="10"/>
        </w:numPr>
      </w:pPr>
      <w:hyperlink r:id="rId16">
        <w:r>
          <w:rPr>
            <w:rFonts w:ascii="Calibri" w:hAnsi="Calibri"/>
            <w:color w:val="2E74B5"/>
            <w:u w:val="single"/>
          </w:rPr>
          <w:t>Liang et al., JCTC, pcSseg basis-set assessment</w:t>
        </w:r>
      </w:hyperlink>
    </w:p>
    <w:p>
      <w:pPr>
        <w:numPr>
          <w:ilvl w:val="0"/>
          <w:numId w:val="10"/>
        </w:numPr>
      </w:pPr>
      <w:hyperlink r:id="rId17">
        <w:r>
          <w:rPr>
            <w:rFonts w:ascii="Calibri" w:hAnsi="Calibri"/>
            <w:color w:val="2E74B5"/>
            <w:u w:val="single"/>
          </w:rPr>
          <w:t>Yesiltepe et al., J Cheminform 2018, automated conformer/NMR workflows</w:t>
        </w:r>
      </w:hyperlink>
    </w:p>
    <w:p>
      <w:pPr>
        <w:keepLines w:val="0"/>
      </w:pPr>
      <w:r>
        <w:rPr>
          <w:rFonts w:ascii="Calibri" w:hAnsi="Calibri" w:eastAsia="Microsoft YaHei"/>
        </w:rPr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0B2545"/>
              </w:rPr>
              <w:t>非 ORCA 内容</w:t>
              <w:br/>
            </w:r>
            <w:r>
              <w:rPr>
                <w:rFonts w:ascii="Calibri" w:hAnsi="Calibri" w:eastAsia="Microsoft YaHei"/>
              </w:rPr>
              <w:t>原报告中的 LVK 候选对/后验附录与 NMR 计算无科学依赖。本计算包不复制其指标，也不把 LVK 分数用于任何 NMR 门控。</w:t>
            </w:r>
          </w:p>
        </w:tc>
      </w:tr>
    </w:tbl>
    <w:p>
      <w:pPr>
        <w:spacing w:before="0" w:after="0" w:line="20" w:lineRule="exact"/>
      </w:pPr>
      <w:r>
        <w:rPr>
          <w:rFonts w:ascii="Calibri" w:hAnsi="Calibri" w:eastAsia="Microsoft YaHei"/>
          <w:color w:val="FFFFFF"/>
          <w:sz w:val="2"/>
        </w:rPr>
        <w:t xml:space="preserve"> </w:t>
      </w:r>
    </w:p>
    <w:sectPr w:rsidR="00FC693F" w:rsidRPr="0006063C" w:rsidSect="00034616">
      <w:pgSz w:w="12240" w:h="15840" w:orient="landscape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F6975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5F697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  <w:tab w:pos="9360" w:val="left"/>
        <w:tab w:pos="9360" w:val="left"/>
      </w:tabs>
      <w:spacing w:after="40"/>
      <w:pBdr>
        <w:bottom w:val="single" w:sz="6" w:space="1" w:color="9AA7B5"/>
        <w:bottom w:val="single" w:sz="6" w:space="1" w:color="9AA7B5"/>
        <w:bottom w:val="single" w:sz="6" w:space="1" w:color="9AA7B5"/>
      </w:pBdr>
    </w:pPr>
    <w:r>
      <w:rPr>
        <w:rFonts w:ascii="Calibri" w:hAnsi="Calibri" w:eastAsia="Microsoft YaHei"/>
        <w:b/>
        <w:color w:val="5F6975"/>
        <w:sz w:val="18"/>
      </w:rPr>
      <w:t>ORCA–NMR 计算方案</w:t>
    </w:r>
    <w:r>
      <w:rPr>
        <w:rFonts w:ascii="Calibri" w:hAnsi="Calibri" w:eastAsia="Microsoft YaHei"/>
        <w:color w:val="5F6975"/>
        <w:sz w:val="18"/>
      </w:rPr>
      <w:tab/>
      <w:t>PRACTICAL_HIGH_ACCURACY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Caption">
    <w:name w:val="Compact Caption"/>
    <w:pPr>
      <w:spacing w:before="80" w:after="80"/>
    </w:pPr>
    <w:rPr>
      <w:rFonts w:ascii="Calibri" w:hAnsi="Calibri"/>
      <w:i/>
      <w:color w:val="5F697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faccts.de/docs/orca/6.1/tutorials/spec/NMR.html" TargetMode="External"/><Relationship Id="rId12" Type="http://schemas.openxmlformats.org/officeDocument/2006/relationships/hyperlink" Target="https://www.faccts.de/docs/orca/6.1/manual/contents/structurereactivity/goat.html" TargetMode="External"/><Relationship Id="rId13" Type="http://schemas.openxmlformats.org/officeDocument/2006/relationships/hyperlink" Target="https://www.faccts.de/docs/orca/6.1/manual/contents/essentialelements/parallel.html" TargetMode="External"/><Relationship Id="rId14" Type="http://schemas.openxmlformats.org/officeDocument/2006/relationships/hyperlink" Target="https://doi.org/10.1021/acs.jctc.1c00919" TargetMode="External"/><Relationship Id="rId15" Type="http://schemas.openxmlformats.org/officeDocument/2006/relationships/hyperlink" Target="https://doi.org/10.3390/molecules28062449" TargetMode="External"/><Relationship Id="rId16" Type="http://schemas.openxmlformats.org/officeDocument/2006/relationships/hyperlink" Target="https://doi.org/10.1021/acs.jctc.2c00933" TargetMode="External"/><Relationship Id="rId17" Type="http://schemas.openxmlformats.org/officeDocument/2006/relationships/hyperlink" Target="https://doi.org/10.1186/s13321-018-0305-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Figure 3 剩余51个化合物 ORCA–NMR 完整计算方案</dc:title>
  <dc:subject>PRACTICAL_HIGH_ACCURACY v1.0</dc:subject>
  <dc:creator>Qikai / Codex</dc:creator>
  <cp:keywords>ORCA 6.1.1, NMR, GOAT, PBE0, revDSD, HPC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