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82" w:lineRule="exact"/>
        <w:ind w:left="634" w:right="0" w:firstLine="0"/>
        <w:jc w:val="left"/>
        <w:rPr>
          <w:rFonts w:ascii="Times New Roman"/>
          <w:color w:val="000000"/>
          <w:spacing w:val="0"/>
          <w:sz w:val="32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89pt;margin-top:710.299987792969pt;z-index:-3;width:14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rFonts w:ascii="OUUDMB+" w:hAnsi="OUUDMB+" w:cs="OUUDMB+"/>
          <w:color w:val="000000"/>
          <w:spacing w:val="0"/>
          <w:sz w:val="32"/>
        </w:rPr>
        <w:t>基于检索增强生成的软件随机数发生器设计合规性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187" w:after="0" w:line="382" w:lineRule="exact"/>
        <w:ind w:left="3192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OUUDMB+" w:hAnsi="OUUDMB+" w:cs="OUUDMB+"/>
          <w:color w:val="000000"/>
          <w:spacing w:val="0"/>
          <w:sz w:val="32"/>
        </w:rPr>
        <w:t>智能判定研究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121" w:after="0" w:line="280" w:lineRule="exact"/>
        <w:ind w:left="602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VUCGL+FZDFS--GBK1-0" w:hAnsi="DVUCGL+FZDFS--GBK1-0" w:cs="DVUCGL+FZDFS--GBK1-0"/>
          <w:color w:val="000000"/>
          <w:spacing w:val="0"/>
          <w:sz w:val="24"/>
        </w:rPr>
        <w:t>检测室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4"/>
        </w:rPr>
        <w:t>顾伟平、刘兆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45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FTSNO+FZDHT--GBK1-0" w:hAnsi="UFTSNO+FZDHT--GBK1-0" w:cs="UFTSNO+FZDHT--GBK1-0"/>
          <w:color w:val="000000"/>
          <w:spacing w:val="0"/>
          <w:sz w:val="24"/>
        </w:rPr>
        <w:t>摘要：</w:t>
      </w:r>
      <w:r>
        <w:rPr>
          <w:rFonts w:ascii="DVUCGL+FZDFS--GBK1-0" w:hAnsi="DVUCGL+FZDFS--GBK1-0" w:cs="DVUCGL+FZDFS--GBK1-0"/>
          <w:color w:val="000000"/>
          <w:spacing w:val="-1"/>
          <w:sz w:val="24"/>
        </w:rPr>
        <w:t>商用密码产品检测是保障国家信息安全的重要环节，其中软件随机数发生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91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VUCGL+FZDFS--GBK1-0" w:hAnsi="DVUCGL+FZDFS--GBK1-0" w:cs="DVUCGL+FZDFS--GBK1-0"/>
          <w:color w:val="000000"/>
          <w:spacing w:val="-3"/>
          <w:sz w:val="24"/>
        </w:rPr>
        <w:t>器的原理性审查因高度依赖专家经验而成为检测工作的难点。针对该问题，我们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89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VUCGL+FZDFS--GBK1-0" w:hAnsi="DVUCGL+FZDFS--GBK1-0" w:cs="DVUCGL+FZDFS--GBK1-0"/>
          <w:color w:val="000000"/>
          <w:spacing w:val="-3"/>
          <w:sz w:val="24"/>
        </w:rPr>
        <w:t>探索了基于大模型的智能辅助检测方法，通过将检测标准与专家经验结构化，并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91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VUCGL+FZDFS--GBK1-0" w:hAnsi="DVUCGL+FZDFS--GBK1-0" w:cs="DVUCGL+FZDFS--GBK1-0"/>
          <w:color w:val="000000"/>
          <w:spacing w:val="-3"/>
          <w:sz w:val="24"/>
        </w:rPr>
        <w:t>利用检索增强生成技术融入大模型推理过程，实现对产品技术性安全问题的自动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89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VUCGL+FZDFS--GBK1-0" w:hAnsi="DVUCGL+FZDFS--GBK1-0" w:cs="DVUCGL+FZDFS--GBK1-0"/>
          <w:color w:val="000000"/>
          <w:spacing w:val="0"/>
          <w:sz w:val="24"/>
        </w:rPr>
        <w:t>化初筛与分析。最后，我们通过实验证明了方法有效性。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271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UFTSNO+FZDHT--GBK1-0" w:hAnsi="UFTSNO+FZDHT--GBK1-0" w:cs="UFTSNO+FZDHT--GBK1-0"/>
          <w:color w:val="000000"/>
          <w:spacing w:val="0"/>
          <w:sz w:val="24"/>
        </w:rPr>
        <w:t>关键词</w:t>
      </w:r>
      <w:r>
        <w:rPr>
          <w:rFonts w:ascii="DejaVu Sans"/>
          <w:color w:val="000000"/>
          <w:spacing w:val="44"/>
          <w:sz w:val="24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4"/>
        </w:rPr>
        <w:t>大模型，随机数产品，密码检测，检索增强生成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405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TSNO+FZDHT--GBK1-0" w:hAnsi="UFTSNO+FZDHT--GBK1-0" w:cs="UFTSNO+FZDHT--GBK1-0"/>
          <w:color w:val="000000"/>
          <w:spacing w:val="0"/>
          <w:sz w:val="28"/>
        </w:rPr>
        <w:t>一、引言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《密码法》下的商用密码产品检测是我国信息化社会中保障信息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安全的关键环节，是构筑国家信息安全长城的重要基石。随机数是密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码安全的“源头活水”，密码产品检测常将其作为安全性检测的重中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之重。但检测人员在软件随机数发生器的原理性审查过程中，由于该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过程高度依赖检测人员具有丰富的知识储备和严谨规范的分析手段，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导致其成为密码产品检测工作中核心部件安全性检测的难点，使得检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测周期长、投入成本高。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26"/>
          <w:sz w:val="28"/>
        </w:rPr>
        <w:t>近年来，虽然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GPT</w:t>
      </w:r>
      <w:r>
        <w:rPr>
          <w:rFonts w:ascii="DVUCGL+FZDFS--GBK1-0" w:hAnsi="DVUCGL+FZDFS--GBK1-0" w:cs="DVUCGL+FZDFS--GBK1-0"/>
          <w:color w:val="000000"/>
          <w:spacing w:val="27"/>
          <w:sz w:val="28"/>
        </w:rPr>
        <w:t>、</w:t>
      </w:r>
      <w:r>
        <w:rPr>
          <w:rFonts w:ascii="DWKJJE+TimesNewRomanPSMT"/>
          <w:color w:val="000000"/>
          <w:spacing w:val="3"/>
          <w:sz w:val="28"/>
        </w:rPr>
        <w:t>DeepSeek</w:t>
      </w:r>
      <w:r>
        <w:rPr>
          <w:rFonts w:ascii="DVUCGL+FZDFS--GBK1-0" w:hAnsi="DVUCGL+FZDFS--GBK1-0" w:cs="DVUCGL+FZDFS--GBK1-0"/>
          <w:color w:val="000000"/>
          <w:spacing w:val="25"/>
          <w:sz w:val="28"/>
        </w:rPr>
        <w:t>、</w:t>
      </w:r>
      <w:r>
        <w:rPr>
          <w:rFonts w:ascii="DWKJJE+TimesNewRomanPSMT"/>
          <w:color w:val="000000"/>
          <w:spacing w:val="-1"/>
          <w:sz w:val="28"/>
        </w:rPr>
        <w:t>GLM</w:t>
      </w:r>
      <w:r>
        <w:rPr>
          <w:rFonts w:ascii="DejaVu Sans"/>
          <w:color w:val="000000"/>
          <w:spacing w:val="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27"/>
          <w:sz w:val="28"/>
        </w:rPr>
        <w:t>等大语言模型（</w:t>
      </w:r>
      <w:r>
        <w:rPr>
          <w:rFonts w:ascii="DWKJJE+TimesNewRomanPSMT"/>
          <w:color w:val="000000"/>
          <w:spacing w:val="-2"/>
          <w:sz w:val="28"/>
        </w:rPr>
        <w:t>Large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7" w:after="0" w:line="34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0"/>
          <w:sz w:val="28"/>
        </w:rPr>
        <w:t>Language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Model</w:t>
      </w:r>
      <w:r>
        <w:rPr>
          <w:rFonts w:ascii="DVUCGL+FZDFS--GBK1-0" w:hAnsi="DVUCGL+FZDFS--GBK1-0" w:cs="DVUCGL+FZDFS--GBK1-0"/>
          <w:color w:val="000000"/>
          <w:spacing w:val="-5"/>
          <w:sz w:val="28"/>
        </w:rPr>
        <w:t>，以下简称</w:t>
      </w:r>
      <w:r>
        <w:rPr>
          <w:rFonts w:ascii="DejaVu Sans"/>
          <w:color w:val="000000"/>
          <w:spacing w:val="-14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LLM</w:t>
      </w:r>
      <w:r>
        <w:rPr>
          <w:rFonts w:ascii="DVUCGL+FZDFS--GBK1-0" w:hAnsi="DVUCGL+FZDFS--GBK1-0" w:cs="DVUCGL+FZDFS--GBK1-0"/>
          <w:color w:val="000000"/>
          <w:spacing w:val="-23"/>
          <w:sz w:val="28"/>
        </w:rPr>
        <w:t>）</w:t>
      </w:r>
      <w:r>
        <w:rPr>
          <w:rFonts w:ascii="DWKJJE+TimesNewRomanPSMT"/>
          <w:color w:val="000000"/>
          <w:spacing w:val="0"/>
          <w:sz w:val="27"/>
          <w:vertAlign w:val="superscript"/>
        </w:rPr>
        <w:t>[1]</w:t>
      </w:r>
      <w:r>
        <w:rPr>
          <w:rFonts w:ascii="DVUCGL+FZDFS--GBK1-0" w:hAnsi="DVUCGL+FZDFS--GBK1-0" w:cs="DVUCGL+FZDFS--GBK1-0"/>
          <w:color w:val="000000"/>
          <w:spacing w:val="-2"/>
          <w:sz w:val="28"/>
        </w:rPr>
        <w:t>持续取得突破性进展，展现出强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大的通用能力，但由于缺乏商用密码等特定领域的专业知识，难以直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7" w:after="0" w:line="34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接应用于软件随机数发生器等核心部件的原理性审查工作中</w:t>
      </w:r>
      <w:r>
        <w:rPr>
          <w:rFonts w:ascii="DWKJJE+TimesNewRomanPSMT"/>
          <w:color w:val="000000"/>
          <w:spacing w:val="0"/>
          <w:sz w:val="27"/>
          <w:vertAlign w:val="superscript"/>
        </w:rPr>
        <w:t>[2]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本文以软件随机数发生器原理性审查方法作为实践案例，探索使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447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WKJJE+TimesNewRomanPS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68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Minaee,</w:t>
      </w:r>
      <w:r>
        <w:rPr>
          <w:rFonts w:ascii="DejaVu Sans"/>
          <w:color w:val="000000"/>
          <w:spacing w:val="15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S.,</w:t>
      </w:r>
      <w:r>
        <w:rPr>
          <w:rFonts w:ascii="DejaVu Sans"/>
          <w:color w:val="000000"/>
          <w:spacing w:val="18"/>
          <w:sz w:val="21"/>
        </w:rPr>
        <w:t xml:space="preserve"> </w:t>
      </w:r>
      <w:r>
        <w:rPr>
          <w:rFonts w:ascii="DWKJJE+TimesNewRomanPSMT"/>
          <w:color w:val="000000"/>
          <w:spacing w:val="-2"/>
          <w:sz w:val="21"/>
        </w:rPr>
        <w:t>Mikolov,</w:t>
      </w:r>
      <w:r>
        <w:rPr>
          <w:rFonts w:ascii="DejaVu Sans"/>
          <w:color w:val="000000"/>
          <w:spacing w:val="15"/>
          <w:sz w:val="21"/>
        </w:rPr>
        <w:t xml:space="preserve"> </w:t>
      </w:r>
      <w:r>
        <w:rPr>
          <w:rFonts w:ascii="DWKJJE+TimesNewRomanPSMT"/>
          <w:color w:val="000000"/>
          <w:spacing w:val="-9"/>
          <w:sz w:val="21"/>
        </w:rPr>
        <w:t>T.,</w:t>
      </w:r>
      <w:r>
        <w:rPr>
          <w:rFonts w:ascii="DejaVu Sans"/>
          <w:color w:val="000000"/>
          <w:spacing w:val="29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Nikzad,</w:t>
      </w:r>
      <w:r>
        <w:rPr>
          <w:rFonts w:ascii="DejaVu Sans"/>
          <w:color w:val="000000"/>
          <w:spacing w:val="18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N.,</w:t>
      </w:r>
      <w:r>
        <w:rPr>
          <w:rFonts w:ascii="DejaVu Sans"/>
          <w:color w:val="000000"/>
          <w:spacing w:val="19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Chenaghlu,</w:t>
      </w:r>
      <w:r>
        <w:rPr>
          <w:rFonts w:ascii="DejaVu Sans"/>
          <w:color w:val="000000"/>
          <w:spacing w:val="18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M.,</w:t>
      </w:r>
      <w:r>
        <w:rPr>
          <w:rFonts w:ascii="DejaVu Sans"/>
          <w:color w:val="000000"/>
          <w:spacing w:val="18"/>
          <w:sz w:val="21"/>
        </w:rPr>
        <w:t xml:space="preserve"> </w:t>
      </w:r>
      <w:r>
        <w:rPr>
          <w:rFonts w:ascii="DWKJJE+TimesNewRomanPSMT"/>
          <w:color w:val="000000"/>
          <w:spacing w:val="-2"/>
          <w:sz w:val="21"/>
        </w:rPr>
        <w:t>Socher,</w:t>
      </w:r>
      <w:r>
        <w:rPr>
          <w:rFonts w:ascii="DejaVu Sans"/>
          <w:color w:val="000000"/>
          <w:spacing w:val="19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R.,</w:t>
      </w:r>
      <w:r>
        <w:rPr>
          <w:rFonts w:ascii="DejaVu Sans"/>
          <w:color w:val="000000"/>
          <w:spacing w:val="6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Amatriain,</w:t>
      </w:r>
      <w:r>
        <w:rPr>
          <w:rFonts w:ascii="DejaVu Sans"/>
          <w:color w:val="000000"/>
          <w:spacing w:val="15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X.</w:t>
      </w:r>
      <w:r>
        <w:rPr>
          <w:rFonts w:ascii="DejaVu Sans"/>
          <w:color w:val="000000"/>
          <w:spacing w:val="18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and</w:t>
      </w:r>
      <w:r>
        <w:rPr>
          <w:rFonts w:ascii="DejaVu Sans"/>
          <w:color w:val="000000"/>
          <w:spacing w:val="19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Gao,</w:t>
      </w:r>
      <w:r>
        <w:rPr>
          <w:rFonts w:ascii="DejaVu Sans"/>
          <w:color w:val="000000"/>
          <w:spacing w:val="18"/>
          <w:sz w:val="21"/>
        </w:rPr>
        <w:t xml:space="preserve"> </w:t>
      </w:r>
      <w:r>
        <w:rPr>
          <w:rFonts w:ascii="DWKJJE+TimesNewRomanPSMT" w:hAnsi="DWKJJE+TimesNewRomanPSMT" w:cs="DWKJJE+TimesNewRomanPSMT"/>
          <w:color w:val="000000"/>
          <w:spacing w:val="-1"/>
          <w:sz w:val="21"/>
        </w:rPr>
        <w:t>J.,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WKJJE+TimesNewRomanPSMT"/>
          <w:color w:val="000000"/>
          <w:spacing w:val="-1"/>
          <w:sz w:val="21"/>
        </w:rPr>
        <w:t>2024.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Large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language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models:</w:t>
      </w:r>
      <w:r>
        <w:rPr>
          <w:rFonts w:ascii="DejaVu Sans"/>
          <w:color w:val="000000"/>
          <w:spacing w:val="-22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A</w:t>
      </w:r>
      <w:r>
        <w:rPr>
          <w:rFonts w:ascii="DejaVu Sans"/>
          <w:color w:val="000000"/>
          <w:spacing w:val="-26"/>
          <w:sz w:val="21"/>
        </w:rPr>
        <w:t xml:space="preserve"> </w:t>
      </w:r>
      <w:r>
        <w:rPr>
          <w:rFonts w:ascii="DWKJJE+TimesNewRomanPSMT"/>
          <w:color w:val="000000"/>
          <w:spacing w:val="-3"/>
          <w:sz w:val="21"/>
        </w:rPr>
        <w:t>survey.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arXiv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preprint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arXiv:2402.06196.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288" w:lineRule="exact"/>
        <w:ind w:left="0" w:right="1652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WKJJE+TimesNewRomanPS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49"/>
          <w:sz w:val="21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10"/>
          <w:sz w:val="21"/>
        </w:rPr>
        <w:t>籍欣萌</w:t>
      </w:r>
      <w:r>
        <w:rPr>
          <w:rFonts w:ascii="DWKJJE+TimesNewRomanPSMT"/>
          <w:color w:val="000000"/>
          <w:spacing w:val="10"/>
          <w:sz w:val="21"/>
        </w:rPr>
        <w:t>,</w:t>
      </w:r>
      <w:r>
        <w:rPr>
          <w:rFonts w:ascii="DVUCGL+FZDFS--GBK1-0" w:hAnsi="DVUCGL+FZDFS--GBK1-0" w:cs="DVUCGL+FZDFS--GBK1-0"/>
          <w:color w:val="000000"/>
          <w:spacing w:val="11"/>
          <w:sz w:val="21"/>
        </w:rPr>
        <w:t>昝红英</w:t>
      </w:r>
      <w:r>
        <w:rPr>
          <w:rFonts w:ascii="DWKJJE+TimesNewRomanPSMT"/>
          <w:color w:val="000000"/>
          <w:spacing w:val="10"/>
          <w:sz w:val="21"/>
        </w:rPr>
        <w:t>,</w:t>
      </w:r>
      <w:r>
        <w:rPr>
          <w:rFonts w:ascii="DVUCGL+FZDFS--GBK1-0" w:hAnsi="DVUCGL+FZDFS--GBK1-0" w:cs="DVUCGL+FZDFS--GBK1-0"/>
          <w:color w:val="000000"/>
          <w:spacing w:val="11"/>
          <w:sz w:val="21"/>
        </w:rPr>
        <w:t>崔婷婷</w:t>
      </w:r>
      <w:r>
        <w:rPr>
          <w:rFonts w:ascii="DWKJJE+TimesNewRomanPSMT"/>
          <w:color w:val="000000"/>
          <w:spacing w:val="10"/>
          <w:sz w:val="21"/>
        </w:rPr>
        <w:t>,</w:t>
      </w:r>
      <w:r>
        <w:rPr>
          <w:rFonts w:ascii="DVUCGL+FZDFS--GBK1-0" w:hAnsi="DVUCGL+FZDFS--GBK1-0" w:cs="DVUCGL+FZDFS--GBK1-0"/>
          <w:color w:val="000000"/>
          <w:spacing w:val="11"/>
          <w:sz w:val="21"/>
        </w:rPr>
        <w:t>等</w:t>
      </w:r>
      <w:r>
        <w:rPr>
          <w:rFonts w:ascii="DWKJJE+TimesNewRomanPSMT"/>
          <w:color w:val="000000"/>
          <w:spacing w:val="10"/>
          <w:sz w:val="21"/>
        </w:rPr>
        <w:t>.</w:t>
      </w:r>
      <w:r>
        <w:rPr>
          <w:rFonts w:ascii="DVUCGL+FZDFS--GBK1-0" w:hAnsi="DVUCGL+FZDFS--GBK1-0" w:cs="DVUCGL+FZDFS--GBK1-0"/>
          <w:color w:val="000000"/>
          <w:spacing w:val="11"/>
          <w:sz w:val="21"/>
        </w:rPr>
        <w:t>大模型在垂直领域应用的现状与挑战</w:t>
      </w:r>
      <w:r>
        <w:rPr>
          <w:rFonts w:ascii="DWKJJE+TimesNewRomanPSMT"/>
          <w:color w:val="000000"/>
          <w:spacing w:val="3"/>
          <w:sz w:val="21"/>
        </w:rPr>
        <w:t>[J].</w:t>
      </w:r>
      <w:r>
        <w:rPr>
          <w:rFonts w:ascii="DVUCGL+FZDFS--GBK1-0" w:hAnsi="DVUCGL+FZDFS--GBK1-0" w:cs="DVUCGL+FZDFS--GBK1-0"/>
          <w:color w:val="000000"/>
          <w:spacing w:val="10"/>
          <w:sz w:val="21"/>
        </w:rPr>
        <w:t>计算机工程与应用</w:t>
      </w:r>
      <w:r>
        <w:rPr>
          <w:rFonts w:ascii="DWKJJE+TimesNewRomanPSMT"/>
          <w:color w:val="000000"/>
          <w:spacing w:val="0"/>
          <w:sz w:val="21"/>
        </w:rPr>
        <w:t xml:space="preserve">, </w:t>
      </w:r>
      <w:r>
        <w:rPr>
          <w:rFonts w:ascii="DWKJJE+TimesNewRomanPSMT"/>
          <w:color w:val="000000"/>
          <w:spacing w:val="-1"/>
          <w:sz w:val="21"/>
        </w:rPr>
        <w:t>2025,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61(12):1-11.DOI:10.3778/j.issn.1002-8331.2409-0181.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03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" style="position:absolute;margin-left:89pt;margin-top:725.700012207031pt;z-index:-7;width:14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DVUCGL+FZDFS--GBK1-0" w:hAnsi="DVUCGL+FZDFS--GBK1-0" w:cs="DVUCGL+FZDFS--GBK1-0"/>
          <w:color w:val="000000"/>
          <w:spacing w:val="-5"/>
          <w:sz w:val="28"/>
        </w:rPr>
        <w:t>用检索增强生成技术（</w:t>
      </w:r>
      <w:r>
        <w:rPr>
          <w:rFonts w:ascii="DWKJJE+TimesNewRomanPSMT"/>
          <w:color w:val="000000"/>
          <w:spacing w:val="0"/>
          <w:sz w:val="28"/>
        </w:rPr>
        <w:t>Retrieval-augmented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Generation</w:t>
      </w:r>
      <w:r>
        <w:rPr>
          <w:rFonts w:ascii="DVUCGL+FZDFS--GBK1-0" w:hAnsi="DVUCGL+FZDFS--GBK1-0" w:cs="DVUCGL+FZDFS--GBK1-0"/>
          <w:color w:val="000000"/>
          <w:spacing w:val="-16"/>
          <w:sz w:val="28"/>
        </w:rPr>
        <w:t>，简称</w:t>
      </w:r>
      <w:r>
        <w:rPr>
          <w:rFonts w:ascii="DejaVu Sans"/>
          <w:color w:val="000000"/>
          <w:spacing w:val="-5"/>
          <w:sz w:val="28"/>
        </w:rPr>
        <w:t xml:space="preserve"> </w:t>
      </w:r>
      <w:r>
        <w:rPr>
          <w:rFonts w:ascii="DWKJJE+TimesNewRomanPSMT"/>
          <w:color w:val="000000"/>
          <w:spacing w:val="1"/>
          <w:sz w:val="28"/>
        </w:rPr>
        <w:t>RAG</w:t>
      </w:r>
      <w:r>
        <w:rPr>
          <w:rFonts w:ascii="DVUCGL+FZDFS--GBK1-0" w:hAnsi="DVUCGL+FZDFS--GBK1-0" w:cs="DVUCGL+FZDFS--GBK1-0"/>
          <w:color w:val="000000"/>
          <w:spacing w:val="-50"/>
          <w:sz w:val="28"/>
        </w:rPr>
        <w:t>）</w:t>
      </w:r>
      <w:r>
        <w:rPr>
          <w:rFonts w:ascii="DWKJJE+TimesNewRomanPSMT"/>
          <w:color w:val="000000"/>
          <w:spacing w:val="-1"/>
          <w:sz w:val="27"/>
          <w:vertAlign w:val="superscript"/>
        </w:rPr>
        <w:t>[3]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来辅助检测的可行路径。主要贡献包括：抽象化了检测逻辑与规则，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构建结构化的专家知识库；设计了思维链推理策略及提示词示例，可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更好地应对单个检测任务中可能涉及到多条复杂逻辑与规则的情况；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构建基于检索增强生成技术的智能辅助检测框架，使用专家知识库来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增强大模型进而对送检材料进行智能初筛与安全性分析。实践表明，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智能辅助检测框架有望成为检测人员的“智能增强”工具，可显著提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升检测效率与规范性，为密码产品检测的智能化升级提供有益参考。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6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TSNO+FZDHT--GBK1-0" w:hAnsi="UFTSNO+FZDHT--GBK1-0" w:cs="UFTSNO+FZDHT--GBK1-0"/>
          <w:color w:val="000000"/>
          <w:spacing w:val="0"/>
          <w:sz w:val="28"/>
        </w:rPr>
        <w:t>二、检测要点与检测难点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软件随机数发生器是软件密码模块（或混合密码模块的软件部件）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中的随机数发生器部件，可以单独作为软件密码模块，也可以作为软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件密码模块（或混合密码模块的软件部件）的一部分，其生成随机数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的质量直接关系到现已有的许多软件密码模块的密钥安全性。本节就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软件随机数发生器的检测要点和存在的问题难点进行分析介绍。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（一）检测要点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6"/>
          <w:sz w:val="28"/>
        </w:rPr>
        <w:t>根据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GM/T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0105-2021</w:t>
      </w:r>
      <w:r>
        <w:rPr>
          <w:rFonts w:ascii="DVUCGL+FZDFS--GBK1-0" w:hAnsi="DVUCGL+FZDFS--GBK1-0" w:cs="DVUCGL+FZDFS--GBK1-0"/>
          <w:color w:val="000000"/>
          <w:spacing w:val="5"/>
          <w:sz w:val="28"/>
        </w:rPr>
        <w:t>《软件随机数发生器设计指南》，软件随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机数发生器的基本模型主要包括熵源、熵估计、熵池、确定性随机数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发生器（</w:t>
      </w:r>
      <w:r>
        <w:rPr>
          <w:rFonts w:ascii="DWKJJE+TimesNewRomanPSMT"/>
          <w:color w:val="000000"/>
          <w:spacing w:val="0"/>
          <w:sz w:val="28"/>
        </w:rPr>
        <w:t>Deterministic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Random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Number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Generator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，以下简称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DRNG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1"/>
          <w:sz w:val="28"/>
        </w:rPr>
        <w:t>和健康测试等部分，可见图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1</w:t>
      </w:r>
      <w:r>
        <w:rPr>
          <w:rFonts w:ascii="DVUCGL+FZDFS--GBK1-0" w:hAnsi="DVUCGL+FZDFS--GBK1-0" w:cs="DVUCGL+FZDFS--GBK1-0"/>
          <w:color w:val="000000"/>
          <w:spacing w:val="-6"/>
          <w:sz w:val="28"/>
        </w:rPr>
        <w:t>。其中，</w:t>
      </w:r>
      <w:r>
        <w:rPr>
          <w:rFonts w:ascii="DWKJJE+TimesNewRomanPSMT"/>
          <w:color w:val="000000"/>
          <w:spacing w:val="0"/>
          <w:sz w:val="28"/>
        </w:rPr>
        <w:t>DRNG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主要由内部状态、初始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化函数、重播种函数、输出函数、自测试等基本部件组成。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1874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WKJJE+TimesNewRomanPSMT"/>
          <w:color w:val="000000"/>
          <w:spacing w:val="-1"/>
          <w:sz w:val="21"/>
        </w:rPr>
        <w:t>[3]</w:t>
      </w:r>
      <w:r>
        <w:rPr>
          <w:rFonts w:ascii="DejaVu Sans"/>
          <w:color w:val="000000"/>
          <w:spacing w:val="164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Lewis,</w:t>
      </w:r>
      <w:r>
        <w:rPr>
          <w:rFonts w:ascii="DejaVu Sans"/>
          <w:color w:val="000000"/>
          <w:spacing w:val="-4"/>
          <w:sz w:val="21"/>
        </w:rPr>
        <w:t xml:space="preserve"> </w:t>
      </w:r>
      <w:r>
        <w:rPr>
          <w:rFonts w:ascii="DWKJJE+TimesNewRomanPSMT"/>
          <w:color w:val="000000"/>
          <w:spacing w:val="-8"/>
          <w:sz w:val="21"/>
        </w:rPr>
        <w:t>P.,</w:t>
      </w:r>
      <w:r>
        <w:rPr>
          <w:rFonts w:ascii="DejaVu Sans"/>
          <w:color w:val="000000"/>
          <w:spacing w:val="7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Perez,</w:t>
      </w:r>
      <w:r>
        <w:rPr>
          <w:rFonts w:ascii="DejaVu Sans"/>
          <w:color w:val="000000"/>
          <w:spacing w:val="-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E.,</w:t>
      </w:r>
      <w:r>
        <w:rPr>
          <w:rFonts w:ascii="DejaVu Sans"/>
          <w:color w:val="000000"/>
          <w:spacing w:val="-4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Piktus,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A.,</w:t>
      </w:r>
      <w:r>
        <w:rPr>
          <w:rFonts w:ascii="DejaVu Sans"/>
          <w:color w:val="000000"/>
          <w:spacing w:val="-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Petroni,</w:t>
      </w:r>
      <w:r>
        <w:rPr>
          <w:rFonts w:ascii="DejaVu Sans"/>
          <w:color w:val="000000"/>
          <w:spacing w:val="-1"/>
          <w:sz w:val="21"/>
        </w:rPr>
        <w:t xml:space="preserve"> </w:t>
      </w:r>
      <w:r>
        <w:rPr>
          <w:rFonts w:ascii="DWKJJE+TimesNewRomanPSMT"/>
          <w:color w:val="000000"/>
          <w:spacing w:val="-9"/>
          <w:sz w:val="21"/>
        </w:rPr>
        <w:t>F.,</w:t>
      </w:r>
      <w:r>
        <w:rPr>
          <w:rFonts w:ascii="DejaVu Sans"/>
          <w:color w:val="000000"/>
          <w:spacing w:val="5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Karpukhin,</w:t>
      </w:r>
      <w:r>
        <w:rPr>
          <w:rFonts w:ascii="DejaVu Sans"/>
          <w:color w:val="000000"/>
          <w:spacing w:val="-9"/>
          <w:sz w:val="21"/>
        </w:rPr>
        <w:t xml:space="preserve"> </w:t>
      </w:r>
      <w:r>
        <w:rPr>
          <w:rFonts w:ascii="DWKJJE+TimesNewRomanPSMT"/>
          <w:color w:val="000000"/>
          <w:spacing w:val="-10"/>
          <w:sz w:val="21"/>
        </w:rPr>
        <w:t>V.,</w:t>
      </w:r>
      <w:r>
        <w:rPr>
          <w:rFonts w:ascii="DejaVu Sans"/>
          <w:color w:val="000000"/>
          <w:spacing w:val="6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Goyal,</w:t>
      </w:r>
      <w:r>
        <w:rPr>
          <w:rFonts w:ascii="DejaVu Sans"/>
          <w:color w:val="000000"/>
          <w:spacing w:val="-1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N.,</w:t>
      </w:r>
      <w:r>
        <w:rPr>
          <w:rFonts w:ascii="DejaVu Sans"/>
          <w:color w:val="000000"/>
          <w:spacing w:val="-6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...</w:t>
      </w:r>
      <w:r>
        <w:rPr>
          <w:rFonts w:ascii="DejaVu Sans"/>
          <w:color w:val="000000"/>
          <w:spacing w:val="-1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&amp;</w:t>
      </w:r>
      <w:r>
        <w:rPr>
          <w:rFonts w:ascii="DejaVu Sans"/>
          <w:color w:val="000000"/>
          <w:spacing w:val="-7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Kiela,</w:t>
      </w:r>
      <w:r>
        <w:rPr>
          <w:rFonts w:ascii="DejaVu Sans"/>
          <w:color w:val="000000"/>
          <w:spacing w:val="-1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D.</w:t>
      </w:r>
      <w:r>
        <w:rPr>
          <w:rFonts w:ascii="DejaVu Sans"/>
          <w:color w:val="000000"/>
          <w:spacing w:val="-6"/>
          <w:sz w:val="21"/>
        </w:rPr>
        <w:t xml:space="preserve"> </w:t>
      </w:r>
      <w:r>
        <w:rPr>
          <w:rFonts w:ascii="DWKJJE+TimesNewRomanPSMT" w:hAnsi="DWKJJE+TimesNewRomanPSMT" w:cs="DWKJJE+TimesNewRomanPSMT"/>
          <w:color w:val="000000"/>
          <w:spacing w:val="0"/>
          <w:sz w:val="21"/>
        </w:rPr>
        <w:t>(2020).</w:t>
      </w:r>
      <w:r>
        <w:rPr>
          <w:rFonts w:ascii="DWKJJE+TimesNewRomanPSMT" w:hAnsi="DWKJJE+TimesNewRomanPSMT" w:cs="DWKJJE+TimesNewRomanPSMT"/>
          <w:color w:val="000000"/>
          <w:spacing w:val="0"/>
          <w:sz w:val="21"/>
        </w:rPr>
        <w:cr>""</w:cr>
      </w:r>
      <w:r>
        <w:rPr>
          <w:rFonts w:ascii="DWKJJE+TimesNewRomanPSMT"/>
          <w:color w:val="000000"/>
          <w:spacing w:val="0"/>
          <w:sz w:val="21"/>
        </w:rPr>
        <w:t>Retrieval-augmented</w:t>
      </w:r>
      <w:r>
        <w:rPr>
          <w:rFonts w:ascii="DejaVu Sans"/>
          <w:color w:val="000000"/>
          <w:spacing w:val="112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generation</w:t>
      </w:r>
      <w:r>
        <w:rPr>
          <w:rFonts w:ascii="DejaVu Sans"/>
          <w:color w:val="000000"/>
          <w:spacing w:val="112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for</w:t>
      </w:r>
      <w:r>
        <w:rPr>
          <w:rFonts w:ascii="DejaVu Sans"/>
          <w:color w:val="000000"/>
          <w:spacing w:val="116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knowledge-intensive</w:t>
      </w:r>
      <w:r>
        <w:rPr>
          <w:rFonts w:ascii="DejaVu Sans"/>
          <w:color w:val="000000"/>
          <w:spacing w:val="114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nlp</w:t>
      </w:r>
      <w:r>
        <w:rPr>
          <w:rFonts w:ascii="DejaVu Sans"/>
          <w:color w:val="000000"/>
          <w:spacing w:val="11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tasks.</w:t>
      </w:r>
      <w:r>
        <w:rPr>
          <w:rFonts w:ascii="DejaVu Sans"/>
          <w:color w:val="000000"/>
          <w:spacing w:val="102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Advances</w:t>
      </w:r>
      <w:r>
        <w:rPr>
          <w:rFonts w:ascii="DejaVu Sans"/>
          <w:color w:val="000000"/>
          <w:spacing w:val="114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in</w:t>
      </w:r>
      <w:r>
        <w:rPr>
          <w:rFonts w:ascii="DejaVu Sans"/>
          <w:color w:val="000000"/>
          <w:spacing w:val="112"/>
          <w:sz w:val="21"/>
        </w:rPr>
        <w:t xml:space="preserve"> </w:t>
      </w:r>
      <w:r>
        <w:rPr>
          <w:rFonts w:ascii="DWKJJE+TimesNewRomanPSMT" w:hAnsi="DWKJJE+TimesNewRomanPSMT" w:cs="DWKJJE+TimesNewRomanPSMT"/>
          <w:color w:val="000000"/>
          <w:spacing w:val="0"/>
          <w:sz w:val="21"/>
        </w:rPr>
        <w:t>neural</w:t>
      </w:r>
      <w:r>
        <w:rPr>
          <w:rFonts w:ascii="DWKJJE+TimesNewRomanPSMT" w:hAnsi="DWKJJE+TimesNewRomanPSMT" w:cs="DWKJJE+TimesNewRomanPSMT"/>
          <w:color w:val="000000"/>
          <w:spacing w:val="0"/>
          <w:sz w:val="21"/>
        </w:rPr>
        <w:cr>""</w:cr>
      </w:r>
      <w:r>
        <w:rPr>
          <w:rFonts w:ascii="DWKJJE+TimesNewRomanPSMT"/>
          <w:color w:val="000000"/>
          <w:spacing w:val="0"/>
          <w:sz w:val="21"/>
        </w:rPr>
        <w:t>information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processing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systems,</w:t>
      </w:r>
      <w:r>
        <w:rPr>
          <w:rFonts w:ascii="DejaVu Sans"/>
          <w:color w:val="000000"/>
          <w:spacing w:val="-11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33,</w:t>
      </w:r>
      <w:r>
        <w:rPr>
          <w:rFonts w:ascii="DejaVu Sans"/>
          <w:color w:val="000000"/>
          <w:spacing w:val="-13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9459-9474.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25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2551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2" style="position:absolute;margin-left:163.899993896484pt;margin-top:75.25pt;z-index:-11;width:266.5pt;height:257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UFTSNO+FZDHT--GBK1-0" w:hAnsi="UFTSNO+FZDHT--GBK1-0" w:cs="UFTSNO+FZDHT--GBK1-0"/>
          <w:color w:val="000000"/>
          <w:spacing w:val="0"/>
          <w:sz w:val="21"/>
        </w:rPr>
        <w:t>图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1</w:t>
      </w:r>
      <w:r>
        <w:rPr>
          <w:rFonts w:ascii="DejaVu Sans"/>
          <w:color w:val="000000"/>
          <w:spacing w:val="39"/>
          <w:sz w:val="21"/>
        </w:rPr>
        <w:t xml:space="preserve"> </w:t>
      </w:r>
      <w:r>
        <w:rPr>
          <w:rFonts w:ascii="UFTSNO+FZDHT--GBK1-0" w:hAnsi="UFTSNO+FZDHT--GBK1-0" w:cs="UFTSNO+FZDHT--GBK1-0"/>
          <w:color w:val="000000"/>
          <w:spacing w:val="0"/>
          <w:sz w:val="21"/>
        </w:rPr>
        <w:t>软件随机数发生器的基本模型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软件随机数发生器的检测要点包含以下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6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个关键内容：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7" w:after="0" w:line="34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ejaVu Sans"/>
          <w:color w:val="000000"/>
          <w:spacing w:val="7"/>
          <w:sz w:val="28"/>
        </w:rPr>
        <w:t>1.</w:t>
      </w:r>
      <w:r>
        <w:rPr>
          <w:rFonts w:ascii="DVUCGL+FZDFS--GBK1-0" w:hAnsi="DVUCGL+FZDFS--GBK1-0" w:cs="DVUCGL+FZDFS--GBK1-0"/>
          <w:color w:val="000000"/>
          <w:spacing w:val="7"/>
          <w:sz w:val="28"/>
        </w:rPr>
        <w:t>软件随机数发生器组成需审查架构组成的完整性和模块间功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能的协调性；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7" w:after="0" w:line="34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ejaVu Sans"/>
          <w:color w:val="000000"/>
          <w:spacing w:val="7"/>
          <w:sz w:val="28"/>
        </w:rPr>
        <w:t>2.</w:t>
      </w:r>
      <w:r>
        <w:rPr>
          <w:rFonts w:ascii="DVUCGL+FZDFS--GBK1-0" w:hAnsi="DVUCGL+FZDFS--GBK1-0" w:cs="DVUCGL+FZDFS--GBK1-0"/>
          <w:color w:val="000000"/>
          <w:spacing w:val="-3"/>
          <w:sz w:val="28"/>
        </w:rPr>
        <w:t>熵源作为随机数生成的根源，需审查其多样性、随机性和极端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条件下的熵输入充足性；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7" w:after="0" w:line="34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ejaVu Sans"/>
          <w:color w:val="000000"/>
          <w:spacing w:val="7"/>
          <w:sz w:val="28"/>
        </w:rPr>
        <w:t>3.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熵池需审查熵池大小、熵池结构和熵数据更新方案的有效性；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9" w:after="0" w:line="34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ejaVu Sans"/>
          <w:color w:val="000000"/>
          <w:spacing w:val="7"/>
          <w:sz w:val="28"/>
        </w:rPr>
        <w:t>4.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熵估计需审查熵估计方法的科学性；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7" w:after="0" w:line="34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ejaVu Sans"/>
          <w:color w:val="000000"/>
          <w:spacing w:val="7"/>
          <w:sz w:val="28"/>
        </w:rPr>
        <w:t>5.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健康测试需审查健康测试方法的科学性；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19" w:after="0" w:line="34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ejaVu Sans"/>
          <w:color w:val="000000"/>
          <w:spacing w:val="7"/>
          <w:sz w:val="28"/>
        </w:rPr>
        <w:t>6.</w:t>
      </w:r>
      <w:r>
        <w:rPr>
          <w:rFonts w:ascii="DWKJJE+TimesNewRomanPSMT"/>
          <w:color w:val="000000"/>
          <w:spacing w:val="0"/>
          <w:sz w:val="28"/>
        </w:rPr>
        <w:t>DRNG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需审查实现逻辑，并对输出结果进行统计随机性检验。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（二）检测难点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在实际检测中，如何高效、准确且无遗漏地完成从文档审查到技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8"/>
          <w:sz w:val="28"/>
        </w:rPr>
        <w:t>术验证的全流程，是提升检测效能的关键瓶颈，主要存在以下个难点：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1.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对送检单位提供的设计文档、源码说明等材料进行标准符合性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及安全性审查高度依赖检测人员的经验。一份软件随机数发生器材料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6766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4" w:id="br4"/>
      </w:r>
      <w:r>
        <w:bookmarkEnd w:id="br4"/>
      </w:r>
      <w:r>
        <w:rPr>
          <w:rFonts w:ascii="DVUCGL+FZDFS--GBK1-0" w:hAnsi="DVUCGL+FZDFS--GBK1-0" w:cs="DVUCGL+FZDFS--GBK1-0"/>
          <w:color w:val="000000"/>
          <w:spacing w:val="-3"/>
          <w:sz w:val="28"/>
        </w:rPr>
        <w:t>可能长达数百页，其中关键信息往往分散在不同章节。反复翻阅、交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叉比对的过程不仅耗时费力，更易导致关键信息遗漏。例如，在审查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12"/>
          <w:sz w:val="28"/>
        </w:rPr>
        <w:t>熵源时，送检企业可能在“概述”章节笼统列举合规的熵源，却在“详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细设计”中实际使用了“硬盘序列号”等不合规的熵源，而人工审查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极易忽略此类细节，存在漏判的风险。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5"/>
          <w:sz w:val="28"/>
        </w:rPr>
        <w:t>2.</w:t>
      </w:r>
      <w:r>
        <w:rPr>
          <w:rFonts w:ascii="DVUCGL+FZDFS--GBK1-0" w:hAnsi="DVUCGL+FZDFS--GBK1-0" w:cs="DVUCGL+FZDFS--GBK1-0"/>
          <w:color w:val="000000"/>
          <w:spacing w:val="10"/>
          <w:sz w:val="28"/>
        </w:rPr>
        <w:t>标准规范上仍存在需要检测人员基于专业知识储备进行解读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和判断的具体内容。例如，“可选”要求、某些主观判断的“特定”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情况等判断往往缺乏明晰的标尺，使得不同检测人员审查同一份材料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的判断可能产生分歧，导致检测结果的客观性与一致性存疑。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3.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为确保软件随机数发生器的鲁棒性，需模拟各种异常和极端条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件进行测试。例如，模拟熵源失效、熵池枯竭或持续输出大量随机数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等测试场景设计测试用例时，检测人员很难穷尽此类可能性常规情况。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开发这些测试用例通常需要编写复杂的脚本程序，工作量大且复用性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低，测试覆盖性不足。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8"/>
          <w:sz w:val="28"/>
        </w:rPr>
        <w:t>综上所述，传统人工检测模式从文档初审、深度分析到测试验证，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整个检测周期长，人员培养上手难，难以应对日益增长的密码产品检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1"/>
          <w:sz w:val="28"/>
        </w:rPr>
        <w:t>测需求。因此，探索如何利用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LLM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来应对上述难点，将其作为辅助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检测的工具，以提升审查检测效能，最终构建一个更高效、更专业、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更客观的密码产品检测新模式，不仅具有理论价值，更具备紧迫的现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实意义。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6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TSNO+FZDHT--GBK1-0" w:hAnsi="UFTSNO+FZDHT--GBK1-0" w:cs="UFTSNO+FZDHT--GBK1-0"/>
          <w:color w:val="000000"/>
          <w:spacing w:val="0"/>
          <w:sz w:val="28"/>
        </w:rPr>
        <w:t>三、基于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LLM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UFTSNO+FZDHT--GBK1-0" w:hAnsi="UFTSNO+FZDHT--GBK1-0" w:cs="UFTSNO+FZDHT--GBK1-0"/>
          <w:color w:val="000000"/>
          <w:spacing w:val="0"/>
          <w:sz w:val="28"/>
        </w:rPr>
        <w:t>的智能辅助检测框架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1"/>
          <w:sz w:val="28"/>
        </w:rPr>
        <w:t>为解决传统人工检测模式效率低、通用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LLM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缺乏领域知识的问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题，本文提出基于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LLM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与检索增强生成的智能辅助检测框架，构建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专家知识库对送检材料进行智能初筛与安全性分析。本框架主要包括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5" w:id="br5"/>
      </w:r>
      <w:r>
        <w:bookmarkEnd w:id="br5"/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三个核心环节：检测目标的精细化定义、专家知识库的构建与抽象、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以及基于思维链的推理与提示机制，三者层层递进，共同构成从“检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测什么”到“如何判断”再到“怎样推理”的完整流程。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1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HAPJE+FZDKT--GBK1-0" w:hAnsi="FHAPJE+FZDKT--GBK1-0" w:cs="FHAPJE+FZDKT--GBK1-0"/>
          <w:color w:val="000000"/>
          <w:spacing w:val="0"/>
          <w:sz w:val="28"/>
        </w:rPr>
        <w:t>（一）检测目标的精细化定义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8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5"/>
          <w:sz w:val="28"/>
        </w:rPr>
        <w:t>智能辅助检测框架参考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GM/T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WKJJE+TimesNewRomanPSMT"/>
          <w:color w:val="000000"/>
          <w:spacing w:val="1"/>
          <w:sz w:val="28"/>
        </w:rPr>
        <w:t>0105-2021</w:t>
      </w:r>
      <w:r>
        <w:rPr>
          <w:rFonts w:ascii="DVUCGL+FZDFS--GBK1-0" w:hAnsi="DVUCGL+FZDFS--GBK1-0" w:cs="DVUCGL+FZDFS--GBK1-0"/>
          <w:color w:val="000000"/>
          <w:spacing w:val="5"/>
          <w:sz w:val="28"/>
        </w:rPr>
        <w:t>《软件随机数发生器设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计指南》，针对软件随机数发生器的检测要点进行了检测目标的细粒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度定义：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1.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随机数发生器组成：审查随机数发生器组成是否合理；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2.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熵源：审查熵源采集原理是否合理、系统熵源数量是否满足不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1"/>
          <w:sz w:val="28"/>
        </w:rPr>
        <w:t>少于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3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种、熵源独占性设计是否合理；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3.</w:t>
      </w:r>
      <w:r>
        <w:rPr>
          <w:rFonts w:ascii="DVUCGL+FZDFS--GBK1-0" w:hAnsi="DVUCGL+FZDFS--GBK1-0" w:cs="DVUCGL+FZDFS--GBK1-0"/>
          <w:color w:val="000000"/>
          <w:spacing w:val="-5"/>
          <w:sz w:val="28"/>
        </w:rPr>
        <w:t>熵池：审查熵池大小是否满足</w:t>
      </w:r>
      <w:r>
        <w:rPr>
          <w:rFonts w:ascii="DejaVu Sans"/>
          <w:color w:val="000000"/>
          <w:spacing w:val="-14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512-4096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-6"/>
          <w:sz w:val="28"/>
        </w:rPr>
        <w:t>字节、扩展函数是否选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取有效；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4.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熵估计：审查最小熵评估方法是否选取合理有效；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5.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健康测试：审查上电健康测试、连续健康测试和按需健康测试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方法是否合理有效；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0"/>
          <w:sz w:val="28"/>
        </w:rPr>
        <w:t>6.DRNG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：审查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DRNG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设计实例是否合理有效。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7" w:after="0" w:line="31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HAPJE+FZDKT--GBK1-0" w:hAnsi="FHAPJE+FZDKT--GBK1-0" w:cs="FHAPJE+FZDKT--GBK1-0"/>
          <w:color w:val="000000"/>
          <w:spacing w:val="0"/>
          <w:sz w:val="28"/>
        </w:rPr>
        <w:t>（二）专家知识库的构建与抽象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2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17"/>
          <w:sz w:val="28"/>
        </w:rPr>
        <w:t>检测目标定义了“要做什么”，而专家知识则定义了“如何判断”。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结合日常工作经验，智能辅助检测框架针对上述检测目标系统性地梳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理了其检测逻辑与规则。部分逻辑与规则定义举例如下：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1.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规则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WKJJE+TimesNewRomanPSMT"/>
          <w:color w:val="000000"/>
          <w:spacing w:val="2"/>
          <w:sz w:val="28"/>
        </w:rPr>
        <w:t>1</w:t>
      </w:r>
      <w:r>
        <w:rPr>
          <w:rFonts w:ascii="DVUCGL+FZDFS--GBK1-0" w:hAnsi="DVUCGL+FZDFS--GBK1-0" w:cs="DVUCGL+FZDFS--GBK1-0"/>
          <w:color w:val="000000"/>
          <w:spacing w:val="2"/>
          <w:sz w:val="28"/>
        </w:rPr>
        <w:t>：若材料中熵源相关内容描述中出现“硬盘序列号”、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1"/>
          <w:sz w:val="28"/>
        </w:rPr>
        <w:t>“</w:t>
      </w:r>
      <w:r>
        <w:rPr>
          <w:rFonts w:ascii="DWKJJE+TimesNewRomanPSMT"/>
          <w:color w:val="000000"/>
          <w:spacing w:val="-1"/>
          <w:sz w:val="28"/>
        </w:rPr>
        <w:t>CPU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序列号”、“</w:t>
      </w:r>
      <w:r>
        <w:rPr>
          <w:rFonts w:ascii="DWKJJE+TimesNewRomanPSMT"/>
          <w:color w:val="000000"/>
          <w:spacing w:val="-1"/>
          <w:sz w:val="28"/>
        </w:rPr>
        <w:t>MAC</w:t>
      </w:r>
      <w:r>
        <w:rPr>
          <w:rFonts w:ascii="DejaVu Sans"/>
          <w:color w:val="000000"/>
          <w:spacing w:val="-15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地址”等关键词，判定为“不符合”。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2.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规则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WKJJE+TimesNewRomanPSMT"/>
          <w:color w:val="000000"/>
          <w:spacing w:val="2"/>
          <w:sz w:val="28"/>
        </w:rPr>
        <w:t>2</w:t>
      </w:r>
      <w:r>
        <w:rPr>
          <w:rFonts w:ascii="DVUCGL+FZDFS--GBK1-0" w:hAnsi="DVUCGL+FZDFS--GBK1-0" w:cs="DVUCGL+FZDFS--GBK1-0"/>
          <w:color w:val="000000"/>
          <w:spacing w:val="2"/>
          <w:sz w:val="28"/>
        </w:rPr>
        <w:t>：统计系统熵源种类数量，若少于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3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2"/>
          <w:sz w:val="28"/>
        </w:rPr>
        <w:t>种，判定为“不符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合”。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36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3" style="position:absolute;margin-left:83.3499984741211pt;margin-top:655.700012207031pt;z-index:-15;width:429.350006103516pt;height:113.84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DWKJJE+TimesNewRomanPSMT"/>
          <w:color w:val="000000"/>
          <w:spacing w:val="1"/>
          <w:sz w:val="28"/>
        </w:rPr>
        <w:t>3.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规则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DWKJJE+TimesNewRomanPSMT"/>
          <w:color w:val="000000"/>
          <w:spacing w:val="2"/>
          <w:sz w:val="28"/>
        </w:rPr>
        <w:t>3</w:t>
      </w:r>
      <w:r>
        <w:rPr>
          <w:rFonts w:ascii="DVUCGL+FZDFS--GBK1-0" w:hAnsi="DVUCGL+FZDFS--GBK1-0" w:cs="DVUCGL+FZDFS--GBK1-0"/>
          <w:color w:val="000000"/>
          <w:spacing w:val="-4"/>
          <w:sz w:val="28"/>
        </w:rPr>
        <w:t>：材料中是否描述了在无人机交互情况下熵源采集原理，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若无判定为“不符合”。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通过抽象化的检测逻辑与规则，结合标准规范原文片段和典型案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4"/>
          <w:sz w:val="28"/>
        </w:rPr>
        <w:t>例，智能辅助检测框架将常见的“符合</w:t>
      </w:r>
      <w:r>
        <w:rPr>
          <w:rFonts w:ascii="DWKJJE+TimesNewRomanPSMT"/>
          <w:color w:val="000000"/>
          <w:spacing w:val="1"/>
          <w:sz w:val="28"/>
        </w:rPr>
        <w:t>/</w:t>
      </w:r>
      <w:r>
        <w:rPr>
          <w:rFonts w:ascii="DVUCGL+FZDFS--GBK1-0" w:hAnsi="DVUCGL+FZDFS--GBK1-0" w:cs="DVUCGL+FZDFS--GBK1-0"/>
          <w:color w:val="000000"/>
          <w:spacing w:val="4"/>
          <w:sz w:val="28"/>
        </w:rPr>
        <w:t>不符合”判断构建成一个结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构化的专家知识库。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1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HAPJE+FZDKT--GBK1-0" w:hAnsi="FHAPJE+FZDKT--GBK1-0" w:cs="FHAPJE+FZDKT--GBK1-0"/>
          <w:color w:val="000000"/>
          <w:spacing w:val="0"/>
          <w:sz w:val="28"/>
        </w:rPr>
        <w:t>（三）基于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FHAPJE+FZDKT--GBK1-0"/>
          <w:color w:val="000000"/>
          <w:spacing w:val="0"/>
          <w:sz w:val="28"/>
        </w:rPr>
        <w:t>RAG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FHAPJE+FZDKT--GBK1-0" w:hAnsi="FHAPJE+FZDKT--GBK1-0" w:cs="FHAPJE+FZDKT--GBK1-0"/>
          <w:color w:val="000000"/>
          <w:spacing w:val="0"/>
          <w:sz w:val="28"/>
        </w:rPr>
        <w:t>的评测任务执行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4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在实际使用智能辅助检测框架对一个具体的材料进行审查时，采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用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RAG</w:t>
      </w:r>
      <w:r>
        <w:rPr>
          <w:rFonts w:ascii="DejaVu Sans"/>
          <w:color w:val="000000"/>
          <w:spacing w:val="-14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方法来动态地激活和运用专家知识库，为了应对单个评测任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务中可能涉及多条复杂规则的情况，并确保模型推理过程的严谨、透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明与可追溯，引入了思维链推理策略。其核心流程如下：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1.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任务解析与检索：解析检测目标，从专家知识库中检索相关逻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辑与规则；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2.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结构化提示：结合专家知识，要求智能辅助检测框架按步骤对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检测目标和材料进行推理；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3.</w:t>
      </w:r>
      <w:r>
        <w:rPr>
          <w:rFonts w:ascii="DVUCGL+FZDFS--GBK1-0" w:hAnsi="DVUCGL+FZDFS--GBK1-0" w:cs="DVUCGL+FZDFS--GBK1-0"/>
          <w:color w:val="000000"/>
          <w:spacing w:val="-1"/>
          <w:sz w:val="28"/>
        </w:rPr>
        <w:t>思维链分析：智能辅助检测框架依次使用每条规则对材料内容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进行判断，经过多次推理，最终输出结论。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9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11"/>
          <w:sz w:val="28"/>
        </w:rPr>
        <w:t>在上述推导过程中，通过</w:t>
      </w:r>
      <w:r>
        <w:rPr>
          <w:rFonts w:ascii="DejaVu Sans"/>
          <w:color w:val="000000"/>
          <w:spacing w:val="-10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RAG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方法将专家知识进行获取与封装，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构建针对特定任务的提示词，然后让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LLM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扮演检测专家的角色对产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品安全性设计进行精准分析，并最终反馈检测结果。本文的提示词示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例如表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1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70" w:after="48" w:line="243" w:lineRule="exact"/>
        <w:ind w:left="333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FTSNO+FZDHT--GBK1-0" w:hAnsi="UFTSNO+FZDHT--GBK1-0" w:cs="UFTSNO+FZDHT--GBK1-0"/>
          <w:color w:val="000000"/>
          <w:spacing w:val="0"/>
          <w:sz w:val="21"/>
        </w:rPr>
        <w:t>表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WKJJE+TimesNewRomanPSMT"/>
          <w:color w:val="000000"/>
          <w:spacing w:val="1"/>
          <w:sz w:val="21"/>
        </w:rPr>
        <w:t>1</w:t>
      </w:r>
      <w:r>
        <w:rPr>
          <w:rFonts w:ascii="UFTSNO+FZDHT--GBK1-0" w:hAnsi="UFTSNO+FZDHT--GBK1-0" w:cs="UFTSNO+FZDHT--GBK1-0"/>
          <w:color w:val="000000"/>
          <w:spacing w:val="0"/>
          <w:sz w:val="21"/>
        </w:rPr>
        <w:t>：提示词示例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226"/>
        <w:gridCol w:w="20"/>
        <w:gridCol w:w="7138"/>
        <w:gridCol w:w="0"/>
      </w:tblGrid>
      <w:tr>
        <w:trPr>
          <w:trHeight w:val="547" w:hRule="atLeast"/>
        </w:trPr>
        <w:tc>
          <w:tcPr>
            <w:tcW w:w="122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56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VUCGL+FZDFS--GBK1-0" w:hAnsi="DVUCGL+FZDFS--GBK1-0" w:cs="DVUCGL+FZDFS--GBK1-0"/>
                <w:color w:val="000000"/>
                <w:spacing w:val="-1"/>
                <w:sz w:val="21"/>
              </w:rPr>
              <w:t>角色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7138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VUCGL+FZDFS--GBK1-0" w:hAnsi="DVUCGL+FZDFS--GBK1-0" w:cs="DVUCGL+FZDFS--GBK1-0"/>
                <w:color w:val="000000"/>
                <w:spacing w:val="-2"/>
                <w:sz w:val="21"/>
              </w:rPr>
              <w:t>你是一名商用密码检测专家。请严格遵循一步步方式按照推理步骤对材料进行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77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VUCGL+FZDFS--GBK1-0" w:hAnsi="DVUCGL+FZDFS--GBK1-0" w:cs="DVUCGL+FZDFS--GBK1-0"/>
                <w:color w:val="000000"/>
                <w:spacing w:val="0"/>
                <w:sz w:val="21"/>
              </w:rPr>
              <w:t>每个规则是否符合的分析。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81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VUCGL+FZDFS--GBK1-0" w:hAnsi="DVUCGL+FZDFS--GBK1-0" w:cs="DVUCGL+FZDFS--GBK1-0"/>
          <w:color w:val="000000"/>
          <w:spacing w:val="0"/>
          <w:sz w:val="21"/>
        </w:rPr>
        <w:t>检测目标</w:t>
      </w:r>
      <w:r>
        <w:rPr>
          <w:rFonts w:ascii="DejaVu Sans"/>
          <w:color w:val="000000"/>
          <w:spacing w:val="340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{</w: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插入具体的检测目标，例如熵源的检测目标</w:t>
      </w:r>
      <w:r>
        <w:rPr>
          <w:rFonts w:ascii="DWKJJE+TimesNewRomanPSMT"/>
          <w:color w:val="000000"/>
          <w:spacing w:val="0"/>
          <w:sz w:val="21"/>
        </w:rPr>
        <w:t>}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0" w:after="69" w:line="253" w:lineRule="exact"/>
        <w:ind w:left="12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VUCGL+FZDFS--GBK1-0" w:hAnsi="DVUCGL+FZDFS--GBK1-0" w:cs="DVUCGL+FZDFS--GBK1-0"/>
          <w:color w:val="000000"/>
          <w:spacing w:val="-1"/>
          <w:sz w:val="21"/>
        </w:rPr>
        <w:t>规则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WKJJE+TimesNewRomanPSMT"/>
          <w:color w:val="000000"/>
          <w:spacing w:val="1"/>
          <w:sz w:val="21"/>
        </w:rPr>
        <w:t>1</w:t>
      </w:r>
      <w:r>
        <w:rPr>
          <w:rFonts w:ascii="DVUCGL+FZDFS--GBK1-0" w:hAnsi="DVUCGL+FZDFS--GBK1-0" w:cs="DVUCGL+FZDFS--GBK1-0"/>
          <w:color w:val="000000"/>
          <w:spacing w:val="-83"/>
          <w:sz w:val="21"/>
        </w:rPr>
        <w:t>：</w:t>
      </w:r>
      <w:r>
        <w:rPr>
          <w:rFonts w:ascii="DWKJJE+TimesNewRomanPSMT"/>
          <w:color w:val="000000"/>
          <w:spacing w:val="0"/>
          <w:sz w:val="21"/>
        </w:rPr>
        <w:t>{</w: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检索规则</w:t>
      </w:r>
      <w:r>
        <w:rPr>
          <w:rFonts w:ascii="DejaVu Sans"/>
          <w:color w:val="000000"/>
          <w:spacing w:val="-12"/>
          <w:sz w:val="21"/>
        </w:rPr>
        <w:t xml:space="preserve"> </w:t>
      </w:r>
      <w:r>
        <w:rPr>
          <w:rFonts w:ascii="DWKJJE+TimesNewRomanPSMT"/>
          <w:color w:val="000000"/>
          <w:spacing w:val="1"/>
          <w:sz w:val="21"/>
        </w:rPr>
        <w:t>1</w:t>
      </w:r>
      <w:r>
        <w:rPr>
          <w:rFonts w:ascii="DVUCGL+FZDFS--GBK1-0" w:hAnsi="DVUCGL+FZDFS--GBK1-0" w:cs="DVUCGL+FZDFS--GBK1-0"/>
          <w:color w:val="000000"/>
          <w:spacing w:val="-16"/>
          <w:sz w:val="21"/>
        </w:rPr>
        <w:t>，若材料中熵源相关内容描述中出现“硬盘序列号”、“</w:t>
      </w:r>
      <w:r>
        <w:rPr>
          <w:rFonts w:ascii="DWKJJE+TimesNewRomanPSMT"/>
          <w:color w:val="000000"/>
          <w:spacing w:val="0"/>
          <w:sz w:val="21"/>
        </w:rPr>
        <w:t>CPU</w:t>
      </w:r>
      <w:r>
        <w:rPr>
          <w:rFonts w:ascii="Times New Roman"/>
          <w:color w:val="000000"/>
          <w:spacing w:val="0"/>
          <w:sz w:val="21"/>
        </w:rPr>
      </w:r>
    </w:p>
    <w:tbl>
      <w:tblPr>
        <w:tblW w:w="0" w:type="auto"/>
        <w:jc w:val="left"/>
        <w:tblInd w:w="0" w:type="dxa"/>
        <w:tblBorders/>
        <w:tblLayout>"fixed"</w:tblLayout>
        <w:tblCellMar>
          <w:left w:w="0" w:type="nil"/>
          <w:right w:w="0" w:type="nil"/>
        </w:tblCellMar>
        <w:tblLook>
          <w:val>"04a0"</w:val>
        </w:tblLook>
      </w:tblPr>
      <w:tblGrid>
        <w:gridCol w:w="1226"/>
        <w:gridCol w:w="20"/>
        <w:gridCol w:w="5331"/>
        <w:gridCol w:w="0"/>
      </w:tblGrid>
      <w:tr>
        <w:trPr>
          <w:trHeight w:val="867" w:hRule="atLeast"/>
        </w:trPr>
        <w:tc>
          <w:tcPr>
            <w:tcW w:w="1226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164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VUCGL+FZDFS--GBK1-0" w:hAnsi="DVUCGL+FZDFS--GBK1-0" w:cs="DVUCGL+FZDFS--GBK1-0"/>
                <w:color w:val="000000"/>
                <w:spacing w:val="0"/>
                <w:sz w:val="21"/>
              </w:rPr>
              <w:t>专家知识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20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0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  <w:tc>
          <w:tcPr>
            <w:tcW w:w="5331" w:type="dxa"/>
            <w:gridSpan w:val="1"/>
            <w:noWrap w:val="off"/>
            <w:textDirection w:val="lrTb"/>
            <w:tcFitText w:val="off"/>
            <w:vAlign w:val="top"/>
          </w:tcPr>
          <w:p>
            <w:pPr>
              <w:pStyle w:val="Normal"/>
              <w:spacing w:before="0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VUCGL+FZDFS--GBK1-0" w:hAnsi="DVUCGL+FZDFS--GBK1-0" w:cs="DVUCGL+FZDFS--GBK1-0"/>
                <w:color w:val="000000"/>
                <w:spacing w:val="0"/>
                <w:sz w:val="21"/>
              </w:rPr>
              <w:t>序列号”、“</w:t>
            </w:r>
            <w:r>
              <w:rPr>
                <w:rFonts w:ascii="DWKJJE+TimesNewRomanPSMT"/>
                <w:color w:val="000000"/>
                <w:spacing w:val="-1"/>
                <w:sz w:val="21"/>
              </w:rPr>
              <w:t>MAC</w:t>
            </w:r>
            <w:r>
              <w:rPr>
                <w:rFonts w:ascii="DejaVu Sans"/>
                <w:color w:val="000000"/>
                <w:spacing w:val="-11"/>
                <w:sz w:val="21"/>
              </w:rPr>
              <w:t xml:space="preserve"> </w:t>
            </w:r>
            <w:r>
              <w:rPr>
                <w:rFonts w:ascii="DVUCGL+FZDFS--GBK1-0" w:hAnsi="DVUCGL+FZDFS--GBK1-0" w:cs="DVUCGL+FZDFS--GBK1-0"/>
                <w:color w:val="000000"/>
                <w:spacing w:val="0"/>
                <w:sz w:val="21"/>
              </w:rPr>
              <w:t>地址”等关键词，判定为“不符合”</w:t>
            </w:r>
            <w:r>
              <w:rPr>
                <w:rFonts w:ascii="DWKJJE+TimesNewRomanPSMT"/>
                <w:color w:val="000000"/>
                <w:spacing w:val="0"/>
                <w:sz w:val="21"/>
              </w:rPr>
              <w:t>}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69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VUCGL+FZDFS--GBK1-0" w:hAnsi="DVUCGL+FZDFS--GBK1-0" w:cs="DVUCGL+FZDFS--GBK1-0"/>
                <w:color w:val="000000"/>
                <w:spacing w:val="-1"/>
                <w:sz w:val="21"/>
              </w:rPr>
              <w:t>规则</w:t>
            </w:r>
            <w:r>
              <w:rPr>
                <w:rFonts w:ascii="DejaVu Sans"/>
                <w:color w:val="000000"/>
                <w:spacing w:val="-12"/>
                <w:sz w:val="21"/>
              </w:rPr>
              <w:t xml:space="preserve"> </w:t>
            </w:r>
            <w:r>
              <w:rPr>
                <w:rFonts w:ascii="DWKJJE+TimesNewRomanPSMT"/>
                <w:color w:val="000000"/>
                <w:spacing w:val="1"/>
                <w:sz w:val="21"/>
              </w:rPr>
              <w:t>2</w:t>
            </w:r>
            <w:r>
              <w:rPr>
                <w:rFonts w:ascii="DVUCGL+FZDFS--GBK1-0" w:hAnsi="DVUCGL+FZDFS--GBK1-0" w:cs="DVUCGL+FZDFS--GBK1-0"/>
                <w:color w:val="000000"/>
                <w:spacing w:val="-1"/>
                <w:sz w:val="21"/>
              </w:rPr>
              <w:t>：</w:t>
            </w:r>
            <w:r>
              <w:rPr>
                <w:rFonts w:ascii="DWKJJE+TimesNewRomanPSMT"/>
                <w:color w:val="000000"/>
                <w:spacing w:val="0"/>
                <w:sz w:val="21"/>
              </w:rPr>
              <w:t>{</w:t>
            </w:r>
            <w:r>
              <w:rPr>
                <w:rFonts w:ascii="DVUCGL+FZDFS--GBK1-0" w:hAnsi="DVUCGL+FZDFS--GBK1-0" w:cs="DVUCGL+FZDFS--GBK1-0"/>
                <w:color w:val="000000"/>
                <w:spacing w:val="0"/>
                <w:sz w:val="21"/>
              </w:rPr>
              <w:t>……</w:t>
            </w:r>
            <w:r>
              <w:rPr>
                <w:rFonts w:ascii="DWKJJE+TimesNewRomanPSMT"/>
                <w:color w:val="000000"/>
                <w:spacing w:val="0"/>
                <w:sz w:val="21"/>
              </w:rPr>
              <w:t>}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  <w:p>
            <w:pPr>
              <w:pStyle w:val="Normal"/>
              <w:spacing w:before="69" w:after="0" w:line="235" w:lineRule="exact"/>
              <w:ind w:left="0" w:right="0" w:firstLine="0"/>
              <w:jc w:val="left"/>
              <w:rPr>
                <w:rFonts w:ascii="Times New Roman"/>
                <w:color w:val="000000"/>
                <w:spacing w:val="0"/>
                <w:sz w:val="21"/>
              </w:rPr>
            </w:pPr>
            <w:r>
              <w:rPr>
                <w:rFonts w:ascii="DVUCGL+FZDFS--GBK1-0" w:hAnsi="DVUCGL+FZDFS--GBK1-0" w:cs="DVUCGL+FZDFS--GBK1-0"/>
                <w:color w:val="000000"/>
                <w:spacing w:val="-1"/>
                <w:sz w:val="21"/>
              </w:rPr>
              <w:t>规则</w:t>
            </w:r>
            <w:r>
              <w:rPr>
                <w:rFonts w:ascii="DejaVu Sans"/>
                <w:color w:val="000000"/>
                <w:spacing w:val="-12"/>
                <w:sz w:val="21"/>
              </w:rPr>
              <w:t xml:space="preserve"> </w:t>
            </w:r>
            <w:r>
              <w:rPr>
                <w:rFonts w:ascii="DWKJJE+TimesNewRomanPSMT"/>
                <w:color w:val="000000"/>
                <w:spacing w:val="1"/>
                <w:sz w:val="21"/>
              </w:rPr>
              <w:t>3</w:t>
            </w:r>
            <w:r>
              <w:rPr>
                <w:rFonts w:ascii="DVUCGL+FZDFS--GBK1-0" w:hAnsi="DVUCGL+FZDFS--GBK1-0" w:cs="DVUCGL+FZDFS--GBK1-0"/>
                <w:color w:val="000000"/>
                <w:spacing w:val="-1"/>
                <w:sz w:val="21"/>
              </w:rPr>
              <w:t>：</w:t>
            </w:r>
            <w:r>
              <w:rPr>
                <w:rFonts w:ascii="DWKJJE+TimesNewRomanPSMT"/>
                <w:color w:val="000000"/>
                <w:spacing w:val="0"/>
                <w:sz w:val="21"/>
              </w:rPr>
              <w:t>{</w:t>
            </w:r>
            <w:r>
              <w:rPr>
                <w:rFonts w:ascii="DVUCGL+FZDFS--GBK1-0" w:hAnsi="DVUCGL+FZDFS--GBK1-0" w:cs="DVUCGL+FZDFS--GBK1-0"/>
                <w:color w:val="000000"/>
                <w:spacing w:val="0"/>
                <w:sz w:val="21"/>
              </w:rPr>
              <w:t>……</w:t>
            </w:r>
            <w:r>
              <w:rPr>
                <w:rFonts w:ascii="DWKJJE+TimesNewRomanPSMT"/>
                <w:color w:val="000000"/>
                <w:spacing w:val="0"/>
                <w:sz w:val="21"/>
              </w:rPr>
              <w:t>}</w:t>
            </w:r>
            <w:r>
              <w:rPr>
                <w:rFonts w:ascii="Times New Roman"/>
                <w:color w:val="000000"/>
                <w:spacing w:val="0"/>
                <w:sz w:val="21"/>
              </w:rPr>
            </w:r>
          </w:p>
        </w:tc>
      </w:tr>
    </w:tbl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629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4" style="position:absolute;margin-left:83.3499984741211pt;margin-top:70.0999984741211pt;z-index:-19;width:429.350006103516pt;height:82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DVUCGL+FZDFS--GBK1-0" w:hAnsi="DVUCGL+FZDFS--GBK1-0" w:cs="DVUCGL+FZDFS--GBK1-0"/>
          <w:color w:val="000000"/>
          <w:spacing w:val="-1"/>
          <w:sz w:val="21"/>
        </w:rPr>
        <w:t>任务</w:t>
      </w:r>
      <w:r>
        <w:rPr>
          <w:rFonts w:ascii="DejaVu Sans"/>
          <w:color w:val="000000"/>
          <w:spacing w:val="761"/>
          <w:sz w:val="21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请严格依据上述检测目标和专家知识，对以下材料进行符合性判断。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2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VUCGL+FZDFS--GBK1-0" w:hAnsi="DVUCGL+FZDFS--GBK1-0" w:cs="DVUCGL+FZDFS--GBK1-0"/>
          <w:color w:val="000000"/>
          <w:spacing w:val="-1"/>
          <w:sz w:val="21"/>
        </w:rPr>
        <w:t>材料</w:t>
      </w:r>
      <w:r>
        <w:rPr>
          <w:rFonts w:ascii="DejaVu Sans"/>
          <w:color w:val="000000"/>
          <w:spacing w:val="761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{</w: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检索材料中关于熵源描述的原文段落</w:t>
      </w:r>
      <w:r>
        <w:rPr>
          <w:rFonts w:ascii="DWKJJE+TimesNewRomanPSMT"/>
          <w:color w:val="000000"/>
          <w:spacing w:val="0"/>
          <w:sz w:val="21"/>
        </w:rPr>
        <w:t>}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76" w:after="0" w:line="245" w:lineRule="exact"/>
        <w:ind w:left="12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VUCGL+FZDFS--GBK1-0" w:hAnsi="DVUCGL+FZDFS--GBK1-0" w:cs="DVUCGL+FZDFS--GBK1-0"/>
          <w:color w:val="000000"/>
          <w:spacing w:val="0"/>
          <w:sz w:val="21"/>
        </w:rPr>
        <w:t>输出结果应如下：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3" w:after="0" w:line="26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VUCGL+FZDFS--GBK1-0" w:hAnsi="DVUCGL+FZDFS--GBK1-0" w:cs="DVUCGL+FZDFS--GBK1-0"/>
          <w:color w:val="000000"/>
          <w:spacing w:val="0"/>
          <w:sz w:val="21"/>
        </w:rPr>
        <w:t>输出要求</w:t>
      </w:r>
      <w:r>
        <w:rPr>
          <w:rFonts w:ascii="DejaVu Sans"/>
          <w:color w:val="000000"/>
          <w:spacing w:val="340"/>
          <w:sz w:val="21"/>
        </w:rPr>
        <w:t xml:space="preserve"> </w:t>
      </w:r>
      <w:r>
        <w:rPr>
          <w:rFonts w:ascii="DejaVu Sans"/>
          <w:color w:val="000000"/>
          <w:spacing w:val="-2"/>
          <w:sz w:val="21"/>
        </w:rPr>
        <w:t>1.</w:t>
      </w:r>
      <w:r>
        <w:rPr>
          <w:rFonts w:ascii="DejaVu Sans"/>
          <w:color w:val="000000"/>
          <w:spacing w:val="41"/>
          <w:sz w:val="21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符合性结论（符合</w:t>
      </w:r>
      <w:r>
        <w:rPr>
          <w:rFonts w:ascii="DWKJJE+TimesNewRomanPSMT"/>
          <w:color w:val="000000"/>
          <w:spacing w:val="-1"/>
          <w:sz w:val="21"/>
        </w:rPr>
        <w:t>/</w: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不符合）。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3" w:after="0" w:line="261" w:lineRule="exact"/>
        <w:ind w:left="124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ejaVu Sans"/>
          <w:color w:val="000000"/>
          <w:spacing w:val="-2"/>
          <w:sz w:val="21"/>
        </w:rPr>
        <w:t>2.</w:t>
      </w:r>
      <w:r>
        <w:rPr>
          <w:rFonts w:ascii="DejaVu Sans"/>
          <w:color w:val="000000"/>
          <w:spacing w:val="41"/>
          <w:sz w:val="21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详细理由，逐条引用规则进行分析。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41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TSNO+FZDHT--GBK1-0" w:hAnsi="UFTSNO+FZDHT--GBK1-0" w:cs="UFTSNO+FZDHT--GBK1-0"/>
          <w:color w:val="000000"/>
          <w:spacing w:val="0"/>
          <w:sz w:val="28"/>
        </w:rPr>
        <w:t>四、实验结果与分析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为验证智能辅助检测框架的可行性和有效性，本文设计并执行了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如下对比实验：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1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HAPJE+FZDKT--GBK1-0" w:hAnsi="FHAPJE+FZDKT--GBK1-0" w:cs="FHAPJE+FZDKT--GBK1-0"/>
          <w:color w:val="000000"/>
          <w:spacing w:val="0"/>
          <w:sz w:val="28"/>
        </w:rPr>
        <w:t>（一）实验设置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3" w:after="0" w:line="33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17"/>
          <w:sz w:val="28"/>
        </w:rPr>
        <w:t>检测模型：选取了</w:t>
      </w:r>
      <w:r>
        <w:rPr>
          <w:rFonts w:ascii="DWKJJE+TimesNewRomanPSMT"/>
          <w:color w:val="000000"/>
          <w:spacing w:val="3"/>
          <w:sz w:val="28"/>
        </w:rPr>
        <w:t>DeepSeek-V3.2</w:t>
      </w:r>
      <w:r>
        <w:rPr>
          <w:rFonts w:ascii="DVUCGL+FZDFS--GBK1-0" w:hAnsi="DVUCGL+FZDFS--GBK1-0" w:cs="DVUCGL+FZDFS--GBK1-0"/>
          <w:color w:val="000000"/>
          <w:spacing w:val="34"/>
          <w:sz w:val="28"/>
        </w:rPr>
        <w:t>和</w:t>
      </w:r>
      <w:r>
        <w:rPr>
          <w:rFonts w:ascii="DWKJJE+TimesNewRomanPSMT"/>
          <w:color w:val="000000"/>
          <w:spacing w:val="0"/>
          <w:sz w:val="28"/>
        </w:rPr>
        <w:t>GLM-4.5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两种大型语言模型。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测试样本：围绕软件随机数发生器的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6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-4"/>
          <w:sz w:val="28"/>
        </w:rPr>
        <w:t>个检测要点，构建了一个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4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1"/>
          <w:sz w:val="28"/>
        </w:rPr>
        <w:t>包含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50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个测试样本的数据集</w:t>
      </w:r>
      <w:r>
        <w:rPr>
          <w:rFonts w:ascii="DWKJJE+TimesNewRomanPSMT"/>
          <w:color w:val="000000"/>
          <w:spacing w:val="0"/>
          <w:sz w:val="28"/>
        </w:rPr>
        <w:t>,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主要包括以下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3</w:t>
      </w:r>
      <w:r>
        <w:rPr>
          <w:rFonts w:ascii="DejaVu Sans"/>
          <w:color w:val="000000"/>
          <w:spacing w:val="-20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种类型：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1.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正确样本：完全符合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GM/T</w:t>
      </w:r>
      <w:r>
        <w:rPr>
          <w:rFonts w:ascii="DejaVu Sans"/>
          <w:color w:val="000000"/>
          <w:spacing w:val="-24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0105-2021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的安全设计内容；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4" w:after="0" w:line="33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2.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不完整样本：安全性设计材料上缺失了检测要点相关内容；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1"/>
          <w:sz w:val="28"/>
        </w:rPr>
        <w:t>3.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错误样本：包含不符合标准规范的安全性设计内容。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对比方法：设置了原版模型和智能辅助检测框架模型两种方式对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同测试样本的数据集进行审查，对比输出结果的准确性。其中，原版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4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1"/>
          <w:sz w:val="28"/>
        </w:rPr>
        <w:t>模型直接使用检测目标和材料向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LLM</w:t>
      </w:r>
      <w:r>
        <w:rPr>
          <w:rFonts w:ascii="DejaVu Sans"/>
          <w:color w:val="000000"/>
          <w:spacing w:val="-16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提问进行审查；智能辅助检测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框架模型采用本文第三章节流程对材料进行审查。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评价指标：通过对比两种审查方式输出结果与标准答案一致性，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统计准确率。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15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HAPJE+FZDKT--GBK1-0" w:hAnsi="FHAPJE+FZDKT--GBK1-0" w:cs="FHAPJE+FZDKT--GBK1-0"/>
          <w:color w:val="000000"/>
          <w:spacing w:val="0"/>
          <w:sz w:val="28"/>
        </w:rPr>
        <w:t>（二）实验结果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4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通过对比实验，原版模型对材料审查的输出结果与标准答案一致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4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的准确率分别达到了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40%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和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36%</w:t>
      </w:r>
      <w:r>
        <w:rPr>
          <w:rFonts w:ascii="DVUCGL+FZDFS--GBK1-0" w:hAnsi="DVUCGL+FZDFS--GBK1-0" w:cs="DVUCGL+FZDFS--GBK1-0"/>
          <w:color w:val="000000"/>
          <w:spacing w:val="-9"/>
          <w:sz w:val="28"/>
        </w:rPr>
        <w:t>，智能辅助检测框架模型对材料审查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的输出结果与标准答案一致的准确率分别达到了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94%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和</w:t>
      </w:r>
      <w:r>
        <w:rPr>
          <w:rFonts w:ascii="DejaVu Sans"/>
          <w:color w:val="000000"/>
          <w:spacing w:val="-21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88%</w:t>
      </w:r>
      <w:r>
        <w:rPr>
          <w:rFonts w:ascii="DVUCGL+FZDFS--GBK1-0" w:hAnsi="DVUCGL+FZDFS--GBK1-0" w:cs="DVUCGL+FZDFS--GBK1-0"/>
          <w:color w:val="000000"/>
          <w:spacing w:val="-35"/>
          <w:sz w:val="28"/>
        </w:rPr>
        <w:t>，两种审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4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查方式的准确率如表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2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所示：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68" w:after="0" w:line="243" w:lineRule="exact"/>
        <w:ind w:left="3077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UFTSNO+FZDHT--GBK1-0" w:hAnsi="UFTSNO+FZDHT--GBK1-0" w:cs="UFTSNO+FZDHT--GBK1-0"/>
          <w:color w:val="000000"/>
          <w:spacing w:val="0"/>
          <w:sz w:val="21"/>
        </w:rPr>
        <w:t>表</w:t>
      </w:r>
      <w:r>
        <w:rPr>
          <w:rFonts w:ascii="DejaVu Sans"/>
          <w:color w:val="000000"/>
          <w:spacing w:val="-15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2</w:t>
      </w:r>
      <w:r>
        <w:rPr>
          <w:rFonts w:ascii="DejaVu Sans"/>
          <w:color w:val="000000"/>
          <w:spacing w:val="37"/>
          <w:sz w:val="21"/>
        </w:rPr>
        <w:t xml:space="preserve"> </w:t>
      </w:r>
      <w:r>
        <w:rPr>
          <w:rFonts w:ascii="UFTSNO+FZDHT--GBK1-0" w:hAnsi="UFTSNO+FZDHT--GBK1-0" w:cs="UFTSNO+FZDHT--GBK1-0"/>
          <w:color w:val="000000"/>
          <w:spacing w:val="0"/>
          <w:sz w:val="21"/>
        </w:rPr>
        <w:t>准确率对比统计表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471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8" w:lineRule="exact"/>
        <w:ind w:left="1361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5" style="position:absolute;margin-left:82.6999969482422pt;margin-top:70.0999984741211pt;z-index:-23;width:430.649993896484pt;height:122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DVUCGL+FZDFS--GBK1-0" w:hAnsi="DVUCGL+FZDFS--GBK1-0" w:cs="DVUCGL+FZDFS--GBK1-0"/>
          <w:color w:val="000000"/>
          <w:spacing w:val="0"/>
          <w:sz w:val="21"/>
        </w:rPr>
        <w:t>检测模式</w:t>
      </w:r>
      <w:r>
        <w:rPr>
          <w:rFonts w:ascii="DejaVu Sans"/>
          <w:color w:val="000000"/>
          <w:spacing w:val="2304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DeepSeek-V3.2</w:t>
      </w:r>
      <w:r>
        <w:rPr>
          <w:rFonts w:ascii="DejaVu Sans"/>
          <w:color w:val="000000"/>
          <w:spacing w:val="1124"/>
          <w:sz w:val="21"/>
        </w:rPr>
        <w:t xml:space="preserve"> </w:t>
      </w:r>
      <w:r>
        <w:rPr>
          <w:rFonts w:ascii="DWKJJE+TimesNewRomanPSMT"/>
          <w:color w:val="000000"/>
          <w:spacing w:val="0"/>
          <w:sz w:val="21"/>
        </w:rPr>
        <w:t>GLM-4.5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2" w:after="0" w:line="248" w:lineRule="exact"/>
        <w:ind w:left="136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VUCGL+FZDFS--GBK1-0" w:hAnsi="DVUCGL+FZDFS--GBK1-0" w:cs="DVUCGL+FZDFS--GBK1-0"/>
          <w:color w:val="000000"/>
          <w:spacing w:val="0"/>
          <w:sz w:val="21"/>
        </w:rPr>
        <w:t>原版模型</w:t>
      </w:r>
      <w:r>
        <w:rPr>
          <w:rFonts w:ascii="DejaVu Sans"/>
          <w:color w:val="000000"/>
          <w:spacing w:val="2779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40%</w:t>
      </w:r>
      <w:r>
        <w:rPr>
          <w:rFonts w:ascii="DejaVu Sans"/>
          <w:color w:val="000000"/>
          <w:spacing w:val="1926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36%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542" w:after="0" w:line="248" w:lineRule="exact"/>
        <w:ind w:left="73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DVUCGL+FZDFS--GBK1-0" w:hAnsi="DVUCGL+FZDFS--GBK1-0" w:cs="DVUCGL+FZDFS--GBK1-0"/>
          <w:color w:val="000000"/>
          <w:spacing w:val="0"/>
          <w:sz w:val="21"/>
        </w:rPr>
        <w:t>智能辅助检测框架模型</w:t>
      </w:r>
      <w:r>
        <w:rPr>
          <w:rFonts w:ascii="DejaVu Sans"/>
          <w:color w:val="000000"/>
          <w:spacing w:val="2150"/>
          <w:sz w:val="21"/>
        </w:rPr>
        <w:t xml:space="preserve"> </w:t>
      </w:r>
      <w:r>
        <w:rPr>
          <w:rFonts w:ascii="DWKJJE+TimesNewRomanPSMT"/>
          <w:color w:val="000000"/>
          <w:spacing w:val="-1"/>
          <w:sz w:val="21"/>
        </w:rPr>
        <w:t>94%</w:t>
      </w:r>
      <w:r>
        <w:rPr>
          <w:rFonts w:ascii="DejaVu Sans"/>
          <w:color w:val="000000"/>
          <w:spacing w:val="1926"/>
          <w:sz w:val="21"/>
        </w:rPr>
        <w:t xml:space="preserve"> </w:t>
      </w:r>
      <w:r>
        <w:rPr>
          <w:rFonts w:ascii="DWKJJE+TimesNewRomanPSMT"/>
          <w:color w:val="000000"/>
          <w:spacing w:val="1"/>
          <w:sz w:val="21"/>
        </w:rPr>
        <w:t>88%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8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（三）实验结果分析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7"/>
          <w:sz w:val="28"/>
        </w:rPr>
        <w:t>从实验结果可以发现，本文设计的智能辅助检测框架无论使用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0"/>
          <w:sz w:val="28"/>
        </w:rPr>
        <w:t>DeepSeek-V3.2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1"/>
          <w:sz w:val="28"/>
        </w:rPr>
        <w:t>还是</w:t>
      </w:r>
      <w:r>
        <w:rPr>
          <w:rFonts w:ascii="DejaVu Sans"/>
          <w:color w:val="000000"/>
          <w:spacing w:val="-22"/>
          <w:sz w:val="28"/>
        </w:rPr>
        <w:t xml:space="preserve"> </w:t>
      </w:r>
      <w:r>
        <w:rPr>
          <w:rFonts w:ascii="DWKJJE+TimesNewRomanPSMT"/>
          <w:color w:val="000000"/>
          <w:spacing w:val="0"/>
          <w:sz w:val="28"/>
        </w:rPr>
        <w:t>GLM-4.5</w:t>
      </w:r>
      <w:r>
        <w:rPr>
          <w:rFonts w:ascii="DejaVu Sans"/>
          <w:color w:val="000000"/>
          <w:spacing w:val="-17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-4"/>
          <w:sz w:val="28"/>
        </w:rPr>
        <w:t>大语言模型，其对材料中安全性设计审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查准确率均比直接使用大语言模型更高，这充分证明了智能辅助检测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框架的可行性和有效性。其中，本文针对审查输出结果与标准答案不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一致的样本进一步深入分析，发现错误的原因主要集中于一些需要深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层逻辑推导或材料描述极度模糊的情况。因此，如何解决此类问题是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本文将来进一步研究的方向。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34" w:after="0" w:line="323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UFTSNO+FZDHT--GBK1-0" w:hAnsi="UFTSNO+FZDHT--GBK1-0" w:cs="UFTSNO+FZDHT--GBK1-0"/>
          <w:color w:val="000000"/>
          <w:spacing w:val="0"/>
          <w:sz w:val="28"/>
        </w:rPr>
        <w:t>五、讨论与总结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57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本文通过构建智能辅助检测框架，在保障密码产品检测规范性的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同时，为提升检测效率提供了新的可行路径。通过实践证明，该框架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在软件随机数发生器原理性审查上达到了较高水平的准确率，但极端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情况下的安全性审查在现阶段仍需要人工的参与。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31"/>
          <w:sz w:val="28"/>
        </w:rPr>
        <w:t>本文选取方法充分考虑了在中心实际应用可行性。采用的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27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WKJJE+TimesNewRomanPSMT"/>
          <w:color w:val="000000"/>
          <w:spacing w:val="0"/>
          <w:sz w:val="28"/>
        </w:rPr>
        <w:t>DeepSeek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与</w:t>
      </w:r>
      <w:r>
        <w:rPr>
          <w:rFonts w:ascii="DejaVu Sans"/>
          <w:color w:val="000000"/>
          <w:spacing w:val="-19"/>
          <w:sz w:val="28"/>
        </w:rPr>
        <w:t xml:space="preserve"> </w:t>
      </w:r>
      <w:r>
        <w:rPr>
          <w:rFonts w:ascii="DWKJJE+TimesNewRomanPSMT"/>
          <w:color w:val="000000"/>
          <w:spacing w:val="-1"/>
          <w:sz w:val="28"/>
        </w:rPr>
        <w:t>GLM</w:t>
      </w:r>
      <w:r>
        <w:rPr>
          <w:rFonts w:ascii="DejaVu Sans"/>
          <w:color w:val="000000"/>
          <w:spacing w:val="-18"/>
          <w:sz w:val="28"/>
        </w:rPr>
        <w:t xml:space="preserve"> </w:t>
      </w:r>
      <w:r>
        <w:rPr>
          <w:rFonts w:ascii="DVUCGL+FZDFS--GBK1-0" w:hAnsi="DVUCGL+FZDFS--GBK1-0" w:cs="DVUCGL+FZDFS--GBK1-0"/>
          <w:color w:val="000000"/>
          <w:spacing w:val="0"/>
          <w:sz w:val="28"/>
        </w:rPr>
        <w:t>等开源大模型支持离线部署，并已适配华为昇腾、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寒武纪、海光信息等国产算力平台，可实现完全内网运行，确保检测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数据不出域，符合安全可控要求。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55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通过本文大语言模型在密码产品检测中的实践探索案例分析，亟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须结合大语言模型进一步为密码检测事业注入新的活力，将来基于大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语言模型研制出辅助检测人员进行材料审查、密码安全性分析、源码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20"/>
          <w:pgMar w:top="1706" w:right="100" w:bottom="0" w:left="1800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bookmarkStart w:name="br9" w:id="br9"/>
      </w:r>
      <w:r>
        <w:bookmarkEnd w:id="br9"/>
      </w:r>
      <w:r>
        <w:rPr>
          <w:rFonts w:ascii="DVUCGL+FZDFS--GBK1-0" w:hAnsi="DVUCGL+FZDFS--GBK1-0" w:cs="DVUCGL+FZDFS--GBK1-0"/>
          <w:color w:val="000000"/>
          <w:spacing w:val="-3"/>
          <w:sz w:val="28"/>
        </w:rPr>
        <w:t>实现分析、漏洞扫描挖掘、检测报告审核等每一关键检测环节的“智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3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-3"/>
          <w:sz w:val="28"/>
        </w:rPr>
        <w:t>能增强”工具，进一步使得检测方法更专业、检测工具更智能、检测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245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DVUCGL+FZDFS--GBK1-0" w:hAnsi="DVUCGL+FZDFS--GBK1-0" w:cs="DVUCGL+FZDFS--GBK1-0"/>
          <w:color w:val="000000"/>
          <w:spacing w:val="0"/>
          <w:sz w:val="28"/>
        </w:rPr>
        <w:t>过程更规范，积极推动密码检测迈向新的检测模式。</w:t>
      </w:r>
      <w:r>
        <w:rPr>
          <w:rFonts w:ascii="Times New Roman"/>
          <w:color w:val="000000"/>
          <w:spacing w:val="0"/>
          <w:sz w:val="28"/>
        </w:rPr>
      </w:r>
    </w:p>
    <w:sectPr>
      <w:pgSz w:w="11900" w:h="16820"/>
      <w:pgMar w:top="1636" w:right="100" w:bottom="0" w:left="180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OUUDMB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A6C0D8C2-0000-0000-0000-000000000000}"/>
  </w:font>
  <w:font w:name="DVUCGL+FZDFS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3C55E348-0000-0000-0000-000000000000}"/>
  </w:font>
  <w:font w:name="DejaVu San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UFTSNO+FZDHT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46A66BE1-0000-0000-0000-000000000000}"/>
  </w:font>
  <w:font w:name="DWKJJE+TimesNewRoman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24F7431C-0000-0000-0000-000000000000}"/>
  </w:font>
  <w:font w:name="FHAPJE+FZDKT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2899A5BB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styles" Target="styles.xml" /><Relationship Id="rId8" Type="http://schemas.openxmlformats.org/officeDocument/2006/relationships/fontTable" Target="fontTable.xml" /><Relationship Id="rId9" Type="http://schemas.openxmlformats.org/officeDocument/2006/relationships/settings" Target="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443</Words>
  <Characters>4999</Characters>
  <Application>Aspose</Application>
  <DocSecurity>0</DocSecurity>
  <Lines>2</Lines>
  <Paragraphs>192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5151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2026-09-03T10:31:21+08:00</dcterms:created>
  <dcterms:modified xmlns:xsi="http://www.w3.org/2001/XMLSchema-instance" xmlns:dcterms="http://purl.org/dc/terms/" xsi:type="dcterms:W3CDTF">2026-09-03T10:31:21+08:00</dcterms:modified>
</coreProperties>
</file>