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9"/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</w:pPr>
      <w:bookmarkStart w:id="0" w:name="_Toc11926"/>
      <w:bookmarkStart w:id="1" w:name="_Toc27316"/>
      <w:bookmarkStart w:id="2" w:name="_Toc6492"/>
      <w:r>
        <w:rPr>
          <w:rFonts w:hint="eastAsia" w:ascii="微软雅黑" w:hAnsi="微软雅黑" w:eastAsia="微软雅黑"/>
          <w:sz w:val="52"/>
          <w:szCs w:val="52"/>
          <w:u w:val="single"/>
        </w:rPr>
        <w:t>《软件开发综合实验》报告</w:t>
      </w:r>
      <w:r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  <w:t>二</w:t>
      </w:r>
      <w:bookmarkEnd w:id="0"/>
      <w:bookmarkEnd w:id="1"/>
      <w:bookmarkEnd w:id="2"/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——设计实现报告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3"/>
        <w:tblOverlap w:val="never"/>
        <w:tblW w:w="8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小组编号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第十三组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小组成员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张钦贤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</w:rPr>
              <w:t>李策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杜梅</w:t>
            </w:r>
          </w:p>
        </w:tc>
      </w:tr>
    </w:tbl>
    <w:p/>
    <w:p/>
    <w:p/>
    <w:p/>
    <w:p/>
    <w:p/>
    <w:p/>
    <w:p/>
    <w:p/>
    <w:p/>
    <w:p/>
    <w:p>
      <w:pPr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_Toc12128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一、 </w:t>
      </w:r>
      <w:r>
        <w:rPr>
          <w:rFonts w:hint="eastAsia"/>
          <w:sz w:val="24"/>
          <w:szCs w:val="24"/>
          <w:lang w:val="en-US" w:eastAsia="zh-CN"/>
        </w:rPr>
        <w:t>开发环境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_Toc12128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_Toc10811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二、 界面的表示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_Toc10811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_Toc32355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地图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_Toc32355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_Toc372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物种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_Toc20630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控制面板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_Toc20630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_Toc5473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三、 常量的规定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_Toc5473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_Toc16092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四、 类的设计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_Toc16092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_Toc28548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五、 实现逻辑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_Toc28548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_Toc22580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六、 实现难点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_Toc22580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_Toc26713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七、本</w:t>
      </w:r>
      <w:r>
        <w:rPr>
          <w:rFonts w:hint="eastAsia" w:ascii="宋体" w:hAnsi="宋体"/>
          <w:bCs w:val="0"/>
          <w:sz w:val="24"/>
          <w:szCs w:val="24"/>
          <w:lang w:val="en-US" w:eastAsia="zh-CN"/>
        </w:rPr>
        <w:t>周小组分工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_Toc26713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sz w:val="24"/>
          <w:szCs w:val="24"/>
        </w:rPr>
        <w:fldChar w:fldCharType="end"/>
      </w:r>
    </w:p>
    <w:p/>
    <w:p/>
    <w:p/>
    <w:p/>
    <w:p/>
    <w:p/>
    <w:p/>
    <w:p/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3" w:name="_Toc12128"/>
      <w:r>
        <w:rPr>
          <w:rFonts w:hint="eastAsia"/>
          <w:sz w:val="28"/>
          <w:szCs w:val="28"/>
          <w:lang w:val="en-US" w:eastAsia="zh-CN"/>
        </w:rPr>
        <w:t>开</w:t>
      </w:r>
      <w:bookmarkStart w:id="17" w:name="_GoBack"/>
      <w:bookmarkEnd w:id="17"/>
      <w:r>
        <w:rPr>
          <w:rFonts w:hint="eastAsia"/>
          <w:sz w:val="28"/>
          <w:szCs w:val="28"/>
          <w:lang w:val="en-US" w:eastAsia="zh-CN"/>
        </w:rPr>
        <w:t>发环境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由于需要观察世界的演替过程，需要可视化操作，本项目采用Winform开发，开发语言为C#，开发软件为Visual Studio 2015，操作系统为Windows10。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4" w:name="_Toc10811"/>
      <w:r>
        <w:rPr>
          <w:rFonts w:hint="eastAsia"/>
          <w:sz w:val="28"/>
          <w:szCs w:val="28"/>
          <w:lang w:val="en-US" w:eastAsia="zh-CN"/>
        </w:rPr>
        <w:t>界面的表示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5" w:name="_Toc32355"/>
      <w:r>
        <w:rPr>
          <w:rFonts w:hint="eastAsia"/>
          <w:sz w:val="24"/>
          <w:szCs w:val="24"/>
          <w:lang w:val="en-US" w:eastAsia="zh-CN"/>
        </w:rPr>
        <w:t>地图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地图采用150*150的方格表示，使用C#中Pen类的DrawLine方法绘制，绘制效果如图2.1所示：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578860" cy="359981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图2.1 地图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6" w:name="_Toc372"/>
      <w:r>
        <w:rPr>
          <w:rFonts w:hint="eastAsia"/>
          <w:sz w:val="24"/>
          <w:szCs w:val="24"/>
          <w:lang w:val="en-US" w:eastAsia="zh-CN"/>
        </w:rPr>
        <w:t>物种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使用不同的颜色来表示物种，对应规则为：生产者--&gt;绿色，食草动物--&gt;蓝色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低级食肉动物--&gt;黄色，高级食肉动物--&gt;红色，人类--&gt;紫色，突变种--&gt;黑色。使用C#中Graphics类的FillRectangle方法来绘制，绘制效果如图2.2所示：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637790" cy="98107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rPr>
          <w:rFonts w:hint="eastAsia"/>
          <w:lang w:val="en-US" w:eastAsia="zh-CN"/>
        </w:rPr>
        <w:t>图2.2 物种表示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7" w:name="_Toc20630"/>
      <w:r>
        <w:rPr>
          <w:rFonts w:hint="eastAsia"/>
          <w:sz w:val="24"/>
          <w:szCs w:val="24"/>
          <w:lang w:val="en-US" w:eastAsia="zh-CN"/>
        </w:rPr>
        <w:t>控制面板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控制面板中包含各种控制按钮，开始、停止、单步、设置运行速度、自然灾害、地形等，采用C#的button、label等控件布局，具体形式如图2.3所示：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043940" cy="3230880"/>
            <wp:effectExtent l="0" t="0" r="381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图2.3 控制面板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8" w:name="_Toc5473"/>
      <w:r>
        <w:rPr>
          <w:rFonts w:hint="eastAsia"/>
          <w:sz w:val="28"/>
          <w:szCs w:val="28"/>
          <w:lang w:val="en-US" w:eastAsia="zh-CN"/>
        </w:rPr>
        <w:t>常量的规定：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网格间距：GRID_WIDTH = 5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生命方格宽度：LIFE_WIDTH = 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世界中网格的数量（边长）：GRID_COUNT = 150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生物的种类：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无生命：NOLIFE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生产者：GRASS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食草动物：GRASS_ANIMAL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低级食肉动物：LOW_ANIMAL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高级食肉动物：HIGH_ANIMAL =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人类：PEOPLE_ANIMAL =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突变种：BOSS = 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地形种类：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平原：FLAT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山区：MOUNTAIN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湖泊：LAKE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高原：HIGHLAND = 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《需求分析》中规则1、2、3、4中要求的数量界限，采用数组的形式表示，数则的下标对应上文中规定的生物种类。数组名称分别为：LiveCountMin、DieCount、LiveGenerations、LiveCountMax。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9" w:name="_Toc16092"/>
      <w:r>
        <w:rPr>
          <w:rFonts w:hint="eastAsia"/>
          <w:sz w:val="28"/>
          <w:szCs w:val="28"/>
          <w:lang w:val="en-US" w:eastAsia="zh-CN"/>
        </w:rPr>
        <w:t>类的设计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常量类(Constants)：封装上文规定的所有常量。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窗体类(FormMain)：表示界面窗体，容纳地图及各类控件。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网格类(Node)：表示世界中的每个方格，有三个属性：colorKind表示生物种类，lifeCount：表示生物存活了几代，placeMode表示生物所处地形。整个世界由150*150个Node对象组成的对象数组构成。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规则类(Rules)：封装了《需求分析》规定的全部12条规则。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控制类(Biz)：封装了世界运行所需的各类方法，例如绘制地图、物种繁衍、设置地形等。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主要类的UML类图如图4.1所示：（虚线为依赖关系）：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3649980"/>
            <wp:effectExtent l="0" t="0" r="10160" b="7620"/>
            <wp:docPr id="8" name="图片 8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ass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图 4.1UML类图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0" w:name="_Toc28548"/>
      <w:r>
        <w:rPr>
          <w:rFonts w:hint="eastAsia"/>
          <w:sz w:val="28"/>
          <w:szCs w:val="28"/>
          <w:lang w:val="en-US" w:eastAsia="zh-CN"/>
        </w:rPr>
        <w:t>实现逻辑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核心函数为NextGeneration函数，即根据上一代计算下一代的物种组成。实现逻辑为，先设置一个新的二维对象数组tempWorld，然后将原数组World复制到tempWorld中，根据原世界数组World的组成，执行12个判定条件，改变tempWorld的值，当判定条件全部执行完成后，再把tempWorld中的值全部复制到World中，这样可以避免前面的判定条件改变World导致后面判定不准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1" w:name="_Toc22580"/>
      <w:r>
        <w:rPr>
          <w:rFonts w:hint="eastAsia"/>
          <w:sz w:val="28"/>
          <w:szCs w:val="28"/>
          <w:lang w:val="en-US" w:eastAsia="zh-CN"/>
        </w:rPr>
        <w:t>实现难点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圆形区域的绘制。运行过程中需要绘制圆形区域，在遍历数组过程中，利用圆的方程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1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便可以得到圆形数组区域。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程序的自动运行。为了实现世界的自动繁衍，使用C#的Timer控件，在Tick函数中调用NextGeneration函数，并设置好运行速度，世界便可以自动繁衍了。</w:t>
      </w:r>
      <w:bookmarkStart w:id="12" w:name="_Toc1399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13" w:name="_Toc26713"/>
      <w:r>
        <w:rPr>
          <w:rFonts w:hint="eastAsia"/>
          <w:sz w:val="28"/>
          <w:szCs w:val="28"/>
          <w:lang w:val="en-US" w:eastAsia="zh-CN"/>
        </w:rPr>
        <w:t>七、本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周小组分工</w:t>
      </w:r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4" w:name="_Toc13902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张钦贤：</w:t>
      </w:r>
      <w:r>
        <w:rPr>
          <w:rFonts w:hint="eastAsia"/>
          <w:sz w:val="24"/>
          <w:szCs w:val="24"/>
          <w:lang w:val="en-US" w:eastAsia="zh-CN"/>
        </w:rPr>
        <w:t>常量类(Constants)、控制类(Biz)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的设计，核心函数</w:t>
      </w:r>
      <w:r>
        <w:rPr>
          <w:rFonts w:hint="eastAsia"/>
          <w:sz w:val="24"/>
          <w:szCs w:val="24"/>
          <w:lang w:val="en-US" w:eastAsia="zh-CN"/>
        </w:rPr>
        <w:t>NextGeneration的编写，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人员分工，进度安排。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5" w:name="_Toc2423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李策：</w:t>
      </w:r>
      <w:bookmarkEnd w:id="15"/>
      <w:bookmarkStart w:id="16" w:name="_Toc5148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规则类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Rules)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设计，圆形区域设计，运行逻辑设计，文档编写。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杜梅：</w:t>
      </w:r>
      <w:bookmarkEnd w:id="16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界面设计、地图设计、物种表示、UML类图绘制，定时器设置。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C20"/>
    <w:multiLevelType w:val="multilevel"/>
    <w:tmpl w:val="59AAAC2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B58DF"/>
    <w:multiLevelType w:val="multilevel"/>
    <w:tmpl w:val="59AB58D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9AB5C14"/>
    <w:multiLevelType w:val="multilevel"/>
    <w:tmpl w:val="59AB5C1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AB5EA4"/>
    <w:multiLevelType w:val="multilevel"/>
    <w:tmpl w:val="59AB5E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AB6F83"/>
    <w:multiLevelType w:val="singleLevel"/>
    <w:tmpl w:val="59AB6F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777C"/>
    <w:rsid w:val="02A813F8"/>
    <w:rsid w:val="05025C4F"/>
    <w:rsid w:val="07574CA1"/>
    <w:rsid w:val="07CB6C2E"/>
    <w:rsid w:val="087E63C8"/>
    <w:rsid w:val="0A021838"/>
    <w:rsid w:val="0C005DF9"/>
    <w:rsid w:val="0D4112EA"/>
    <w:rsid w:val="0F223789"/>
    <w:rsid w:val="0FBF3306"/>
    <w:rsid w:val="12FD48E1"/>
    <w:rsid w:val="1339266A"/>
    <w:rsid w:val="172403A3"/>
    <w:rsid w:val="17DC669B"/>
    <w:rsid w:val="18F47ACB"/>
    <w:rsid w:val="1A4E031F"/>
    <w:rsid w:val="1AFD565A"/>
    <w:rsid w:val="1F6E66BC"/>
    <w:rsid w:val="20BC4AE0"/>
    <w:rsid w:val="21901BA6"/>
    <w:rsid w:val="24652670"/>
    <w:rsid w:val="26BD3611"/>
    <w:rsid w:val="27057BAD"/>
    <w:rsid w:val="29D57BAE"/>
    <w:rsid w:val="2A456E32"/>
    <w:rsid w:val="2D807081"/>
    <w:rsid w:val="2E173C2F"/>
    <w:rsid w:val="30105CA7"/>
    <w:rsid w:val="302C4C6E"/>
    <w:rsid w:val="30751E49"/>
    <w:rsid w:val="321F3F21"/>
    <w:rsid w:val="342405DF"/>
    <w:rsid w:val="35384848"/>
    <w:rsid w:val="359C623A"/>
    <w:rsid w:val="365C0A07"/>
    <w:rsid w:val="3720174A"/>
    <w:rsid w:val="37583643"/>
    <w:rsid w:val="37CB1B67"/>
    <w:rsid w:val="3A86791F"/>
    <w:rsid w:val="3D6F5D95"/>
    <w:rsid w:val="3E7261E7"/>
    <w:rsid w:val="40B21297"/>
    <w:rsid w:val="42013441"/>
    <w:rsid w:val="45CF18CD"/>
    <w:rsid w:val="45DE1823"/>
    <w:rsid w:val="463101D8"/>
    <w:rsid w:val="479E0D04"/>
    <w:rsid w:val="488B3E8C"/>
    <w:rsid w:val="48DE267A"/>
    <w:rsid w:val="4E682744"/>
    <w:rsid w:val="5086078A"/>
    <w:rsid w:val="55556BBE"/>
    <w:rsid w:val="56A04E4E"/>
    <w:rsid w:val="59A80581"/>
    <w:rsid w:val="5A582E30"/>
    <w:rsid w:val="5B635929"/>
    <w:rsid w:val="5B701573"/>
    <w:rsid w:val="5C03181F"/>
    <w:rsid w:val="5C656C72"/>
    <w:rsid w:val="5C861C2D"/>
    <w:rsid w:val="5CA574A3"/>
    <w:rsid w:val="5DC77C65"/>
    <w:rsid w:val="5E037F0F"/>
    <w:rsid w:val="5E6A410C"/>
    <w:rsid w:val="5F2528E0"/>
    <w:rsid w:val="5F2E3819"/>
    <w:rsid w:val="5F4601EA"/>
    <w:rsid w:val="63E64C79"/>
    <w:rsid w:val="696B34C1"/>
    <w:rsid w:val="69A445C8"/>
    <w:rsid w:val="6AA276F0"/>
    <w:rsid w:val="6AE72675"/>
    <w:rsid w:val="6D856D2D"/>
    <w:rsid w:val="6E8E606C"/>
    <w:rsid w:val="71F16F99"/>
    <w:rsid w:val="728A5516"/>
    <w:rsid w:val="7464042E"/>
    <w:rsid w:val="75503052"/>
    <w:rsid w:val="764A1FD0"/>
    <w:rsid w:val="776964EC"/>
    <w:rsid w:val="78FF3AAD"/>
    <w:rsid w:val="7EE7426A"/>
    <w:rsid w:val="7EF37E57"/>
    <w:rsid w:val="7EFA6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2017-09-03T11:55:52Z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