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82"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23.3064270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23.107147216796875" w:right="215.307617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First Quarter 2024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7.25480556488037" w:lineRule="auto"/>
        <w:ind w:left="23.107147216796875" w:right="221.23046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our first quarter 2024  earnings call. I am joined today by our Chief Executive Officer, Jane Fraser, and our Chief Financial Officer,  Mark Mason.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65234565734863" w:lineRule="auto"/>
        <w:ind w:left="23.107147216796875" w:right="222.2692871093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9599609375" w:line="238.45848083496094" w:lineRule="auto"/>
        <w:ind w:left="28.88397216796875" w:right="226.27685546875" w:hanging="16.533660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good morning to everyone. Today I am going to touch on the  macroeco </w:t>
      </w:r>
      <w:r w:rsidDel="00000000" w:rsidR="00000000" w:rsidRPr="00000000">
        <w:drawing>
          <wp:anchor allowOverlap="1" behindDoc="0" distB="19050" distT="19050" distL="19050" distR="19050" hidden="0" layoutInCell="1" locked="0" relativeHeight="0" simplePos="0">
            <wp:simplePos x="0" y="0"/>
            <wp:positionH relativeFrom="column">
              <wp:posOffset>575422</wp:posOffset>
            </wp:positionH>
            <wp:positionV relativeFrom="paragraph">
              <wp:posOffset>174497</wp:posOffset>
            </wp:positionV>
            <wp:extent cx="5539867" cy="149352"/>
            <wp:effectExtent b="0" l="0" r="0" t="0"/>
            <wp:wrapSquare wrapText="left" distB="19050" distT="19050" distL="19050" distR="19050"/>
            <wp:docPr id="84"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a:off x="0" y="0"/>
                      <a:ext cx="5539867" cy="149352"/>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23.10714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quarter.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531894683838" w:lineRule="auto"/>
        <w:ind w:left="23.107147216796875" w:right="216.773681640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global economic performance was surprisingly desynchronized last year, the overall story has been  consistent of late: one of economic resiliency supported by tight labor markets and the consumer. Growth  this year looks poised to slow in many markets. And conditions are generally disinflationary - you are  already seeing some central banks in the emerging markets starting to cut rates.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0439453125" w:line="237.25444793701172" w:lineRule="auto"/>
        <w:ind w:left="24.3023681640625" w:right="224.38842773437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U.S., a soft landing is viewed as increasingly likely. But we continue to see a tale of two Europes with  Germany hurt by the weak demand for goods while southern European countries such as Spain and Greece  benefit from stronger demand in services.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2802734375" w:line="240" w:lineRule="auto"/>
        <w:ind w:left="32.46948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Asia,  </w:t>
      </w:r>
      <w:r w:rsidDel="00000000" w:rsidR="00000000" w:rsidRPr="00000000">
        <w:drawing>
          <wp:anchor allowOverlap="1" behindDoc="0" distB="19050" distT="19050" distL="19050" distR="19050" hidden="0" layoutInCell="1" locked="0" relativeHeight="0" simplePos="0">
            <wp:simplePos x="0" y="0"/>
            <wp:positionH relativeFrom="column">
              <wp:posOffset>496945</wp:posOffset>
            </wp:positionH>
            <wp:positionV relativeFrom="paragraph">
              <wp:posOffset>23622</wp:posOffset>
            </wp:positionV>
            <wp:extent cx="5621909" cy="149352"/>
            <wp:effectExtent b="0" l="0" r="0" t="0"/>
            <wp:wrapSquare wrapText="left" distB="19050" distT="19050" distL="19050" distR="19050"/>
            <wp:docPr id="83"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5621909" cy="149352"/>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23.10714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although its property market remains a concern.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6.85290336608887" w:lineRule="auto"/>
        <w:ind w:left="23.107147216796875" w:right="216.0400390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Amidst all these dynamics, we continue to focus on executing against our strategy and delivering the best  of Citi to all our stakeholders. I said 2024 will be a pivotal year for us as we put our business and  organizational simplification largely behind us and we focus on two main priorities: the Transformation and  the performance of our businesses and the firm.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656799316406"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79"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3.107147216796875" w:right="227.4060058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Last month marked the end to the organizational simplification we announced in September. The result is  a cleaner, simpler management structure that fully aligns to and facilitates our strategy. We are now more  client-centric </w:t>
      </w:r>
      <w:r w:rsidDel="00000000" w:rsidR="00000000" w:rsidRPr="00000000">
        <w:drawing>
          <wp:anchor allowOverlap="1" behindDoc="0" distB="19050" distT="19050" distL="19050" distR="19050" hidden="0" layoutInCell="1" locked="0" relativeHeight="0" simplePos="0">
            <wp:simplePos x="0" y="0"/>
            <wp:positionH relativeFrom="column">
              <wp:posOffset>787879</wp:posOffset>
            </wp:positionH>
            <wp:positionV relativeFrom="paragraph">
              <wp:posOffset>323850</wp:posOffset>
            </wp:positionV>
            <wp:extent cx="5332221" cy="149352"/>
            <wp:effectExtent b="0" l="0" r="0" t="0"/>
            <wp:wrapSquare wrapText="bothSides" distB="19050" distT="19050" distL="19050" distR="19050"/>
            <wp:docPr id="78"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5332221" cy="14935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8.45836639404297" w:lineRule="auto"/>
        <w:ind w:left="23.107147216796875" w:right="229.19433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 lines of accountability, starting with my management team, fewer layers, increased spans of control,  and frankly much less bureaucracy and needless complexity.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2646484375" w:line="203.93832206726074" w:lineRule="auto"/>
        <w:ind w:left="14.740753173828125" w:right="126.7993164062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will all help us run the company more efficiently, it will enhance our client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34874" cy="149352"/>
            <wp:effectExtent b="0" l="0" r="0" t="0"/>
            <wp:docPr id="81" name="image79.png"/>
            <a:graphic>
              <a:graphicData uri="http://schemas.openxmlformats.org/drawingml/2006/picture">
                <pic:pic>
                  <pic:nvPicPr>
                    <pic:cNvPr id="0" name="image79.png"/>
                    <pic:cNvPicPr preferRelativeResize="0"/>
                  </pic:nvPicPr>
                  <pic:blipFill>
                    <a:blip r:embed="rId10"/>
                    <a:srcRect b="0" l="0" r="0" t="0"/>
                    <a:stretch>
                      <a:fillRect/>
                    </a:stretch>
                  </pic:blipFill>
                  <pic:spPr>
                    <a:xfrm>
                      <a:off x="0" y="0"/>
                      <a:ext cx="134874"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experience, and improve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4510" cy="149352"/>
            <wp:effectExtent b="0" l="0" r="0" t="0"/>
            <wp:docPr id="80"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610451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more roles were ultimately impacted than the 5,000 we discussed in January.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00830078125" w:line="223.11585903167725" w:lineRule="auto"/>
        <w:ind w:left="14.740753173828125" w:right="126.7993164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took a number of other steps to sharpen our business focus and improve returns by right placing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4510" cy="149352"/>
            <wp:effectExtent b="0" l="0" r="0" t="0"/>
            <wp:docPr id="76" name="image89.png"/>
            <a:graphic>
              <a:graphicData uri="http://schemas.openxmlformats.org/drawingml/2006/picture">
                <pic:pic>
                  <pic:nvPicPr>
                    <pic:cNvPr id="0" name="image89.png"/>
                    <pic:cNvPicPr preferRelativeResize="0"/>
                  </pic:nvPicPr>
                  <pic:blipFill>
                    <a:blip r:embed="rId12"/>
                    <a:srcRect b="0" l="0" r="0" t="0"/>
                    <a:stretch>
                      <a:fillRect/>
                    </a:stretch>
                  </pic:blipFill>
                  <pic:spPr>
                    <a:xfrm>
                      <a:off x="0" y="0"/>
                      <a:ext cx="610451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strategy; and right sizing the workforce in Wealth.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6787109375" w:line="236.85286045074463" w:lineRule="auto"/>
        <w:ind w:left="25.89599609375" w:right="216.5942382812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result of all these combined steps, which include the simplification, we are eliminating approximately  7,000 positions which will generate $1.5 billion of annualized run-rate expense saves. The combination of  these actions and the measures we are taking to eliminate our remaining stranded costs will drive $2 to  $2.5 billion in cumulative annualized run-rate saves in the medium term.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0502004623413" w:lineRule="auto"/>
        <w:ind w:left="23.107147216796875" w:right="221.4184570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keeping a close eye on the execution of these efforts and overall resourcing to ensure we safeguard  our commitment to the Transformation. As you know, given its magnitude and scale, the Transformation  is a multi-year effort to address issues that have spanned over two decades.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7.25480556488037" w:lineRule="auto"/>
        <w:ind w:left="23.107147216796875" w:right="218.07861328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made steady progress as we retire multiple legacy platforms, streamline end-to-end processes,  and strengthen our risk and control environment. All of which are necessary, not only to meet the  expectations of our regulators, but also to serve our clients more effectively.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17919921875" w:line="236.98712825775146" w:lineRule="auto"/>
        <w:ind w:left="25.89599609375" w:right="216.3452148437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transformation of this magnitude is never linear. So while we have made good progress in many areas,  there are a few where we are intensifying our efforts, such as automating certain regulatory processes and  the data related to regulatory reporting. We are committed to getting these right and will look to self-fund  the necessary investments to do so.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3447265625" w:line="236.6525173187256" w:lineRule="auto"/>
        <w:ind w:left="19.123077392578125" w:right="219.173583984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quarter, we had a good start to a pivotal year. We reported net income of approximately $3.4  billion, EPS of $1.58 and an RoTCE of 7.6% on over $21 billion of revenues. Our revenues were up over 3%  year-over-year, excluding divestitures, which was primarily the billion-dollar gain from the India consumer  sale last year. Our expenses were slightly down quarter-over-quarter, excluding the FDIC special  assessments.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04990005493164" w:lineRule="auto"/>
        <w:ind w:left="23.107147216796875" w:right="219.871826171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Services continues to perform well and generate very attractive returns. Revenue was up 8% for the quarter  as both businesses won new mandates and deepened relationships with existing clients.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80269241333008" w:lineRule="auto"/>
        <w:ind w:left="21.91192626953125" w:right="221.151123046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Fees were up a pleasing 10% for Services year over year, driven by the investments we have made across  our product offering, platforms and client experience. In Securities Services, we took share again this  quarter. And in TTS, cross-border activity continued to outpace global GDP growth, and commercial card  spend remained robust. We look forward to diving deeper into these two businesses at our Investor  Presentation on Services in June.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873779296875" w:line="228.1316328048706" w:lineRule="auto"/>
        <w:ind w:left="14.740753173828125" w:right="124.3994140625" w:hanging="3.38638305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6034" cy="149352"/>
            <wp:effectExtent b="0" l="0" r="0" t="0"/>
            <wp:docPr id="75" name="image83.png"/>
            <a:graphic>
              <a:graphicData uri="http://schemas.openxmlformats.org/drawingml/2006/picture">
                <pic:pic>
                  <pic:nvPicPr>
                    <pic:cNvPr id="0" name="image83.png"/>
                    <pic:cNvPicPr preferRelativeResize="0"/>
                  </pic:nvPicPr>
                  <pic:blipFill>
                    <a:blip r:embed="rId13"/>
                    <a:srcRect b="0" l="0" r="0" t="0"/>
                    <a:stretch>
                      <a:fillRect/>
                    </a:stretch>
                  </pic:blipFill>
                  <pic:spPr>
                    <a:xfrm>
                      <a:off x="0" y="0"/>
                      <a:ext cx="6106034"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impacted Rates and Currencies, that was off a very strong first quarter last year. We saw good client activity  in Equities and in Spread Products, where both new issuance and securitization activity were particularly  robust. We fully integrated our Financing and Securitization capabilities within our Markets business and  we started to see the benefits of having a unified spread product offering for our clients.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63977050781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04918479919434" w:lineRule="auto"/>
        <w:ind w:left="19.521484375" w:right="216.31591796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rebound in Banking gained speed during the quarter, led by near-record levels of investment grade debt  issuance as improved market conditions enabled issuers to pull forward activity. And after a bit of a slow  start, ECM picked up in the second half of the quarter, notably in convertibles.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40.86691856384277" w:lineRule="auto"/>
        <w:ind w:left="14.740753173828125" w:right="121.600341796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strong performance in both DCM and ECM drove Investment Banking revenue growth of 35% and  overall Banking revenue growth of 49%. While M&amp;A revenues are still low across the street, I was pleased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7811" cy="149352"/>
            <wp:effectExtent b="0" l="0" r="0" t="0"/>
            <wp:docPr id="85" name="image86.png"/>
            <a:graphic>
              <a:graphicData uri="http://schemas.openxmlformats.org/drawingml/2006/picture">
                <pic:pic>
                  <pic:nvPicPr>
                    <pic:cNvPr id="0" name="image86.png"/>
                    <pic:cNvPicPr preferRelativeResize="0"/>
                  </pic:nvPicPr>
                  <pic:blipFill>
                    <a:blip r:embed="rId14"/>
                    <a:srcRect b="0" l="0" r="0" t="0"/>
                    <a:stretch>
                      <a:fillRect/>
                    </a:stretch>
                  </pic:blipFill>
                  <pic:spPr>
                    <a:xfrm>
                      <a:off x="0" y="0"/>
                      <a:ext cx="6107811"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40149" cy="149352"/>
            <wp:effectExtent b="0" l="0" r="0" t="0"/>
            <wp:docPr id="86"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4240149"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1357421875" w:line="238.60905647277832" w:lineRule="auto"/>
        <w:ind w:left="14.740753173828125" w:right="219.48364257812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cautiously optimistic that we could see a measured reopening of the IPO market in the second  quarter in light of improved market valuations. Corporate sentiment is quite positive, especially in the U.S.,  and our clients around the world have very sound balance sheets. We very much look forward to welcoming  Vis Raghavan to Citi to lead our Banking franchise in early June. Like other new top talent who have joined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483354" cy="149352"/>
            <wp:effectExtent b="0" l="0" r="0" t="0"/>
            <wp:docPr id="88"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4483354"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87353515625" w:line="236.53209686279297" w:lineRule="auto"/>
        <w:ind w:left="23.107147216796875" w:right="220.92041015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Wealth, while revenues were down in the quarter, we grew fees and gathered an estimated $22 billion of  net new assets over the past 12 months. As you have seen, Andy continues to form his team and is focused  on three areas: first, rationalizing the expense base, second, turning on the growth engine by focusing on  investment revenues, and third, enhancing our platforms and capabilities to elevate the client experience.  Now t , but getting these things right will help us get more than our fair share  of the $5 trillion of assets that  </w:t>
      </w:r>
      <w:r w:rsidDel="00000000" w:rsidR="00000000" w:rsidRPr="00000000">
        <w:drawing>
          <wp:anchor allowOverlap="1" behindDoc="0" distB="19050" distT="19050" distL="19050" distR="19050" hidden="0" layoutInCell="1" locked="0" relativeHeight="0" simplePos="0">
            <wp:simplePos x="0" y="0"/>
            <wp:positionH relativeFrom="column">
              <wp:posOffset>358161</wp:posOffset>
            </wp:positionH>
            <wp:positionV relativeFrom="paragraph">
              <wp:posOffset>622554</wp:posOffset>
            </wp:positionV>
            <wp:extent cx="1723009" cy="149352"/>
            <wp:effectExtent b="0" l="0" r="0" t="0"/>
            <wp:wrapSquare wrapText="bothSides" distB="19050" distT="19050" distL="19050" distR="19050"/>
            <wp:docPr id="89"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1723009"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1731615</wp:posOffset>
            </wp:positionH>
            <wp:positionV relativeFrom="paragraph">
              <wp:posOffset>771906</wp:posOffset>
            </wp:positionV>
            <wp:extent cx="4386961" cy="149352"/>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4386961" cy="149352"/>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0849609375" w:line="240" w:lineRule="auto"/>
        <w:ind w:left="25.895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they need to be in this business in the medium term.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094087600708" w:lineRule="auto"/>
        <w:ind w:left="23.107147216796875" w:right="216.6723632812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USPB had double-digit revenue growth for the sixth straight quarter. We feel good about our position and  our resiliency as a prime, lend-centric issuer and are seeing positive momentum across proprietary card  and partner card businesses. Healthy spend growth persists in Branded Cards, primarily driven by our more  affluent customers. Across both portfolios, increased demand for credit continues to drive strong growth  in interest-earning balances. And while they are only a small part of our portfolio, we are keeping an eye on  the customers in the lower FICO bands.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59716796875" w:line="236.04990005493164" w:lineRule="auto"/>
        <w:ind w:left="9047.604370117188" w:right="216.30859375" w:hanging="9029.07836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continue to see strong engagement in digital payment offerings such as Citi Pay, a point-of-sale  more  </w:t>
      </w:r>
      <w:r w:rsidDel="00000000" w:rsidR="00000000" w:rsidRPr="00000000">
        <w:drawing>
          <wp:anchor allowOverlap="1" behindDoc="0" distB="19050" distT="19050" distL="19050" distR="19050" hidden="0" layoutInCell="1" locked="0" relativeHeight="0" simplePos="0">
            <wp:simplePos x="0" y="0"/>
            <wp:positionH relativeFrom="column">
              <wp:posOffset>-5716817</wp:posOffset>
            </wp:positionH>
            <wp:positionV relativeFrom="paragraph">
              <wp:posOffset>172974</wp:posOffset>
            </wp:positionV>
            <wp:extent cx="5749925" cy="149352"/>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5749925" cy="14935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7.7287292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value from our Retail Branches as well as getting the expense base right to increase returns there.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531894683838" w:lineRule="auto"/>
        <w:ind w:left="23.107147216796875" w:right="218.9721679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balance sheet is strong across the board, an intentional result of our high-quality assets, robust capital  and liquidity positions, and rigorous risk management. During the first quarter, we returned $1.5 billion in  capital to our common shareholders, including $500 million through share buybacks. Our CET1 ratio ticked  up to a preliminary 13.5% and we grew our Tangible Book Value per share to $86.67.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25146484375" w:line="229.73519325256348" w:lineRule="auto"/>
        <w:ind w:left="14.740753173828125" w:right="111.4001464843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 great franchise around the world, with great clients who are served by great colleagues. I am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14288" cy="149352"/>
            <wp:effectExtent b="0" l="0" r="0" t="0"/>
            <wp:docPr id="53"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611428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simplification behind us, and a good quarter under our belt, we have started this critical year on the right  foot. While there will be bumps in the road, no doubt, we will continue to execute with discipline and we  are committed to reaching our medium-term targets.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3529052734375" w:line="240" w:lineRule="auto"/>
        <w:ind w:left="0" w:right="225.784912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Mark and then we will both be delighted, as always, to take your  </w:t>
      </w:r>
      <w:r w:rsidDel="00000000" w:rsidR="00000000" w:rsidRPr="00000000">
        <w:drawing>
          <wp:anchor allowOverlap="1" behindDoc="0" distB="19050" distT="19050" distL="19050" distR="19050" hidden="0" layoutInCell="1" locked="0" relativeHeight="0" simplePos="0">
            <wp:simplePos x="0" y="0"/>
            <wp:positionH relativeFrom="column">
              <wp:posOffset>-1995224</wp:posOffset>
            </wp:positionH>
            <wp:positionV relativeFrom="paragraph">
              <wp:posOffset>23622</wp:posOffset>
            </wp:positionV>
            <wp:extent cx="2063242" cy="149352"/>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2063242" cy="149352"/>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3.10714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questions. Thank you.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365478515625" w:line="236.43869876861572" w:lineRule="auto"/>
        <w:ind w:left="21.91192626953125" w:right="103.59130859375" w:firstLine="11.376037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for the first quarter unless I indicate otherwise, and then  spend a little more time on the businesses.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61425781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5285320281982" w:lineRule="auto"/>
        <w:ind w:left="18.12713623046875" w:right="98.9404296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financial results for the full firm. In the first quarter, we reported net income of  approximately $3.4 billion, EPS of $1.58 and an RoTCE of 7.6% on $21.1 billion of revenues. Total revenues  were down 2% on a reported basis. Excluding divestiture-related impacts, largely consisting of the $1 billion  gain from the sale of the India consumer business in the prior year, revenues were up more than 3%, driven  by growth across Banking, USPB and Services, partially offset by declines in Markets and Wealth. Expenses  were $14.2 billion, up 7%, on a reported basis. Excluding divestiture-related impacts and the incremental  FDIC special assessment, expenses were up 5%. Cost of credit was approximately $2.4 billion, primarily  driven by higher Card net credit losses, which were partially offset by ACL releases in Wealth, Banking and  Legacy Franchises. At the end of the quarter, we had nearly $22 billion in total reserves with a reserve-to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451171875" w:line="240" w:lineRule="auto"/>
        <w:ind w:left="21.5135192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funded loans ratio of approximately 2.8%.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18359375" w:line="239.46214199066162" w:lineRule="auto"/>
        <w:ind w:left="14.740753173828125" w:right="5.799560546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the expense trend over the past five quarters. We reported expenses of $14.2 billion,  which included the incremental FDIC special assessment of roughly $250 million. Also included in this  number are $225 million of restructuring charges largely related to the organizational simplification. In total,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1344" cy="149352"/>
            <wp:effectExtent b="0" l="0" r="0" t="0"/>
            <wp:docPr id="52"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6181344"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534683227539" w:lineRule="auto"/>
        <w:ind w:left="19.123077392578125" w:right="100.4711914062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actions, we expect approximately $1.5 billion of annualized run-rate saves over the medium term related to  a headcount reduction of approximately 7,000. In addition to the restructuring, we took approximately $260  million of repositioning costs largely related to our efficiency efforts across the firm, including the reduction  of stranded costs associated with the consumer divestitures. The expected savings from these actions will  allow us to continue to fund additional investments in the Transformation this year. And relative to the prior  year, the remainder of the expense growth was largely driven by inflation and volume-related expenses,  partially offset by productivity savings. In the remainder of the year, we expect a more normalized level of  repositioning, which is already embedded in our guidance. Therefore, you can expect our quarterly expense  trend to go down from here in line with our $53.5-$53.8 billion ex-FDIC expense guidance.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8408203125" w:line="236.92015171051025" w:lineRule="auto"/>
        <w:ind w:left="17.52960205078125" w:right="98.9099121093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net interest income, deposits, and loans, sequential variances. In the  first quarter, net interest income decreased by $317 million, largely driven by Markets, which resulted in a 4  basis point decrease in net interest margin. Excluding Markets, net interest income was relatively flat.  Average loans were up $4 billion, primarily driven by Loans in Spread Products in Markets, as well as Card  and Mortgage loans in US Personal Banking, partially offset by declines in Services. And average deposits  were up nearly $7 billion, primarily driven by Services, as we continue to grow high-quality operating  deposits. </w:t>
      </w:r>
      <w:r w:rsidDel="00000000" w:rsidR="00000000" w:rsidRPr="00000000">
        <w:drawing>
          <wp:anchor allowOverlap="1" behindDoc="0" distB="19050" distT="19050" distL="19050" distR="19050" hidden="0" layoutInCell="1" locked="0" relativeHeight="0" simplePos="0">
            <wp:simplePos x="0" y="0"/>
            <wp:positionH relativeFrom="column">
              <wp:posOffset>3509347</wp:posOffset>
            </wp:positionH>
            <wp:positionV relativeFrom="paragraph">
              <wp:posOffset>23622</wp:posOffset>
            </wp:positionV>
            <wp:extent cx="1098055" cy="149352"/>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9"/>
                    <a:srcRect b="0" l="0" r="0" t="0"/>
                    <a:stretch>
                      <a:fillRect/>
                    </a:stretch>
                  </pic:blipFill>
                  <pic:spPr>
                    <a:xfrm>
                      <a:off x="0" y="0"/>
                      <a:ext cx="1098055" cy="149352"/>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052734375" w:line="236.9534969329834" w:lineRule="auto"/>
        <w:ind w:left="18.12713623046875" w:right="98.797607421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key consumer and corporate credit metrics. This quarter, we adjusted our FICO  distribution to be more aligned with industry reporting practices and now show our FICO mix using a 660  threshold. Across Branded Cards and Retail Services, approximately 85% of our card loans are to consumers  with FICO scores of 660 or higher. And we remain well reserved with a reserve-to-funded loan ratio of 8.2%  for our total card portfolio. In our Corporate portfolio, the majority of our exposure is investment grade,  which is reflected in our low level of non-accrual loans at 0.5% of total corporate loans. As a reminder, our  loan loss reserves incorporate a scenario-weighted average unemployment rate of approximately 5%, which  includes a downside scenario unemployment rate of close to 7%. As such, we feel very comfortable with the  nearly $22 billion of reserves we have in the current environment.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8408203125" w:line="240" w:lineRule="auto"/>
        <w:ind w:left="0" w:right="104.7192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highlight the strength of our balance sheet, capital and  </w:t>
      </w:r>
      <w:r w:rsidDel="00000000" w:rsidR="00000000" w:rsidRPr="00000000">
        <w:drawing>
          <wp:anchor allowOverlap="1" behindDoc="0" distB="19050" distT="19050" distL="19050" distR="19050" hidden="0" layoutInCell="1" locked="0" relativeHeight="0" simplePos="0">
            <wp:simplePos x="0" y="0"/>
            <wp:positionH relativeFrom="column">
              <wp:posOffset>-2844966</wp:posOffset>
            </wp:positionH>
            <wp:positionV relativeFrom="paragraph">
              <wp:posOffset>23622</wp:posOffset>
            </wp:positionV>
            <wp:extent cx="2912110" cy="149352"/>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2912110" cy="149352"/>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642578125" w:line="237.77044773101807" w:lineRule="auto"/>
        <w:ind w:left="14.740753173828125" w:right="6.600341796875" w:firstLine="15.13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liquidity.We maintain a very strong $2.4 trillion high-quality balance sheet, which increased 1% sequentially. Despite this increase, we were able to decrease our risk-weighted assets reflecting our continued  optimization efforts and focus on capital efficiency. Our balance sheet is a reflection of our risk appetite,  strategy and diversified business model. The foundation of our funding is a $1.3 trillion deposit base, which  is well diversified across regions, industries, customers and account types. The majority of our deposits,  $812 billion, are corporate and span 90 countries. Most of our corporate deposits reside in operating  accounts that are crucial to how our clients fund their daily operations around the world. In most cases, we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0836" cy="149352"/>
            <wp:effectExtent b="0" l="0" r="0" t="0"/>
            <wp:docPr id="60"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6180836" cy="1493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1155903</wp:posOffset>
            </wp:positionH>
            <wp:positionV relativeFrom="paragraph">
              <wp:posOffset>1221486</wp:posOffset>
            </wp:positionV>
            <wp:extent cx="128016" cy="149352"/>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7852954864502" w:lineRule="auto"/>
        <w:ind w:left="18.12713623046875" w:right="99.35424804687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integrated services payments &amp; collections, liquidity management and working capital solutions. All of  which greatly increase the stickiness of these deposits. The majority of our remaining deposits, about $423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9431152343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23.107147216796875" w:right="101.93847656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billion, are well diversified across the Private Bank, Citigold, Retail and Wealth at Work, as well as across  regions and products. Now turning to the asset side, over the last several years, we have maintained a strong  risk appetite framework and have been very deliberate about how we deploy our deposits and other liabilities  into high-quality assets. This starts with our $675 billion loan portfolio which is well diversified across  consumer and corporate loans. And the duration of the total portfolio is approximately 1.2 years. About 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6.85266017913818" w:lineRule="auto"/>
        <w:ind w:left="23.107147216796875" w:right="101.90307617187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third of our balance sheet is held in cash and high-quality, short-duration investment securities that  contribute to our nearly $1 trillion of available liquidity resources. And for the quarter, we had an LCR of 117%. So to wrap it up, we are active and deliberate in the management of our balance sheet, which is reflected in  our high-quality assets and strong capital and liquidity position.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7.02811241149902" w:lineRule="auto"/>
        <w:ind w:left="21.91192626953125" w:right="98.813476562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the sequential CET1 walk to provide more detail on the drivers this quarter. First, we  generated $3.1 billion of net income to common shareholders, which added 27 basis points. Second, we  returned $1.5 billion in the form of common dividends and share repurchases, which drove a reduction of  about 13 basis points. Third, we saw an increase in our disallowed DTA, which resulted in a 10 basis point  decrease. And finally, the remaining 6 basis point benefit was largely driven by a reduction in RWA. We ended  the quarter with a preliminary 13.5% CET1 capital ratio, approximately 120 basis points, or over $13 billion,  above our regulatory capital requirement of 12.3%. That said, our capital requirement does not yet reflect our  simplification efforts, the benefits of our Transformation or the full execution of our strategy, all of which we  expect to bring down capital requirements over 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08056640625" w:line="236.95886135101318" w:lineRule="auto"/>
        <w:ind w:left="19.521484375" w:right="99.710693359375" w:firstLine="3.7849426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now turning to slide 12. Before I get into the businesses, let me remind you that in the fourth quarter, we  implemented a revenue sharing arrangement within Banking, and between Banking, Services and Markets  to reflect the benefit the businesses get from our relationship-based lending. The impact of revenue sharing  is in In Services, revenues were  up 8% this quarter, driven by continued momentum across both TTS and Securities Services. Net interest  income increased 6%, driven by higher deposit and trade loan spreads. Non-interest revenue increased 14%,  largely driven by continued strength across underlying fee drivers. In TTS, cross-border volumes increased  9%, USD clearing volumes increased 3% and commercial card spend volumes increased 5%, all of which was  driven by strong corporate client activity. In Securities Services, our preliminary assets under custody and  administration increased 11%, benefiting from higher market valuations, as well as new client onboarding.  The growth in both businesses is a direct result of our continued investments in product innovation, the  client experience and platform modernization to gain share across all client segments. TTS continues to  maintain its number one position with Large Corporate and FI clients and see good momentum in the  commercial client segment. And we continue to gain share in Securities Services. Expenses increased 11%,  largely driven by continued investments in technology and product innovation. Cost of credit was $64  million as net credit losses remain low. Net income was approximately $1.5 billion. Average loans were up  4%, primarily driven by strong demand for working capital loans in TTS. Average deposits were down 3% as  the impact of quantitative tightening more than offset new client acquisitions and deepening with existing  clients. However, it is worth noting that we continue to see good operating deposit inflow. And Services  continues to deliver a high RoTCE of 24.1% for the quarter. </w:t>
      </w:r>
      <w:r w:rsidDel="00000000" w:rsidR="00000000" w:rsidRPr="00000000">
        <w:drawing>
          <wp:anchor allowOverlap="1" behindDoc="0" distB="19050" distT="19050" distL="19050" distR="19050" hidden="0" layoutInCell="1" locked="0" relativeHeight="0" simplePos="0">
            <wp:simplePos x="0" y="0"/>
            <wp:positionH relativeFrom="column">
              <wp:posOffset>247662</wp:posOffset>
            </wp:positionH>
            <wp:positionV relativeFrom="paragraph">
              <wp:posOffset>473202</wp:posOffset>
            </wp:positionV>
            <wp:extent cx="4379087" cy="14935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9"/>
                    <a:srcRect b="0" l="0" r="0" t="0"/>
                    <a:stretch>
                      <a:fillRect/>
                    </a:stretch>
                  </pic:blipFill>
                  <pic:spPr>
                    <a:xfrm>
                      <a:off x="0" y="0"/>
                      <a:ext cx="4379087" cy="149352"/>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787353515625" w:line="236.91975116729736" w:lineRule="auto"/>
        <w:ind w:left="23.107147216796875" w:right="99.096679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the results for Markets for the first quarter. Markets revenues were down 7% as lower  Fixed Income revenues more than offset growth in Equities. Fixed Income revenues decreased 10%, driven  by Rates and Currencies, which were down 21%, on the back of lower volatility and a strong quarter in the  prior year. This was partially offset by strength in Spread Products and Other Fixed Income, which was up  26% driven by an increase in client activity, particularly in asset-backed lending. And we continued to see  good underlying momentum in Equities, with revenues up 5%, driven by growth across cash trading and  equity derivatives. And we continued to make progress in prime with balances up more than 10%. Expenses  increased 7%, largely driven by the absence of a legal reserve release last year. Cost of credit was $200  million, primarily driven by macroeconomic assumptions related to loans in Spread Products that impacted  reserves. Net income was approximately $1.4 billion. Average loans increased 8%, primarily driven by asset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069580078125" w:line="237.21433639526367" w:lineRule="auto"/>
        <w:ind w:left="23.107147216796875" w:right="99.2248535156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backed lending in Spread Products due to an improvement in market activity. Average trading assets  increased 4% sequentially, largely driven by seasonally stronger activity in the first quarter. Markets  delivered an RoTCE of 10.4% for the quarter.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572753906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818567276001" w:lineRule="auto"/>
        <w:ind w:left="23.306427001953125" w:right="100.60180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Banking for the first quarter. Banking revenues increased 49%, driven by  growth in Investment banking and Corporate Lending and lower losses on loan hedges. As I previously  mentioned, Corporate Lending results include the impact of revenue sharing from Investment Banking,  Services and Markets. Investment Banking revenues increased 35%, driven by DCM and ECM as improved  market sentiment led to an increase in issuance activity, particularly Investment Grade, which is running at  near-record levels. Advisory revenues declined given the low level of announced merger activity last year. However, in the quarter we participated in the pickup in announced M&amp;A across sectors, including those  Corporate Lending revenues, excluding  </w:t>
      </w:r>
      <w:r w:rsidDel="00000000" w:rsidR="00000000" w:rsidRPr="00000000">
        <w:drawing>
          <wp:anchor allowOverlap="1" behindDoc="0" distB="19050" distT="19050" distL="19050" distR="19050" hidden="0" layoutInCell="1" locked="0" relativeHeight="0" simplePos="0">
            <wp:simplePos x="0" y="0"/>
            <wp:positionH relativeFrom="column">
              <wp:posOffset>13612</wp:posOffset>
            </wp:positionH>
            <wp:positionV relativeFrom="paragraph">
              <wp:posOffset>1073658</wp:posOffset>
            </wp:positionV>
            <wp:extent cx="3839337" cy="149352"/>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19"/>
                    <a:srcRect b="0" l="0" r="0" t="0"/>
                    <a:stretch>
                      <a:fillRect/>
                    </a:stretch>
                  </pic:blipFill>
                  <pic:spPr>
                    <a:xfrm>
                      <a:off x="0" y="0"/>
                      <a:ext cx="3839337" cy="149352"/>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029296875" w:line="236.95271015167236" w:lineRule="auto"/>
        <w:ind w:left="23.107147216796875" w:right="99.0405273437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mark-to-market on loan hedges, increased 34%, largely driven by higher revenue share. We generated  positive operating leverage this quarter as expenses decreased 4%, driven by actions taken to right size the  expense base. Cost of credit was a benefit of $129 million, primarily driven by changes in portfolio  composition. The NCL rate was 0.3% of average loans, and we ended the quarter with a reserve-to-funded  loan ratio of 1.5%. Net income was approximately $536 million. Average loans decreased 6% as we  maintained strict discipline around capital efficiency, as we optimize Corporate loan balances. RoTCE was  9.9% for the quarter, reflecting a rebound in activity, reserve releases and continued expense discipline.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36.9261884689331" w:lineRule="auto"/>
        <w:ind w:left="17.728729248046875" w:right="98.734130859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the results for Wealth for the first quarter. Wealth revenues decreased 4%, driven by a  13% decrease in NII from lower deposit spreads and higher mortgage funding costs, partially offset by higher  investment fee revenues. omentum in non-interest revenue, which was up 11%, as we  benefited from higher investment assets across regions, driven by increased client activity as well as market  valuations. Expenses were up 3%, driven by technology investments focused on risk and controls, as well as  platform enhancements, partially offset by the initial benefits of expense reductions as we continue to right  size the workforce. Cost of credit was a benefit of $170 million, driven by a reserve release of approximately  $200 million primarily related to a change in estimate as we enhanced our data related to margin lending  collateral. Net income was $150 million. End-of-period client balances increased 6%, driven by higher client  investment assets. Average loans were flat, as we continued to optimize capital usage. Average deposits  decreased 1%, largely reflecting lower deposits in the Private Bank and Wealth at Work and the continued  shift of deposits to higher </w:t>
      </w:r>
      <w:r w:rsidDel="00000000" w:rsidR="00000000" w:rsidRPr="00000000">
        <w:drawing>
          <wp:anchor allowOverlap="1" behindDoc="0" distB="19050" distT="19050" distL="19050" distR="19050" hidden="0" layoutInCell="1" locked="0" relativeHeight="0" simplePos="0">
            <wp:simplePos x="0" y="0"/>
            <wp:positionH relativeFrom="column">
              <wp:posOffset>1486619</wp:posOffset>
            </wp:positionH>
            <wp:positionV relativeFrom="paragraph">
              <wp:posOffset>323850</wp:posOffset>
            </wp:positionV>
            <wp:extent cx="1251610" cy="149352"/>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1251610"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1579583</wp:posOffset>
            </wp:positionH>
            <wp:positionV relativeFrom="paragraph">
              <wp:posOffset>1672590</wp:posOffset>
            </wp:positionV>
            <wp:extent cx="4617721" cy="149352"/>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19"/>
                    <a:srcRect b="0" l="0" r="0" t="0"/>
                    <a:stretch>
                      <a:fillRect/>
                    </a:stretch>
                  </pic:blipFill>
                  <pic:spPr>
                    <a:xfrm>
                      <a:off x="0" y="0"/>
                      <a:ext cx="4617721" cy="149352"/>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814453125" w:line="230.45528411865234" w:lineRule="auto"/>
        <w:ind w:left="14.740753173828125" w:right="0" w:firstLine="14.14321899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relationships and the associated deposits from USPB. Client investment assets were up 12%, driven by net  new investment asset flows and the benefit of higher market valuations. RoTCE was 4.6% for the quarter.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5027" cy="149352"/>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85027"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foundational priorities. As Jane mentioned, this will take time but over the medium to longer-term, we view  this as a greater- than-20% return business.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0498046875" w:line="236.8533754348755" w:lineRule="auto"/>
        <w:ind w:left="23.107147216796875" w:right="100.5126953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the results for US Personal Banking for the first quarter. US Personal Banking revenues  increased 10%, driven by NII growth of 8% and lower partner payments. Branded Cards revenues increased  7%, driven by interest-earning balance growth of 10% as payment rates continue to moderate. And we  continue to see healthy growth in spend volumes up 4%, primarily driven by our more affluent customers.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6.94754600524902" w:lineRule="auto"/>
        <w:ind w:left="17.728729248046875" w:right="99.323730468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Services revenues increased 18%, primarily driven by lower partner payments due to higher net credit  losses, as well as interest-earning balance growth of 9%. Retail Banking revenues increased 1%, driven by  higher deposit spreads, loan growth and improved mortgage margins. Expenses were roughly flat due to  lower compensation costs, including repositioning, offset by higher volume-related expenses. Cost of credit  of approximately $2.2 billion increased 34%, largely driven by higher NCLs of $1.9 billion as card loan  vintages that were originated over the last few years were delayed in their maturation due to the  unprecedented levels of government stimulus during the pandemic and are now maturing. In Branded  Cards, the NCL rate came in at 3.65%, in line with our expectations. In Retail Services, the NCL rate of 6.32%  was slightly above the high end of our guidance range for the full year and will likely remain above the range  in the second quarter, reflecting historical seasonality patterns. However, given the persistent inflation,  higher interest rates and continued sales pressure at our partners, we now expect to be closer to the high  end of the full year NCL guidance range for Retail Services. This expectation, along with the continued mix  shift from transactors to revolvers across both portfolios, led to an ACL build of approximately $340 million. Net income decreased to $347 million. Average deposits decreased 10%, as the transfer of relationships and  the associated deposits to our Wealth business more than offset the underlying growth. RoTCE for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6713256835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87573242188" w:lineRule="auto"/>
        <w:ind w:left="17.728729248046875" w:right="98.84033203125" w:firstLine="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quarter was 5.5%. We recognize that this business is facing a number of headwinds from a regulatory  perspective and from higher credit costs given where we are in the credit cycle, both of which are putting  pressure on returns for the quarter and for the full year 2024. -term  view of the business we feel good about our position as a prime, lend-centric issuer. We will continue to  take mitigating actions to manage through the headwinds, lap the credit cycle, and drive more value from  Retail Banking and Retail Services while improving the overall operating efficiency of the business all of  which will ultimately result in a higher returning business over the medium term. </w:t>
      </w:r>
      <w:r w:rsidDel="00000000" w:rsidR="00000000" w:rsidRPr="00000000">
        <w:drawing>
          <wp:anchor allowOverlap="1" behindDoc="0" distB="19050" distT="19050" distL="19050" distR="19050" hidden="0" layoutInCell="1" locked="0" relativeHeight="0" simplePos="0">
            <wp:simplePos x="0" y="0"/>
            <wp:positionH relativeFrom="column">
              <wp:posOffset>3506173</wp:posOffset>
            </wp:positionH>
            <wp:positionV relativeFrom="paragraph">
              <wp:posOffset>323850</wp:posOffset>
            </wp:positionV>
            <wp:extent cx="2331212" cy="14935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31212"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1219538</wp:posOffset>
            </wp:positionH>
            <wp:positionV relativeFrom="paragraph">
              <wp:posOffset>473202</wp:posOffset>
            </wp:positionV>
            <wp:extent cx="128016" cy="14935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5728800</wp:posOffset>
            </wp:positionH>
            <wp:positionV relativeFrom="paragraph">
              <wp:posOffset>773430</wp:posOffset>
            </wp:positionV>
            <wp:extent cx="128016" cy="149352"/>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65164470672607" w:lineRule="auto"/>
        <w:ind w:left="23.107147216796875" w:right="100.0463867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17, we show results for All Other on a managed basis, which includes Corporate Other and Legacy  Franchises and excludes divestiture-related items. Revenues decreased 9%, primarily driven by closed exits  and wind-downs, as well as higher funding costs, partially offset by higher revenue in Mexico. And expenses  increased 18%, primarily driven by the incremental FDIC special assessment and restructuring charges,  partially offset by lower expenses from the wind-down and exit markets.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6.85280323028564" w:lineRule="auto"/>
        <w:ind w:left="25.89599609375" w:right="98.61572265625" w:hanging="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18 shows our full year 2024 outlook and medium-term guidance, both of which remain unchanged. We  have accomplished a lot over the past few years and have made substantial progress on simplifying our  business and organizational structure. The year is off to a good start as we are laser focused on executing  the Transformation and enhancing the business performance. These two priorities will not only enable us to  be a more efficient, agile company, but a client-centric one that brings together the best of Citi to drive  revenue growth and improve returns. And we are on the path to reach our 11-12% return target over the  medium-term.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40" w:lineRule="auto"/>
        <w:ind w:left="18.5255432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Jane and I will be happy to take your questions.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24.302368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04990005493164" w:lineRule="auto"/>
        <w:ind w:left="23.107147216796875" w:right="101.518554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first question will come from Mike Mayo with Wells Fargo. Your line is open. Please go  ahead.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2451171875" w:line="236.6525173187256" w:lineRule="auto"/>
        <w:ind w:left="25.89599609375" w:right="104.92065429687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Well, you just finished your seventh month of your org simplification and you said 7,000  positions go away, with $1.5 billion of expense savings. So that's very concrete, but more generally, after 20,  30, 40 years of matrix structure down to five lines of business, you're reporting these differently, you're  talking about them differently, but the question that I think a lot of people have is, are you simply reporting  these lines of business differently, or are you actually running them differently? Thanks.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7.01362133026123" w:lineRule="auto"/>
        <w:ind w:left="18.12713623046875" w:right="99.365234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Mike, for the question. The simplification that we've just gone through, it is what  we said it is. It is the most consequential set of changes, not only to the organization model that we have but  how we run the bank. It's aligned the structure with the strategy. It's simplified the bank. It's eliminated  needless complexity. It's created greater transparency into the five businesses and their performance as you  can see. It's increased accountability. And very simply, it's just easier for our people to focus on our clients,  but also getting things done and the execution that we have ahead of us.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219482421875" w:line="236.80269241333008" w:lineRule="auto"/>
        <w:ind w:left="23.107147216796875" w:right="100.858154296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maybe if I try and bring this a bit more alive, the first thing we did was we elevated the five businesses and  that eliminated the ICG and PBWM layer, and we brought all the elements that the businesses needed to run  end-to-end under the direct management of those five business heads, an example being operations. It's  enabled transparency, greater accountability, and this end-to-end and total P&amp;L focus, so focus on the  bottom line and the returns driving growth, expense discipline, etcetera.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85301780700684" w:lineRule="auto"/>
        <w:ind w:left="23.107147216796875" w:right="99.06372070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right-placed businesses to align with the strategy, so Banking all being under one umbrella, the  Investment Bank, the Corporate Bank, Commercial Bank, really helping us drive synergies there. Putting F&amp;S  and Securitization into Markets, so that we have a unified spread product there, also beginning to see the  benefits of that this quarter.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55029296875" w:line="240" w:lineRule="auto"/>
        <w:ind w:left="23.306427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that's an example in the businesses, but I do want to highlight a couple of other areas around this change.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53881835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18.12713623046875" w:right="100.2294921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by eliminating the regional layer and putting in a far slimmer, lighter management structure in place in  the geographies, that's enabled us to make sure that our countries are focused on client delivery and legal  entity management, and we've eliminated the whole shadow geographic P&amp;L. We've eliminated a large  number of committees in the geographies, and this is where a lot of the functional and management roles  were streamlined and eliminated through the last seven months. And we also broke the regions into smaller,  lighter clusters, and that allows us to much better capture the big changes in trade flows and financial flows,  etcetera we're seeing around the world. It's just much nimbler.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65164470672607" w:lineRule="auto"/>
        <w:ind w:left="23.107147216796875" w:right="99.6923828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third piece, we created the client organization. So that organization makes sure that our core capabilities  and disciplines are being applied firm-wide to drive revenue synergies. And then the governance has got a  lot easier, it took up a lot of time, and we've given much clearer mandates and we've more than halved the  number of committees. That's 200 committees-plus that we've eliminated in the firm, either by  consolidating them or eliminating them.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53169631958008" w:lineRule="auto"/>
        <w:ind w:left="23.107147216796875" w:right="98.400878906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spans and layers, if you exclude me, 98% of the firm now operates within eight layers. That is a much,  much faster decision-making, it's much quicker to get execution done. It also means that you can very  quickly get close to where the engine room of the firm is. We've got clearer accountabilities. We've eliminated  most co-heads. We've reduced matrix reporting. We've got the producer to non-producer ratio improved. So  all of this really means, as I've said, a clearer deck, so we can be laser-focused on business performance in  those five businesses and the Transformation.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7.25480556488037" w:lineRule="auto"/>
        <w:ind w:left="23.107147216796875" w:right="103.013916015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already feels different. Around my table, I'm much closer to the businesses and the clients. It makes it much  easier for Mark and I and the rest of the team to run the bank like an operator versus the head of a holding  company. You don't have to go through these aggregated layers to get things done.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7.094087600708" w:lineRule="auto"/>
        <w:ind w:left="23.107147216796875" w:right="98.43994140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done, as we said we would be at this point, we're wrapping up the final consultation periods. Not  an easy few months for the organization. We've had to say goodbye to some very good people. We've put a  lot of change through the organization. And now, as we close the chapter on this, we look forward to being  back in BAU mode again, continuing to drive improvements and simplification and processes and the like,  but now the focus is going to be really getting the full benefit from all the changes we've made in business  and organization and moving forward.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5874023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Glenn Schorr at Evercore. Your line is open. Please go ahead.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531894683838" w:lineRule="auto"/>
        <w:ind w:left="18.12713623046875" w:right="100.52246093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very much. So I think it shows how much you've helped us see the simpler  organization. I think people have totally bought into the expense story, so a lot of credit to you guys. I think  where I, personally, and others still have questions on is on the revenue side and getting to those 4% to 5%  medium-term targets.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0500144958496" w:lineRule="auto"/>
        <w:ind w:left="21.513519287109375" w:right="98.8256835937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could you take us just conceptually where we're going to where you think you'll drive that growth from,  from this baseline where we're at now? And if you want, you can totally use my second question in there and  tell us what good things you're doing inside the Investment Banking line. </w:t>
      </w:r>
      <w:r w:rsidDel="00000000" w:rsidR="00000000" w:rsidRPr="00000000">
        <w:drawing>
          <wp:anchor allowOverlap="1" behindDoc="0" distB="19050" distT="19050" distL="19050" distR="19050" hidden="0" layoutInCell="1" locked="0" relativeHeight="0" simplePos="0">
            <wp:simplePos x="0" y="0"/>
            <wp:positionH relativeFrom="column">
              <wp:posOffset>3445857</wp:posOffset>
            </wp:positionH>
            <wp:positionV relativeFrom="paragraph">
              <wp:posOffset>23622</wp:posOffset>
            </wp:positionV>
            <wp:extent cx="128016" cy="14935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19384765625" w:line="236.04994297027588" w:lineRule="auto"/>
        <w:ind w:left="23.107147216796875" w:right="102.606201171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snuck that one in, Glenn. So I'll kick off with some of this, pass it to Mark and then I'll  come back to Banking. So look, we are laser-focused on the growth and improving the returns of these  businesses to where they should and will be in the medium term, and it's not just the growth story, but let  me anchor it in those medium-term return targets.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36.82618141174316" w:lineRule="auto"/>
        <w:ind w:left="25.89599609375" w:right="99.311523437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Services, we want to continue around the mid-20s in RoTCE. Banking should be getting to around 15%.  Markets 10% to 13%, so we'd like to see it at the higher end of that range. USPB getting that back to the mid teens and then moving on to the high-teens in the medium term. And then lastly, as Andy and Mark have  talked about, getting Wealth to a 15% to 20% return in the medium term, but the goal is to the mid-20s 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781616210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5.895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longer-term here.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164470672607" w:lineRule="auto"/>
        <w:ind w:left="17.52960205078125" w:right="101.15112304687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confident that our strategy is going to drive the revenue growth of 4% to 5% CAGR in the medium  term and that's a combination of maintaining our leadership in certain businesses, gaining share in others.  We have good client growth. Look at our win rate, for example, in TTS at over 80%. We've got our Commercial  Bank also bringing in new clients in the mid-market and helping them accelerate their growth and success  around the world.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Mark, let me pass it over to you.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4918479919434" w:lineRule="auto"/>
        <w:ind w:left="18.12713623046875" w:right="103.43139648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And good morning, Glenn, and we appreciate the acknowledgment around the  expenses. As you know, we've been quite focused on that and working hard to ensure that we deliver on what  we say we're going to do there.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36.0498285293579" w:lineRule="auto"/>
        <w:ind w:left="18.12713623046875" w:right="98.7231445312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point on the revenue line, I'd first point to, if you look back, since Investor Day, we've in fact been able to  deliver on the guidance that we've given for the medium term, so that 4% to 5% top line growth. And, yes, it  was a different rate environment, but that growth that we delivered over the past couple of years has been a  mix of both revenue and underlying business strength. </w:t>
      </w:r>
      <w:r w:rsidDel="00000000" w:rsidR="00000000" w:rsidRPr="00000000">
        <w:drawing>
          <wp:anchor allowOverlap="1" behindDoc="0" distB="19050" distT="19050" distL="19050" distR="19050" hidden="0" layoutInCell="1" locked="0" relativeHeight="0" simplePos="0">
            <wp:simplePos x="0" y="0"/>
            <wp:positionH relativeFrom="column">
              <wp:posOffset>506053</wp:posOffset>
            </wp:positionH>
            <wp:positionV relativeFrom="paragraph">
              <wp:posOffset>23622</wp:posOffset>
            </wp:positionV>
            <wp:extent cx="128016" cy="149352"/>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8978214263916" w:lineRule="auto"/>
        <w:ind w:left="23.107147216796875" w:right="98.3862304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think about the guidance we talked about for this year, we talked about the NII ex-Markets being  down modestly. And so what that means is that the momentum and the growth that we expect is going to  come from the non-interest revenue. And I think this quarter is a good example of where and how that's likely  to play through, so the revenue top line being up 3-plus percent, but when you look through each of the  businesses, and if you look on each of the pages where we disclose the revenue, you can see the underlying  NIR growth in the bottom left hand corner of each of those pages, that's coming through as well. So Services  up 14% with growth in both TTS, between cross-border, clearing, commercial cards, but also and Securities  Services, right, with the growth that we're seeing from continued momentum in assets under custody. We  expect that trend to continue with existing clients and new clients as well as how we do more with our  commercial market commercial middle market business, excuse me. So NIR growth there.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28016" cy="149352"/>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28016"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5216115</wp:posOffset>
            </wp:positionH>
            <wp:positionV relativeFrom="paragraph">
              <wp:posOffset>922782</wp:posOffset>
            </wp:positionV>
            <wp:extent cx="124968" cy="14935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87646484375" w:line="236.0502004623413" w:lineRule="auto"/>
        <w:ind w:left="18.525543212890625" w:right="103.16162109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Investment Banking piece is the other driver of fees. We're seeing that wallet start to rebound. We're part  of that rebound. The announced transactions, we're part of those in sectors that we've been investing in.  We're bringing in new talent to help us realize and experience that.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27.3164701461792" w:lineRule="auto"/>
        <w:ind w:left="17.52960205078125" w:right="103.836669921875" w:hanging="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even in Wealth, where we're not pleased with the top line performance this quarter of down 4%. When  you look through that, we do have good underlying NIR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growth in the quarter in Wealth and that's up 11%  year-over-year and it's in the area that Andy and the team is leaning in on which is investments and not just  in one region, but across all the regions.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30908203125" w:line="233.06170463562012" w:lineRule="auto"/>
        <w:ind w:left="25.89599609375" w:right="101.4062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finally, the USPB piece which is showing good NIR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growth as well, so the long and short of it is that  the 4% growth that's implied in $80 billion to $81 billion is going to be continued momentum, largely in fees,  helping us to deliver for our clients and make continued progress towards that medium-term target.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48779296875" w:line="236.04994297027588" w:lineRule="auto"/>
        <w:ind w:left="21.91192626953125" w:right="103.82324218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pick up, I'm sure Jenn Landis will give us the evil eye for sneaking in a second  question there, Glenn, but let me pick up on Banking and what's going on there. So we have a very clear  strategy that we've been executing over the last couple of years, really to lay the foundation for growth in  Banking.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262815475464" w:lineRule="auto"/>
        <w:ind w:left="23.107147216796875" w:right="104.22607421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North America is our key priority. It's the biggest contributor to the global IB wallet. Tech, healthcare and  industrials are likely to constitute over 50% of the fee wallet going forward. So we have better aligned our resources to position the franchise for this. Defending areas of traditional strength in industrials and the like,  energy, whilst investing in high-growth sectors such as healthcare and technology with some strong talent.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77612304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65164470672607" w:lineRule="auto"/>
        <w:ind w:left="21.91192626953125" w:right="98.765869140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Financial sponsors are sitting on $3 trillion of estimated fire power, which they are incentivized to deploy, so  they're likely to be between 20% to 30% of global Investment Banking fees. We've great relationships with  this community, we've built that over years and decades. You're going to see us more active in the LevFin  space, in the right situations for our key clients, and we'll continue to ensure we're well-positioned and active  around this important opportunity.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85266017913818" w:lineRule="auto"/>
        <w:ind w:left="23.107147216796875" w:right="99.09057617187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You'll likely see us seeking to remain competitive in the private capital asset class. That's going to be an  important source of liquidity for many clients and the middle market will be fertile hunting ground for  corporates and private equity and our Investment Bank and Commercial Bank are going to be closely  coordinated to harvest the deal flow around the world.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423828125" w:line="236.25030040740967" w:lineRule="auto"/>
        <w:ind w:left="23.107147216796875" w:right="99.01367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indeed, the new org structure that I was just talking about really enables us to drive a more joined-up,  client-centric, strategic coverage across Corporate, Commercial and Investment Banking. So over and above  the wallet recovery, Mark and I are going to be very laser-focused on ensuring that we're driving revenue  growth from a more holistic focus on the wallet share across flow and episodic activity.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65576171875" w:line="236.6525173187256" w:lineRule="auto"/>
        <w:ind w:left="18.724822998046875" w:right="99.44580078125" w:hanging="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Vis Raghavan is the right person to take over at this important moment for our Banking franchise, the  momentum that we've been generating with the foundations we've been laying. Now, the intention here from  him is to accelerate that. He will focus on increasing our performance intensity, driving productivity and  disciplined growth, and he will keep us firmly on the path towards delivering on our commitments,  fundamentally improving the operating margin, generating high returns and that all-important fee revenue.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429.17630195617676" w:lineRule="auto"/>
        <w:ind w:left="12.350311279296875" w:right="150.3125" w:firstLine="11.95205688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Betsy Graseck at Morgan Stanley. Your line is open. Please go ahead.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28016" cy="149352"/>
            <wp:effectExtent b="0" l="0" r="0" t="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28016"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yes, we're almost pinging into the afternoon here.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Betsy.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Great to hear you, Betsy.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531894683838" w:lineRule="auto"/>
        <w:ind w:left="21.91192626953125" w:right="100.27709960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a couple of questions. Well, so I know we talked through the Institutional  Securities business already on moving that expense ratio a little bit. Could we dig in a little bit on the Wealth  side, because the expense ratio there is running a little higher, and so, it'd be useful just to understand the  pace or speed or timeframe when we should expect to see that start to inflect.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6522741317749" w:lineRule="auto"/>
        <w:ind w:left="21.91192626953125" w:right="100.891113281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absolutely. And some of it, just as a reminder, the actions that we've been taking on org  simplification and that Andy has also been taking in the Wealth business. We will work through notice  periods in the coming weeks. And so, you'll start you'll see the impact coming through in our head count  numbers, and in Wealth, in the expense base next quarter. Look, as Mark said in his opening and Andy has  been talking about, this should be a sort of up to a 30% pre-tax margin business.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28016" cy="149352"/>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28016"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2831432</wp:posOffset>
            </wp:positionH>
            <wp:positionV relativeFrom="paragraph">
              <wp:posOffset>322326</wp:posOffset>
            </wp:positionV>
            <wp:extent cx="124968" cy="149352"/>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20849609375" w:line="236.65213108062744" w:lineRule="auto"/>
        <w:ind w:left="23.107147216796875" w:right="101.1108398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Andy is focused on rationalizing the expense base. He's also, as Mark said, turning on the growth engine. He's  enhancing our platforms and capabilities to elevate the client experience. The heart of the opportunity for us  lies with our existing clients. They are an extraordinary client base, but they're underpenetrated. So, a lot of  the operating efficiency is frankly going to be is going to come on the revenue side here. That said, Andy's  taken a number of pretty decisive moves this quarter on the expense side.  </w:t>
      </w:r>
      <w:r w:rsidDel="00000000" w:rsidR="00000000" w:rsidRPr="00000000">
        <w:drawing>
          <wp:anchor allowOverlap="1" behindDoc="0" distB="19050" distT="19050" distL="19050" distR="19050" hidden="0" layoutInCell="1" locked="0" relativeHeight="0" simplePos="0">
            <wp:simplePos x="0" y="0"/>
            <wp:positionH relativeFrom="column">
              <wp:posOffset>2612487</wp:posOffset>
            </wp:positionH>
            <wp:positionV relativeFrom="paragraph">
              <wp:posOffset>473202</wp:posOffset>
            </wp:positionV>
            <wp:extent cx="124968" cy="149352"/>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let me toss it over to you.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5.96993446350098" w:lineRule="auto"/>
        <w:ind w:left="28.88397216796875" w:right="109.0808105468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 mean, look, I think that the quarter expenses that you see of growth of 3% is not yet  reflective of the work that Andy has been steadfast at. There is still some investment in there in technology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7855834960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21.91192626953125" w:right="100.23681640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the platform that's important. But I think coming out of the first quarter, you'll start to see some of the  reduction in expenses that's a by-product of that work. And the work has been across the entire expense  base in the Wealth business. So, that includes non-client-facing roles and support staff. It includes looking  at the productivity of existing bankers and advisors, and those kind of reductions will start to play out in the  subsequent quarters.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5312671661377" w:lineRule="auto"/>
        <w:ind w:left="23.107147216796875" w:right="98.9440917968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 want to point out, as Jane mentioned, this is a growth business for us. And so, you can see on some of  the metrics on page 15 in the bottom left, some of those good signs of investment momentum. And I highlight  that because as the expenses come down from some of those efficiencies, there will be a need for us to  continue to invest and replenish low-performing or low-producing bankers and advisors with resources that  actually can generate the revenues we expect and take advantage of the client opportunity that's in front of  us.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337890625" w:line="236.04979991912842" w:lineRule="auto"/>
        <w:ind w:left="25.89599609375" w:right="104.33593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long-winded way of saying there's some operating efficiency upside for us for sure. It's a combination of  the top line and the expense work playing through the balance of the quarters and the year here.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Jim Mitchell at Seaport Global. Your line is open. Please go ahead.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53212547302246" w:lineRule="auto"/>
        <w:ind w:left="21.91192626953125" w:right="101.7724609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Good morning. Jane and Mark, I very much appreciate the comments on your growth  opportunities and driving growth. But revenues are often dictated by the macro that is a little bit out of your  control. So, can you talk a little bit about the flexibility on the expenses? You have a range in 2026 of $51  billion to $53 billion. So, if revenues are coming in below the targets, is it, I guess, A, fair to assume you'd be  at the very low-end of that range or is and I think there is some revenue growth built in there. So, is there  some flexibility to the downside to try to get to your targets in a tougher revenue environment? Thanks. </w:t>
      </w:r>
      <w:r w:rsidDel="00000000" w:rsidR="00000000" w:rsidRPr="00000000">
        <w:drawing>
          <wp:anchor allowOverlap="1" behindDoc="0" distB="19050" distT="19050" distL="19050" distR="19050" hidden="0" layoutInCell="1" locked="0" relativeHeight="0" simplePos="0">
            <wp:simplePos x="0" y="0"/>
            <wp:positionH relativeFrom="column">
              <wp:posOffset>2206339</wp:posOffset>
            </wp:positionH>
            <wp:positionV relativeFrom="paragraph">
              <wp:posOffset>622554</wp:posOffset>
            </wp:positionV>
            <wp:extent cx="128016" cy="14935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98691368103027" w:lineRule="auto"/>
        <w:ind w:left="21.91192626953125" w:right="106.654052734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the top line growth, as you've heard us say, is a CAGR of 4% to 5%. We've put  that target out there of $51 billion to $53 billion as a range of what we're working towards. We've given you a  good sense of how we expect to get there with the $2 billion to $2.5 billion reduction by then. We've already  signaled $1.5 billion that's in front of us.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49853515625" w:line="236.05032920837402" w:lineRule="auto"/>
        <w:ind w:left="23.107147216796875" w:right="99.190673828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reality is that if there's softness in revenues, that's why we have a range, obviously, the volume-related  expenses would come down with any softness in revenue. And depending on the drivers of why that revenue  is softening, we'd look at the investments that we're making across the business and make sure that those  are appropriately calibrated for where we are in the cycle and what we're seeing on the top line.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22741317749" w:lineRule="auto"/>
        <w:ind w:left="18.525543212890625" w:right="99.39453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we've got to continue to invest in the Transformation. We're not going to compromise that.  That's going to be something that we have to spend on to ensure we continue to get right. But that's kind of  how the dynamic works. There's a top we've got a mix of businesses that I think we've demonstrated  resiliency around if you think about the past couple of years, and we expect for those to continue to drive  some top line momentum. But we've got levers in case they don't. </w:t>
      </w:r>
      <w:r w:rsidDel="00000000" w:rsidR="00000000" w:rsidRPr="00000000">
        <w:drawing>
          <wp:anchor allowOverlap="1" behindDoc="0" distB="19050" distT="19050" distL="19050" distR="19050" hidden="0" layoutInCell="1" locked="0" relativeHeight="0" simplePos="0">
            <wp:simplePos x="0" y="0"/>
            <wp:positionH relativeFrom="column">
              <wp:posOffset>2310597</wp:posOffset>
            </wp:positionH>
            <wp:positionV relativeFrom="paragraph">
              <wp:posOffset>323850</wp:posOffset>
            </wp:positionV>
            <wp:extent cx="128016" cy="149352"/>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6523027420044" w:lineRule="auto"/>
        <w:ind w:left="23.107147216796875" w:right="109.53857421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Ebrahim Poonawala at Bank of America. Your line is open. Please go  ahead.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77978515625" w:line="236.65213108062744" w:lineRule="auto"/>
        <w:ind w:left="18.12713623046875" w:right="105.659179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I guess just one question, Mark, around capital. So, you talked about  $13 billion over the reg minimum. Like you could easily be doing 2x the buyback you did in one quarter, if not  more. I know you don't like to talk about out-quarters, but give us a sense of the case this quarter. Should  we expect the pace of buybacks to increase? And if you could provide additional color as we think about the  rest of the year would be greatly appreciated. Thank you.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23754882812" w:line="235.96993446350098" w:lineRule="auto"/>
        <w:ind w:left="25.89599609375" w:right="110.145263671875" w:firstLine="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Look, you know and I've said it repeatedly, Jane has said it repeatedly, given where we  trade, we think buying back is smart and we'd like to do as much as we possibly can and as much as makes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785156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1.91192626953125" w:right="100.1000976562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sense in light of the uncertainty that's out there. We have run at about 13.5% this quarter. That does give us  capacity above the 13.3%. But it's important to keep in mind that there's client demand that will continue to  evolve. We want to make sure we can support the clients that want to do business with us, whether that be  in Markets or other parts of the franchise.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7.01322078704834" w:lineRule="auto"/>
        <w:ind w:left="17.52960205078125" w:right="100.402832031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there's still uncertainty out there about how the capital regulation evolves. The good news is we  are hearing kind of favorable things about how the Basel III Endgame proposal could evolve, but that hasn't  happened yet. It's not finalized. It's not in place yet. And so, we want to see how that continues to play out.  We're obviously in the midst of a CCAR process. We want to see how that evolves, and we'll continue to take  the buyback decision on a quarter-by-quarter basis. But we recognize that there's an opportunity there, and  we'll get after it just as soon as it makes good sense for us.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279296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Erika Najarian at UBS. Please unmute your line and ask your question.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36.65213108062744" w:lineRule="auto"/>
        <w:ind w:left="0" w:right="98.7060546875" w:firstLine="31.473541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So, clearly, the theme of this that's emerging on the Q&amp;A is a healthy  skepticism about the revenue targets in line with the in light of the expense declines, which is not really us  analysts, we're sort of a little bit parroting what we're hearing from long-only investors that haven't yet  jumped into the stock. So, to that end, I guess I'm going to ask Ebrahim's question differently, and then ask  a question about card late fees. </w:t>
      </w:r>
      <w:r w:rsidDel="00000000" w:rsidR="00000000" w:rsidRPr="00000000">
        <w:drawing>
          <wp:anchor allowOverlap="1" behindDoc="0" distB="19050" distT="19050" distL="19050" distR="19050" hidden="0" layoutInCell="1" locked="0" relativeHeight="0" simplePos="0">
            <wp:simplePos x="0" y="0"/>
            <wp:positionH relativeFrom="column">
              <wp:posOffset>3038895</wp:posOffset>
            </wp:positionH>
            <wp:positionV relativeFrom="paragraph">
              <wp:posOffset>172974</wp:posOffset>
            </wp:positionV>
            <wp:extent cx="128016" cy="149352"/>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525173187256" w:lineRule="auto"/>
        <w:ind w:left="18.12713623046875" w:right="101.993408203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are you balancing clearly, your valuation would demand that the buybacks be ramped up from $500  million. But growing revenues at a 4% to 5% CAGR would mean potentially some capital plowed back into  the business. I guess how are you balancing that, especially given that the demand for buyback is louder at  Citi than any other money center peer? And could you give us a sense of what card late fees are and how that  would impact the $80 billion to $81 billion for the year if we do get an earlier implementation than October? </w:t>
      </w:r>
      <w:r w:rsidDel="00000000" w:rsidR="00000000" w:rsidRPr="00000000">
        <w:drawing>
          <wp:anchor allowOverlap="1" behindDoc="0" distB="19050" distT="19050" distL="19050" distR="19050" hidden="0" layoutInCell="1" locked="0" relativeHeight="0" simplePos="0">
            <wp:simplePos x="0" y="0"/>
            <wp:positionH relativeFrom="column">
              <wp:posOffset>1344634</wp:posOffset>
            </wp:positionH>
            <wp:positionV relativeFrom="paragraph">
              <wp:posOffset>23622</wp:posOffset>
            </wp:positionV>
            <wp:extent cx="128016" cy="149352"/>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1842679977417" w:lineRule="auto"/>
        <w:ind w:left="12.350311279296875" w:right="101.08642578125" w:firstLine="19.12322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 you, Erika. On the first part of the question, I'd just remind you and everyone  else that we're playing for the long-term here, right. So, we have set some medium-term targets. Obviously,  Jane has recasted the vision and the strategy. I think we're making very good progress against that, but we're  playing for the long-term. And what that means is that we have to continue to invest in the franchise.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02685546875" w:line="236.53212547302246" w:lineRule="auto"/>
        <w:ind w:left="18.12713623046875" w:right="100.6872558593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why I've given you a range around the expenses, at least in part. It's why I've continued to stress the  importance of protecting the Transformation and risk and control spend. And it's why I started the answer  to Ebrahim's question by saying that we want to be sure that we can match the client demand out there,  where the returns to do so makes sense. And so, we are having to balance kind of the use of capital and other  resources against that longer term strategic objective and utilize it where it makes sense and generates good  returns against the idea of returning that to shareholders.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80269241333008" w:lineRule="auto"/>
        <w:ind w:left="23.107147216796875" w:right="101.87377929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we'll continue to do that. It's an everyday assessment. It's an everyday discussion with the teams.  Frankly, it's why things like the revenue sharing has been put in place to intensify the discussion around the  clients that we're using balance sheet with and ensuring that we're driving broader revenues across the  platform. And so, that's kind of how we're operating in terms of making that trade-off on a regular basis, in  addition to obviously the broader regulatory environment that we're 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726806640625" w:line="236.85280323028564" w:lineRule="auto"/>
        <w:ind w:left="23.107147216796875" w:right="104.9255371093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second part of your question around late fees, we haven't disclosed kind of the dollar amount  of the late fees. What I would say is that we did and have factored that into the $80 billion to $81 billion. And  the only thing I'd add to that is it did kind of it's being implemented a bit earlier than what we had assumed.  But again, it's inside of the range of the guidance that I've given you for top line revenue for the year. </w:t>
      </w:r>
      <w:r w:rsidDel="00000000" w:rsidR="00000000" w:rsidRPr="00000000">
        <w:drawing>
          <wp:anchor allowOverlap="1" behindDoc="0" distB="19050" distT="19050" distL="19050" distR="19050" hidden="0" layoutInCell="1" locked="0" relativeHeight="0" simplePos="0">
            <wp:simplePos x="0" y="0"/>
            <wp:positionH relativeFrom="column">
              <wp:posOffset>2466184</wp:posOffset>
            </wp:positionH>
            <wp:positionV relativeFrom="paragraph">
              <wp:posOffset>322326</wp:posOffset>
            </wp:positionV>
            <wp:extent cx="124968" cy="149352"/>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76416015625" w:line="236.01000308990479" w:lineRule="auto"/>
        <w:ind w:left="21.91192626953125" w:right="101.4733886718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a reminder, 85% of our two card portfolios are prime, and in CRS, where you  tend to see some of the lower income households, we do have that the economics of the fee change will be  shared with our partners in CRS. So, we want our customers to pay on time. We have a number of </w:t>
      </w:r>
      <w:r w:rsidDel="00000000" w:rsidR="00000000" w:rsidRPr="00000000">
        <w:drawing>
          <wp:anchor allowOverlap="1" behindDoc="0" distB="19050" distT="19050" distL="19050" distR="19050" hidden="0" layoutInCell="1" locked="0" relativeHeight="0" simplePos="0">
            <wp:simplePos x="0" y="0"/>
            <wp:positionH relativeFrom="column">
              <wp:posOffset>886174</wp:posOffset>
            </wp:positionH>
            <wp:positionV relativeFrom="paragraph">
              <wp:posOffset>23622</wp:posOffset>
            </wp:positionV>
            <wp:extent cx="834238" cy="149352"/>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834238"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3803745</wp:posOffset>
            </wp:positionH>
            <wp:positionV relativeFrom="paragraph">
              <wp:posOffset>172974</wp:posOffset>
            </wp:positionV>
            <wp:extent cx="128016" cy="149352"/>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5306396484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8.88397216796875" w:right="113.2629394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mechanisms to do so. But in terms of the economics, I think we, along with the rest of the industry, will be  putting in mitigating actions over time, some of which we've already begun to implement.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add, thank you.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4979991912842" w:lineRule="auto"/>
        <w:ind w:left="23.107147216796875" w:right="105.1977539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John McDonald at Autonomous Research. Your line is open. Please go  ahead.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164470672607" w:lineRule="auto"/>
        <w:ind w:left="23.107147216796875" w:right="98.846435546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Mark, I was hoping you'd give a little more color on how you're feeling about the  credit card charge-offs. You maintained the outlook for the year. You mentioned the higher end on Retail  Services. Do you still feel like you'll see a peak this year? And what kind of metrics are you looking at in terms  of delinquency formation and seasoning to inform that view that you might see the peak in card charge-offs  this year?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45161628723145" w:lineRule="auto"/>
        <w:ind w:left="18.12713623046875" w:right="100.51513671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John. We have obviously continued to manage this portfolio very actively.  We've seen continued top line growth. We've seen continued average interest-earning balance growth. We've  talked about how we expect for the cost of credit to normalize, and we've seen that continue to happen. The  range that we've given on Branded Cards, we're inside of that range. When you look at the spend across the  portfolios, the spend is really happening with the affluent customers more so than anything else. And so,  we're watching the lower income customer profile or customers that we have. But again, as Jane  mentioned, we tend to skew to the higher end to begin with. </w:t>
      </w:r>
      <w:r w:rsidDel="00000000" w:rsidR="00000000" w:rsidRPr="00000000">
        <w:drawing>
          <wp:anchor allowOverlap="1" behindDoc="0" distB="19050" distT="19050" distL="19050" distR="19050" hidden="0" layoutInCell="1" locked="0" relativeHeight="0" simplePos="0">
            <wp:simplePos x="0" y="0"/>
            <wp:positionH relativeFrom="column">
              <wp:posOffset>3118824</wp:posOffset>
            </wp:positionH>
            <wp:positionV relativeFrom="paragraph">
              <wp:posOffset>771906</wp:posOffset>
            </wp:positionV>
            <wp:extent cx="128016" cy="149352"/>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7109375" w:line="236.6525173187256" w:lineRule="auto"/>
        <w:ind w:left="23.107147216796875" w:right="102.13012695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we're really seeing the pressure is where I mentioned in terms of Retail Services. And so, there, the  current NCLs are higher than the high-end of the full year range that I've given. But if you look back, that is  not inconsistent with seasonality that we've seen in the past in that portfolio, where the first two quarters  are higher than the back half of the year, in part because of coming out of the holiday season and how losses  tend to mature or materialize through that process.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6.6525173187256" w:lineRule="auto"/>
        <w:ind w:left="23.107147216796875" w:right="107.2827148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I'd expect to not only see them be higher than the average range in Q1, but also in Q2 before coming  down. And then, I still expect that in 2025, you tend to see them further normalize and come down a bit off  of these ranges. But look, the reality is that we continue to watch it, and the factors that are out there that  are important include how unemployment evolves, what happens with inflation, what happens with interest  rates, and those will be important factors as to how the loss rates continue to evolve over time.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8531894683838" w:lineRule="auto"/>
        <w:ind w:left="23.107147216796875" w:right="99.1259765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final point I'd make and I mentioned it in the prepared remarks is that we have to remember that  the loss rates in both portfolios reflect kind of multiple vintages maturing at the same time. And you'll recall, and this is an industry dynamic, through the COVID pandemic period, losses were at an all-time low,  payment rates at all-time highs, supported by government stimulus.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80269241333008" w:lineRule="auto"/>
        <w:ind w:left="17.52960205078125" w:right="105.29052734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now coming out of that, we're seeing the COVID vintages mature, albeit at a lagged pace from what would be normal, and we're seeing the incremental acquisitions that we've done start to mature at their  normal pace. And so, these loss rates are exacerbated by that impact and that's an important factor we can't  lose sight of. But the bottom line is that we're watching it. The macro factors matter. We feel good about the  quality mix that we have, and we'll kind of see how things evolve from here.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05015754699707" w:lineRule="auto"/>
        <w:ind w:left="23.107147216796875" w:right="99.006347656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on the Branded side, you still expect kind of the peak-ish? Are you still inside  of the range for the full year and expect 2025, you could move lower on the Branded charge-offs?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236.05015754699707" w:lineRule="auto"/>
        <w:ind w:left="31.473541259765625" w:right="111.423339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 still kind of expect that trend line of peaking and then kind of moving a bit lower in  Branded.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185424804688"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Ken Usdin at Jefferies. Your line is open. Please go ahead.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815429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8522310256958" w:lineRule="auto"/>
        <w:ind w:left="19.123077392578125" w:right="101.1584472656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Great. Thanks. Can I follow up on the card line of thinking and just ask you, Mark, to talk a little  bit about just cost of credit? We did still see some card related build this quarter even with the comments  you just made and seasonal softer loan growth So, just from a bigger picture perspective, how do you think,  continue to think about reserve builds from here and how that informs your outlook for cost of credit?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852445602417" w:lineRule="auto"/>
        <w:ind w:left="18.12713623046875" w:right="102.43530273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Look, I think that when I think about the reserve builds, I think it's the same  factors that come into play. So, obviously, the view on the macro is important. And right now, if you think  about some of the key macro factors that impact the cards portfolio, the unemployment assumptions  weighted is about 5%, the downside is about 7% kind of weighted over the period. And so, how that evolves  will be an important factor. How HPI evolves would be an important consideration here for this portfolio, but  also what happens with volumes becomes a factor on reserve builds and how important or how much they  increase or decrease.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6142578125" w:line="237.01353549957275" w:lineRule="auto"/>
        <w:ind w:left="25.89599609375" w:right="104.43969726562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piece is mix, and it's kind of related to that revolver point. As we see the mix evolve from  transactors to revolvers, that's going to play into how much of a reserve from a lifetime point of view we have  to continue to build. And so, it's why I mentioned on John's question the importance of looking at the interest  rates, looking at what's happening with inflation, watching the lower income customer base, because all of  those things combined with how we think about the scenarios and the weighting will be a factor on the  reserves.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30126953125" w:line="236.0502004623413" w:lineRule="auto"/>
        <w:ind w:left="23.107147216796875" w:right="101.46972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 will say, Ken, as I sit here and think about what we have in the quarter, I feel very good about the reserve  levels. The 8.2% for combined kind of ACL-to-loan ratio feels right for the mix of this portfolio and we'll  continue to watch it.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1840534210205" w:lineRule="auto"/>
        <w:ind w:left="18.12713623046875" w:right="98.953857421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a separate question on TTS. That NII related to TTS has been remarkable with rising  rates. This quarter, granted there was a lesser day and there could be currency stuff in there, the first quarter  that it stepped back, I'm just wondering like where is that in its asset liability sensitivity, the TTS NII, and  what are your thoughts about that piece of the NII puzzle going forward? Thanks.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14892578125" w:line="236.6525173187256" w:lineRule="auto"/>
        <w:ind w:left="18.12713623046875" w:right="100.3930664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yeah. I mean, I think I'd say a couple things. We do have kind of some Argentina playing  through the NII line. I will say that the best way to think about it is kind of the underlying beta activity. And  we have seen, this is the corporate client, it is an institutional client. We have seen betas, particularly in the  US, at kind of normalized or terminal levels and playing a bit through that. We are seeing betas outside of the  US continue to increase as it relates to the TTS client base.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65225982666016" w:lineRule="auto"/>
        <w:ind w:left="23.107147216796875" w:right="98.581542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all of that again is inside of the range that we've talked about. I don't expect to see kind of year-over-year  growth on the NII line anywhere close to kind of what we've seen in prior years, prior quarters, just in light of  kind of how the rate environment s evolved, and in light of kind of quantitative tightening and the impact on  deposit levels. The last point I'd make on this is, we will continue to drive and see growth as it relates to the  operating deposits, and that will be an important tailwind that kind of plays through. </w:t>
      </w:r>
      <w:r w:rsidDel="00000000" w:rsidR="00000000" w:rsidRPr="00000000">
        <w:drawing>
          <wp:anchor allowOverlap="1" behindDoc="0" distB="19050" distT="19050" distL="19050" distR="19050" hidden="0" layoutInCell="1" locked="0" relativeHeight="0" simplePos="0">
            <wp:simplePos x="0" y="0"/>
            <wp:positionH relativeFrom="column">
              <wp:posOffset>1903828</wp:posOffset>
            </wp:positionH>
            <wp:positionV relativeFrom="paragraph">
              <wp:posOffset>322326</wp:posOffset>
            </wp:positionV>
            <wp:extent cx="54864" cy="149352"/>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236572265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Vivek Juneja at JPMorgan. Your line is open. Please go ahead.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6.85280323028564" w:lineRule="auto"/>
        <w:ind w:left="28.88397216796875" w:right="104.32861328125" w:hanging="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 you. Jane, Mark, just a question maybe on Argentina, you've shown $100 million in  NII. Total net income benefit of $500 million after-tax, so probably implying about $500 million, $600  million of non-interest income benefit. Which line item sorry, which segment did that come through, and  is that sustainable? </w:t>
      </w:r>
      <w:r w:rsidDel="00000000" w:rsidR="00000000" w:rsidRPr="00000000">
        <w:drawing>
          <wp:anchor allowOverlap="1" behindDoc="0" distB="19050" distT="19050" distL="19050" distR="19050" hidden="0" layoutInCell="1" locked="0" relativeHeight="0" simplePos="0">
            <wp:simplePos x="0" y="0"/>
            <wp:positionH relativeFrom="column">
              <wp:posOffset>3180573</wp:posOffset>
            </wp:positionH>
            <wp:positionV relativeFrom="paragraph">
              <wp:posOffset>323850</wp:posOffset>
            </wp:positionV>
            <wp:extent cx="128016" cy="149352"/>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76416015625" w:line="236.01000308990479" w:lineRule="auto"/>
        <w:ind w:left="29.879913330078125" w:right="100.443115234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there's a mix obviously of things that are driving that net income, including a tax  impact on the heels of last year Argentina devaluation activity that's in that line. But the short answer is that  if you think about the nature of the business that we do in Argentina, it is a big part of our institutional client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5306396484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1.91192626953125" w:right="98.439941406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relationships. And the primary activities include some of the TTS-type of activities that we've talked about,  so liquidity management, payments, custody within the Services business. And so, you'd see a good portion  of the activity in Argentina playing through the Services business, some of it in Markets as well, but again,  the majority of the activity in Services.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Scott Siefers at Piper Sandler. Your line is open. Please go ahead.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164470672607" w:lineRule="auto"/>
        <w:ind w:left="23.107147216796875" w:right="107.2888183593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SCOTT SIEFERS: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everyone. Thanks for taking the question. Mark, I think you touched on at least a  component of this a couple questions ago, but maybe just broadly an update on your rate positioning. I guess  I only ask, because it looks like we might be starting to diverge in terms of global rate trajectories, if we  potentially go lower in Europe, but higher here for a while. In the aggregate, do these kind of complicate your  management or make you feel better or worse about the overall NII momentum for the company?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04979991912842" w:lineRule="auto"/>
        <w:ind w:left="21.513519287109375" w:right="109.50805664062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let me try and take it in, in two pieces, I guess. So one is, if I think about how the rate  implieds have evolved from the 3 to 6 to now something a little bit north of 1 in the context of what I expect  for our performance, it doesn't have a material impact on the guidance that I've given of $80 billion to $81  billion.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53289604187" w:lineRule="auto"/>
        <w:ind w:left="23.107147216796875" w:right="98.736572265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part, that's because as I think about the timing for the planned cuts, which was generally back-loaded,  as well as some of the other factors that play through. So, you know, Argentina just announced a policy rate  reduction yesterday or a couple of days ago. If rates are a bit higher for longer, we'll watch how the betas  continue to evolve. I mentioned earlier, the late fees for the cards business happened a bit sooner. Late fees  are actually booked in our NII line. And so, those factors put me in a place where I feel like there will certainly  be puts and takes around how that rate curve evolves, and therefore I'm very comfortable kind of leaving the  guidance where it is.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75296783447266" w:lineRule="auto"/>
        <w:ind w:left="19.521484375" w:right="98.82080078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answer your broader question, in terms of kind of how we are positioned, I'd point you to the 10-K that we  have that's out. And in that 10-K, we offer as we have before a number of IRE scenarios for plus or minus 100  basis points and what it means for our business. And if you look at it, you'll see that for the aggregate firm,  for Citi, US dollar and non-US dollar, that we're asset-sensitive. So, as rates increase, we should see an  increase in our NII performance.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36.8531894683838" w:lineRule="auto"/>
        <w:ind w:left="23.107147216796875" w:right="105.295410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if you look at the breakdown and that's about I think it was about $1.4 billion or something in terms of  the impact of that move. But if you look at the breakdown, what the breakdown will show is that for US dollar,  at this point we're neutral. So, if rates were to go up, rates were to go down, no material impact as it relates  to our revenue. </w:t>
      </w:r>
      <w:r w:rsidDel="00000000" w:rsidR="00000000" w:rsidRPr="00000000">
        <w:drawing>
          <wp:anchor allowOverlap="1" behindDoc="0" distB="19050" distT="19050" distL="19050" distR="19050" hidden="0" layoutInCell="1" locked="0" relativeHeight="0" simplePos="0">
            <wp:simplePos x="0" y="0"/>
            <wp:positionH relativeFrom="column">
              <wp:posOffset>2858105</wp:posOffset>
            </wp:positionH>
            <wp:positionV relativeFrom="paragraph">
              <wp:posOffset>23622</wp:posOffset>
            </wp:positionV>
            <wp:extent cx="128016" cy="149352"/>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85283184051514" w:lineRule="auto"/>
        <w:ind w:left="23.107147216796875" w:right="99.1003417968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non-US dollar, we're still quite asset-sensitive, right? And so, that should give you some sense for  and we recognize the limitations with IRE, it assumes 100 basis point parallel shift across the curve to a static  balance sheet, etcetera, but that should give you some sense for the implications of the rate curve moves as  it relates to our book of business. </w:t>
      </w:r>
      <w:r w:rsidDel="00000000" w:rsidR="00000000" w:rsidRPr="00000000">
        <w:drawing>
          <wp:anchor allowOverlap="1" behindDoc="0" distB="19050" distT="19050" distL="19050" distR="19050" hidden="0" layoutInCell="1" locked="0" relativeHeight="0" simplePos="0">
            <wp:simplePos x="0" y="0"/>
            <wp:positionH relativeFrom="column">
              <wp:posOffset>6048473</wp:posOffset>
            </wp:positionH>
            <wp:positionV relativeFrom="paragraph">
              <wp:posOffset>23622</wp:posOffset>
            </wp:positionV>
            <wp:extent cx="124968" cy="149352"/>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583740234375" w:line="236.04984283447266" w:lineRule="auto"/>
        <w:ind w:left="23.107147216796875" w:right="104.3115234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Gerard Cassidy at RBC Capital Markets. Your line is open. Please go  ahead.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3955669403076" w:lineRule="auto"/>
        <w:ind w:left="19.123077392578125" w:right="98.95263671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Mark. Hi, Jane. Mark, can you share with us, there's been obviously a lot of  conversation around the credit card charge-offs and the credit quality there. If we could shift over to the  corporate side, which obviously is very strong, we have seen spreads narrow in the markets on high-yield  corporate debt, leverage debt, etcetera. It's very robust out there, but around the global geopolitical risk, do  you think the spreads would be widening? Can you guys share with us what you're seeing on the corporate  side in terms of competition? Are underwriting standards getting a little bit weaker now as people are trying  to grow their books, what are you seeing on that front?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56677246093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2"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65164470672607" w:lineRule="auto"/>
        <w:ind w:left="23.107147216796875" w:right="103.2458496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look, we're still seeing good demand for corporate credit. And what I'd say is that we've  been very disciplined about where we want to play on the risk profile here. We've been very disciplined in  terms of the investment-grade large multinationals that we serve. And that hasn't shifted from an  underwriting point of view. We have seen spaces like private credit pick up quite a bit, and that I think will  continue to evolve.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5164470672607" w:lineRule="auto"/>
        <w:ind w:left="17.728729248046875" w:right="100.447998046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importantly, as we think about our Corporate Lending activity, you'll note that actually we've been  very disciplined about how we want to deploy balance sheet. And part of that again is a by-product of the  revenue sharing that we've implemented, where there's been healthy debate and discussion around the  names that we want to continue to serve, and whether they're positioned to take advantage of the broader  platform that we have.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85266017913818" w:lineRule="auto"/>
        <w:ind w:left="17.52960205078125" w:right="102.5695800781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I think the space will continue to evolve. I think there's been good, healthy demand, despite  continued strong balance sheets and part of that demand has been because of where rates are likely to go  and continue to evolve. And I think we're well-positioned to be thoughtful about that, but Jane, you may  want to add a couple points to 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6525173187256" w:lineRule="auto"/>
        <w:ind w:left="28.087158203125" w:right="103.436279296875" w:hanging="15.7368469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around the world, the corporate client base and our Commercial Banking mid market client base have very healthy balance sheets and we're also seeing market access gradually opening  up as well, which is also helpful for to the quality issuers across all asset classes. We're seeing both the  issuers taking advantage as well as the investors. The deals are well over-subscribed. So, that's also been  beneficial as corporates think about their financing needs. </w:t>
      </w:r>
      <w:r w:rsidDel="00000000" w:rsidR="00000000" w:rsidRPr="00000000">
        <w:drawing>
          <wp:anchor allowOverlap="1" behindDoc="0" distB="19050" distT="19050" distL="19050" distR="19050" hidden="0" layoutInCell="1" locked="0" relativeHeight="0" simplePos="0">
            <wp:simplePos x="0" y="0"/>
            <wp:positionH relativeFrom="column">
              <wp:posOffset>2082021</wp:posOffset>
            </wp:positionH>
            <wp:positionV relativeFrom="paragraph">
              <wp:posOffset>322326</wp:posOffset>
            </wp:positionV>
            <wp:extent cx="128016" cy="149352"/>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75281047821045" w:lineRule="auto"/>
        <w:ind w:left="18.12713623046875" w:right="101.75292968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piece I just pop out there as well is the recent large M&amp;A announcements in multiple industries  is a sign of rising confidence from CEOs and boards and active discussions are increasing, as supportive  capital markets create confidence, as people think about larger strategic transactions. This is going to feed  acquisition finance, bridge financing and some of the higher-margin capital markets and lending activity as  well. </w:t>
      </w:r>
      <w:r w:rsidDel="00000000" w:rsidR="00000000" w:rsidRPr="00000000">
        <w:drawing>
          <wp:anchor allowOverlap="1" behindDoc="0" distB="19050" distT="19050" distL="19050" distR="19050" hidden="0" layoutInCell="1" locked="0" relativeHeight="0" simplePos="0">
            <wp:simplePos x="0" y="0"/>
            <wp:positionH relativeFrom="column">
              <wp:posOffset>966301</wp:posOffset>
            </wp:positionH>
            <wp:positionV relativeFrom="paragraph">
              <wp:posOffset>23622</wp:posOffset>
            </wp:positionV>
            <wp:extent cx="155448" cy="149352"/>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155448" cy="149352"/>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90771484375" w:line="236.8531894683838" w:lineRule="auto"/>
        <w:ind w:left="21.91192626953125" w:right="102.83203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as we look forward, I think it's recognizing the shift in some of the drivers from company just investing,  refinancing, looking at where they can diversify their capital raising in different quarters. But I'd just close by  saying I couldn't agree with you more about geopolitical risks and fragility. I think the market's too benign in its risk pricing on some of these factors.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Matt O'Connor at Deutsche Bank. Your line is open. Please go ahead.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7.25433349609375" w:lineRule="auto"/>
        <w:ind w:left="19.123077392578125" w:right="98.955078125" w:firstLine="1686.07604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In your prepared remarks, you talked about intensifying certain efforts regarding  regulatory processes and data on slide 4 here and was just wondering if you could elaborate on I guess what  you're doing or trying to do differently on that front and if there's any meaningful financial impact. Thank you. </w:t>
      </w:r>
      <w:r w:rsidDel="00000000" w:rsidR="00000000" w:rsidRPr="00000000">
        <w:drawing>
          <wp:anchor allowOverlap="1" behindDoc="0" distB="19050" distT="19050" distL="19050" distR="19050" hidden="0" layoutInCell="1" locked="0" relativeHeight="0" simplePos="0">
            <wp:simplePos x="0" y="0"/>
            <wp:positionH relativeFrom="column">
              <wp:posOffset>16268</wp:posOffset>
            </wp:positionH>
            <wp:positionV relativeFrom="paragraph">
              <wp:posOffset>23622</wp:posOffset>
            </wp:positionV>
            <wp:extent cx="1145908" cy="14935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1145908" cy="149352"/>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7.0536184310913" w:lineRule="auto"/>
        <w:ind w:left="23.107147216796875" w:right="101.165771484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I think, Matt, as we've talked about many times, the Transformation is our top  priority, it will be for the next few years. It is foundational for our future success, both in terms of delivering  the strategy and the medium-term financial path and we've been making significant investments behind it,  as well as not only on the consent order, but also making sure we've got this modern efficient infrastructure.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88330078125" w:line="236.0500144958496" w:lineRule="auto"/>
        <w:ind w:left="23.107147216796875" w:right="99.23706054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currently deep into a very large body of work, upgrading our data architecture, automating manual  controls and processes, consolidating fragmented tech platforms, and all of these help enhance our  business performance more broadly, not just the risk and control in the medium term.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11547851562" w:line="235.96993446350098" w:lineRule="auto"/>
        <w:ind w:left="17.52960205078125" w:right="103.228759765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I've said though, there are a few areas where we are intensifying our efforts, such as the automation  of certain regulatory processes and data remediation, particularly related to regulatory reporting. We're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785156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3.107147216796875" w:right="98.972167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committed to getting these right. The org changes will help us with execution and making sure that we have  the impetus and everything that we need behind it, the investments that we need. We keep a close eye on  execution, making sure we've got the right level of resourcing and expertise and we'll invest what we need to  do to make sure that we address these different concerns.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04979991912842" w:lineRule="auto"/>
        <w:ind w:left="25.89599609375" w:right="113.264160156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can't go into much more detail in terms of CSI obviously, but something of this magnitude you'd expect us  to have some areas where we have good progress and others where we need to intensify efforts.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164470672607" w:lineRule="auto"/>
        <w:ind w:left="18.12713623046875" w:right="100.906982421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mean I think that's exactly right, but you'd also expect that in this type of  environment, and on the heels of the regional bank stress last year that we're looking at stress scenarios,  we're enhancing our CCAR processes, we're enhancing our resolution to recovery processes. All of those  things just to kind of make sure that we're shoring up capabilities and you'd expect that across the industry  quite frankly.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Saul Martinez at HSBC. Your line is open. Please go ahead.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531894683838" w:lineRule="auto"/>
        <w:ind w:left="23.107147216796875" w:right="98.97216796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I'll change tacks a little bit here, but I'm curious if there's any update  on the Mexican IPO and more specifically, I'm kind of curious how set in stone the IPO process is. You will  have a new administration and even if it's a candidate from the same party, she may have a less  confrontational view of the private sector, perhaps be more allowing of a local bank to extract value from  buying a bank. I guess if the facts on the ground were to change, would you be open to a sale potentially being  back on the table, because it does seem like this is a situation where a private market valuation could be  higher and even materially higher than the public market valuation.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92015171051025" w:lineRule="auto"/>
        <w:ind w:left="21.91192626953125" w:right="98.6901855468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guiding principle that we have and we've had all along is making sure that we make a  decision here that is in the best interest of our shareholders and makes the most sense for them. We are we  never say never, but we are very focused on the IPO path here. We believe it is the right one for our  shareholders. We're well on track in the path in Mexico. We're very pleased to bring Ignacio Deschamps in as  the Banamex Chairman to help guide the IPO process. We announced the management teams for the two  banks earlier this quarter. We're far down the path of the technological separation of both banks, and then  the full legal separation in the second half of the year. </w:t>
      </w:r>
      <w:r w:rsidDel="00000000" w:rsidR="00000000" w:rsidRPr="00000000">
        <w:drawing>
          <wp:anchor allowOverlap="1" behindDoc="0" distB="19050" distT="19050" distL="19050" distR="19050" hidden="0" layoutInCell="1" locked="0" relativeHeight="0" simplePos="0">
            <wp:simplePos x="0" y="0"/>
            <wp:positionH relativeFrom="column">
              <wp:posOffset>5858732</wp:posOffset>
            </wp:positionH>
            <wp:positionV relativeFrom="paragraph">
              <wp:posOffset>172974</wp:posOffset>
            </wp:positionV>
            <wp:extent cx="128016" cy="149352"/>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00146484375" w:line="237.25480556488037" w:lineRule="auto"/>
        <w:ind w:left="25.89599609375" w:right="106.0717773437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Obviously, the election Is coming up fairly shortly, but we're not anticipating that we would be deviating from  the IPO path. That is the path that we are on at the moment. I'll never say never but we do believe that this is  the right one, but we'll keep an eye on what's happening in Mexico as we always do.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15966796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Chris Kotowski at Oppenheimer. Please go ahead.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0270671844482" w:lineRule="auto"/>
        <w:ind w:left="19.123077392578125" w:right="100.7263183593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CHRIS KOTOWSKI: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afternoon, thanks. Just a quick one for Mark. Previously, you had talked about  "bending the cost curve" between the third and the fourth quarter of this year, and on this call I thought I  heard you say it's basically bent, that second quarter should be down and we should be sequentially lower  from here, so did it just happen six months earlier or is there still some other bending that comes late this  year?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I'll take it. I'll take that.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wanted that one.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36.05015754699707" w:lineRule="auto"/>
        <w:ind w:left="29.879913330078125" w:right="170.54565429687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 mean I'll take the win. A downward trajectory from here through the end of the year, in line with the guidance of $53.5 billion to $53.8 billion and so yes.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20068359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Steven Chubak at Wolfe Research. Your line is open. Please go ahead.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7.01297760009766" w:lineRule="auto"/>
        <w:ind w:left="0" w:right="99.288330078125" w:firstLine="23.306427001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Jane. Hey, Mark. Did want to ask on DFAST and SCB just recognizing this will be the  last opportunity before the results come out. The macro scenario, Fed assumptions look quite similar to last  year but just given the significant transformation that's underway, repositioning actions, which admittedly  depressed earnings last year, want to get a sense as to whether there are any idio-factors that could result  in greater SCB volatility in the coming exam and just broader thoughts on longer-term trajectory for the SCB,  just given the org simplification efforts that are underway.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6.65180206298828" w:lineRule="auto"/>
        <w:ind w:left="19.123077392578125" w:right="101.7077636718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Steven the first part of your question is just impossible to answer to be candid with  you, right. I mean it's we obviously have an internal based scenario we've run. We have a severely adverse  scenario that we've run. We've provided a balance sheet as part of the submission, but ultimately, the  regulators have to run through their models, the information that we've provided and that informs what  happens with the stress capital buffer, and we don't have as much transparency to that as we'd like and so  really hard to call at this stage. </w:t>
      </w:r>
      <w:r w:rsidDel="00000000" w:rsidR="00000000" w:rsidRPr="00000000">
        <w:drawing>
          <wp:anchor allowOverlap="1" behindDoc="0" distB="19050" distT="19050" distL="19050" distR="19050" hidden="0" layoutInCell="1" locked="0" relativeHeight="0" simplePos="0">
            <wp:simplePos x="0" y="0"/>
            <wp:positionH relativeFrom="column">
              <wp:posOffset>1236940</wp:posOffset>
            </wp:positionH>
            <wp:positionV relativeFrom="paragraph">
              <wp:posOffset>172974</wp:posOffset>
            </wp:positionV>
            <wp:extent cx="128016" cy="14935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474609375" w:line="236.65263175964355" w:lineRule="auto"/>
        <w:ind w:left="18.12713623046875" w:right="101.7224121093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part of your question I think is spot-on and I kind of alluded to in my prepared remarks in that  we have the medium-term targets that we've set and we're still in the midst of kind of the execution of our  strategy, the evolution of the business mix and the business model. The mix towards more consistent,  predictable and repeatable revenue streams that would impact PPNR, the simplification which obviously  plays through an expense base that'll be lower when we get to that medium-term period.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05032920837402" w:lineRule="auto"/>
        <w:ind w:left="21.91192626953125" w:right="99.28955078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all of those things, the divestitures and kind of what that means and how that might impact the G-SIB  score and the like and the freeing up of capital which we've already freed up $6 billion or so, and so all of  those things have kind of yet to have been factored in and we believe will be beneficial to the SCB over the  medium-term.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Mike Mayo at Wells Fargo. Your line is open. Please go ahead.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3544921875" w:line="236.05051517486572" w:lineRule="auto"/>
        <w:ind w:left="23.107147216796875" w:right="98.894042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A follow-up, Mark, you said TTS, you said we will have growth in operational deposits, and  I was just wondering what gives you such confidence that you will, or is that accelerating or the same pace  or what?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6.53212547302246" w:lineRule="auto"/>
        <w:ind w:left="18.12713623046875" w:right="100.7763671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seen growth in the quarter, in operating deposits. The confidence comes from the  focus that we've had with our existing clients as well as the growth we've seen with new clients, doing more  with existing in more countries, more deeply penetrating the commercial middle-market space, and so we've  been very thoughtfully focused on deposits that obviously give us the most value and also, provide the most  stickiness as it relates to that relationship and so yes, the confidence is rooted in what we're seeing in the  way of underlying operating deposit growth including inside this quarter.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82416439056396" w:lineRule="auto"/>
        <w:ind w:left="0" w:right="100.51513671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also a lot of the investments that we've been making, fuel a lot of the growth we've got.  We have a market- leading product innovations and those continue to drive good returns, good growth. If it's  Citi Token Services, Citi Payment Express, 24/7 Clearing, all of these different elements really mean that this  business is utterly invaluable and indispensable to our clients and the stickiness of the deposits, the  operating deposits comes with that, so we feel good about that growth. And you'll hear more about this as  well, Mike, in the Investor Day in mid-June which will be I think we hope will be very helpful to everyone so  you really get your arms around how this business operates, makes money, and see why we call it a crown  jewel.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956787109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Vivek Juneja at JPMorgan. Your line is open. Please go ahead.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70971679688" w:line="235.96979141235352" w:lineRule="auto"/>
        <w:ind w:left="21.513519287109375" w:right="105.892333984375" w:hanging="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Mark, completely different topic, because I think I understood your answer to be just  from my previous question to be the tax benefits so we'll leave it at that. If it's different then I need to go down </w:t>
      </w:r>
      <w:r w:rsidDel="00000000" w:rsidR="00000000" w:rsidRPr="00000000">
        <w:drawing>
          <wp:anchor allowOverlap="1" behindDoc="0" distB="19050" distT="19050" distL="19050" distR="19050" hidden="0" layoutInCell="1" locked="0" relativeHeight="0" simplePos="0">
            <wp:simplePos x="0" y="0"/>
            <wp:positionH relativeFrom="column">
              <wp:posOffset>6047961</wp:posOffset>
            </wp:positionH>
            <wp:positionV relativeFrom="paragraph">
              <wp:posOffset>23622</wp:posOffset>
            </wp:positionV>
            <wp:extent cx="128016" cy="149352"/>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8723144531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1.513519287109375" w:right="102.164306640625" w:firstLine="4.38247680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path, but the question I signed on to ask was, you talked about the percentage of revolvers increasing  from transactors in the private-label and the retail partner cards. What is that percentage and how does it  compare with what it was pre-pandemic?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53149604797363" w:lineRule="auto"/>
        <w:ind w:left="18.12713623046875" w:right="99.4409179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don't we haven't broken down the transactor versus revolver mix, and so I'm not  going to get into that. I will say that the revolver levels are at least back to where they were pre-pandemic  and leave it at that, but we are seeing kind of continued revolver activity which you'd expect kind of given the  way the cycle has evolved and given payment rates have started to moderate and the stimulus has kind of  unwound, and so all of that is kind of consistent with expectations but obviously, is a factor in reserve levels  as I mentioned earlier. </w:t>
      </w:r>
      <w:r w:rsidDel="00000000" w:rsidR="00000000" w:rsidRPr="00000000">
        <w:drawing>
          <wp:anchor allowOverlap="1" behindDoc="0" distB="19050" distT="19050" distL="19050" distR="19050" hidden="0" layoutInCell="1" locked="0" relativeHeight="0" simplePos="0">
            <wp:simplePos x="0" y="0"/>
            <wp:positionH relativeFrom="column">
              <wp:posOffset>1711918</wp:posOffset>
            </wp:positionH>
            <wp:positionV relativeFrom="paragraph">
              <wp:posOffset>23623</wp:posOffset>
            </wp:positionV>
            <wp:extent cx="124968" cy="14935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final question is from Betsy Graseck at Morgan Stanley. Your line is open. Please go ahead.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36.53169631958008" w:lineRule="auto"/>
        <w:ind w:left="23.107147216796875" w:right="100.795898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Oh, hi, thanks so much. I just wanted to make sure of one thing on the expenses. I know  in the past you've talked about the fact that 1Q will be a little elevated with the restructuring. And you showed  that was the $225 million in the quarter, and then when we look to 2Q, we should should we still be  expecting a step-down in 2Q? And is that step-down just the elimination of the $225 million or is there some  restructuring that we're likely to see in 2Q as well? In other words, should I just fade sequentially 2Q, 3Q, 4Q  to hit your annual number or is there a bigger step-down in 2Q that I should still be expecting here? Thanks. </w:t>
      </w:r>
      <w:r w:rsidDel="00000000" w:rsidR="00000000" w:rsidRPr="00000000">
        <w:drawing>
          <wp:anchor allowOverlap="1" behindDoc="0" distB="19050" distT="19050" distL="19050" distR="19050" hidden="0" layoutInCell="1" locked="0" relativeHeight="0" simplePos="0">
            <wp:simplePos x="0" y="0"/>
            <wp:positionH relativeFrom="column">
              <wp:posOffset>4964654</wp:posOffset>
            </wp:positionH>
            <wp:positionV relativeFrom="paragraph">
              <wp:posOffset>322326</wp:posOffset>
            </wp:positionV>
            <wp:extent cx="128016" cy="149352"/>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36.73850536346436" w:lineRule="auto"/>
        <w:ind w:left="19.123077392578125" w:right="101.9628906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I think you should just fade it, to answer your question very directly, but I'd also point  out that in Q1, if you really look through to it, it has the $250 million of FDIC charge in it, and so when you  back that out, we effectively are coming in lower than what we had guided right. Despite that I'm telling you  the same I'm making the same point, which is you can expect a downward trend from here through to the  end of the year and while there won't be additional restructuring charge, there will be the normal BAU activity  around repositioning that plays through, so hopefully that answers your question, Betsy. The guidance still  holds, and the downward trend is what we are managing towards, as we kind of play out the balance of the  year. </w:t>
      </w:r>
      <w:r w:rsidDel="00000000" w:rsidR="00000000" w:rsidRPr="00000000">
        <w:drawing>
          <wp:anchor allowOverlap="1" behindDoc="0" distB="19050" distT="19050" distL="19050" distR="19050" hidden="0" layoutInCell="1" locked="0" relativeHeight="0" simplePos="0">
            <wp:simplePos x="0" y="0"/>
            <wp:positionH relativeFrom="column">
              <wp:posOffset>572476</wp:posOffset>
            </wp:positionH>
            <wp:positionV relativeFrom="paragraph">
              <wp:posOffset>471678</wp:posOffset>
            </wp:positionV>
            <wp:extent cx="128016" cy="149352"/>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10644531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 will turn the call over to Jenn Landis for closing remarks.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5051517486572" w:lineRule="auto"/>
        <w:ind w:left="29.879913330078125" w:right="102.177734375" w:hanging="17.52960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us. If you have any follow-up questions, please call us and we  look forward to talking to you. Thank you very much.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Citi's First Quarter 2024 Earnings Call. You may now disconnect.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25329589843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408.0883789062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12, 2024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40" w:lineRule="auto"/>
        <w:ind w:left="31.473541259765625" w:right="0" w:firstLine="0"/>
        <w:jc w:val="left"/>
        <w:rPr>
          <w:rFonts w:ascii="Arial" w:cs="Arial" w:eastAsia="Arial" w:hAnsi="Arial"/>
          <w:b w:val="1"/>
          <w:i w:val="0"/>
          <w:smallCaps w:val="0"/>
          <w:strike w:val="0"/>
          <w:color w:val="000000"/>
          <w:sz w:val="19.920000076293945"/>
          <w:szCs w:val="19.920000076293945"/>
          <w:u w:val="singl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Footnote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drawing>
          <wp:inline distB="19050" distT="19050" distL="19050" distR="19050">
            <wp:extent cx="4728210" cy="149352"/>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72821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-interest revenue)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01806640625" w:line="331.6526126861572" w:lineRule="auto"/>
        <w:ind w:left="389.1407775878906" w:right="665.99975585937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transcript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97052" cy="134112"/>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97052"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93949" cy="134112"/>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893949"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24373" cy="134112"/>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524373"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expectations and are subject to uncertainty and changes in circumstances. These statements are not  guarantees of future results or occurrences. Actual results and capital and other financial condition may  differ materially from those included in these statements due to a variety of factors. These factors include,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54878" cy="134112"/>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25487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strategic and other initiatives, which include management and operating model changes and other actions,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Pr>
        <w:drawing>
          <wp:inline distB="19050" distT="19050" distL="19050" distR="19050">
            <wp:extent cx="3624072" cy="134112"/>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624072"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-market operations in Mexico, which  involves significant execution uncertainty and complexity and may result in higher than expected expenses,  certain losses or other negative financial or strategic impacts; a potential U.S. federal government  shutdown and the resulting impacts; continued elevated interest rates and the impacts on macroeconomic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14848" cy="134112"/>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51484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rates and the resulting impacts on net interest income; potential recessions in the U.S., Europe and  other regions or countries; revisions to the U.S. Basel III rules, including the recently issued notice of  proposed rulemaking, known as the Basel III Endgame, related to the U.S. regulatory capital framework, and  other proposed changes in regulatory capital rules; continued elevated levels of inflation and its impacts;  potential increased regulatory requirements and costs; the various uncertainties and impacts related to or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157978" cy="134112"/>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15797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tential  additional currency devaluations in Argentina; and the precautionary statements included in this transcript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005324" cy="134112"/>
            <wp:effectExtent b="0" l="0" r="0" t="0"/>
            <wp:docPr id="32"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005324"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Exchange Commission, including without l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78125" cy="134112"/>
            <wp:effectExtent b="0" l="0" r="0" t="0"/>
            <wp:docPr id="3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778125"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Form 10- K. Any forward-looking statements made by or on behalf of Citigroup speak only as to the date they are  made, and Citi does not undertake to update forward-looking statements to reflect the impact of  circumstances or events that arise after the date the forward-looking statements were made. </w:t>
      </w:r>
      <w:r w:rsidDel="00000000" w:rsidR="00000000" w:rsidRPr="00000000">
        <w:drawing>
          <wp:anchor allowOverlap="1" behindDoc="0" distB="19050" distT="19050" distL="19050" distR="19050" hidden="0" layoutInCell="1" locked="0" relativeHeight="0" simplePos="0">
            <wp:simplePos x="0" y="0"/>
            <wp:positionH relativeFrom="column">
              <wp:posOffset>-209854</wp:posOffset>
            </wp:positionH>
            <wp:positionV relativeFrom="paragraph">
              <wp:posOffset>-69595</wp:posOffset>
            </wp:positionV>
            <wp:extent cx="5896356" cy="5705856"/>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896356" cy="57058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-218998</wp:posOffset>
            </wp:positionH>
            <wp:positionV relativeFrom="paragraph">
              <wp:posOffset>-78993</wp:posOffset>
            </wp:positionV>
            <wp:extent cx="5915660" cy="5724525"/>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15660" cy="5724525"/>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453369140625" w:line="354.52460289001465" w:lineRule="auto"/>
        <w:ind w:left="392.2007751464844" w:right="765.57983398437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transcript does not constitute an offer to sell, nor a solicitation of an offer to buy, any securities, which  will be made only by a prospectus.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6674804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20 </w:t>
      </w:r>
    </w:p>
    <w:sectPr>
      <w:pgSz w:h="15840" w:w="12240" w:orient="portrait"/>
      <w:pgMar w:bottom="1478.8800048828125" w:top="712.80029296875" w:left="1305.7392883300781" w:right="1179.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2.png"/><Relationship Id="rId10" Type="http://schemas.openxmlformats.org/officeDocument/2006/relationships/image" Target="media/image79.png"/><Relationship Id="rId13" Type="http://schemas.openxmlformats.org/officeDocument/2006/relationships/image" Target="media/image83.png"/><Relationship Id="rId12" Type="http://schemas.openxmlformats.org/officeDocument/2006/relationships/image" Target="media/image8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5.png"/><Relationship Id="rId15" Type="http://schemas.openxmlformats.org/officeDocument/2006/relationships/image" Target="media/image88.png"/><Relationship Id="rId14" Type="http://schemas.openxmlformats.org/officeDocument/2006/relationships/image" Target="media/image86.png"/><Relationship Id="rId17" Type="http://schemas.openxmlformats.org/officeDocument/2006/relationships/image" Target="media/image78.png"/><Relationship Id="rId16" Type="http://schemas.openxmlformats.org/officeDocument/2006/relationships/image" Target="media/image80.png"/><Relationship Id="rId5" Type="http://schemas.openxmlformats.org/officeDocument/2006/relationships/styles" Target="styles.xml"/><Relationship Id="rId19" Type="http://schemas.openxmlformats.org/officeDocument/2006/relationships/image" Target="media/image47.png"/><Relationship Id="rId6" Type="http://schemas.openxmlformats.org/officeDocument/2006/relationships/image" Target="media/image76.png"/><Relationship Id="rId18" Type="http://schemas.openxmlformats.org/officeDocument/2006/relationships/image" Target="media/image87.png"/><Relationship Id="rId7" Type="http://schemas.openxmlformats.org/officeDocument/2006/relationships/image" Target="media/image84.png"/><Relationship Id="rId8"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