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18.1271362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1.79275512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Head ofCiti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8.5655212402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79275512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1.3143920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26171875" w:line="240" w:lineRule="auto"/>
        <w:ind w:left="18.1271362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80233478546143" w:lineRule="auto"/>
        <w:ind w:left="1.792755126953125" w:right="117.11181640625" w:firstLine="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Third Quarter 2024 Earnings Call.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060546875" w:line="240" w:lineRule="auto"/>
        <w:ind w:left="21.3143920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37.25480556488037" w:lineRule="auto"/>
        <w:ind w:left="10.3582763671875" w:right="121.312255859375" w:hanging="10.3582763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 for joining our third quarter 2024  earnings call. I am joined today by our Chief Executive Officer, Jane Fraser, and our Chief Financial Officer,  Mark Mason.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6943359375" w:line="236.6525173187256" w:lineRule="auto"/>
        <w:ind w:left="10.3582763671875" w:right="123.39477539062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earnings  materials as well as in our SEC filings.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25732421875" w:line="240" w:lineRule="auto"/>
        <w:ind w:left="3.386383056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with that, I'll turn it over to Jane.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7.2546625137329" w:lineRule="auto"/>
        <w:ind w:left="0" w:right="118.2495117187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and a very good morning to everyone. Well, we certainly live in interesting  times. And while I usually start our calls with our views on the global macro environment, we are particularly  proud of our progress this quarter, and so I shall start there. Indeed, in a pivotal year, this quarter contains  multiple proof points that we are moving in the right direction and that our strategy is delivering concrete  results.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8173828125" w:line="236.82427883148193" w:lineRule="auto"/>
        <w:ind w:left="4.38232421875" w:right="1.126708984375" w:firstLine="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saw revenue growth and positive operating leverage for the firm and across all five businesses. Our  businesses performed well as the rate cutting cycle began, with a double-digit increase in fee-based  revenues, reflecting the growing diversity of our earnings mix. We continue to have share gains in Services  and Banking. In Wealth, we saw a sizeable increase in client investments and flows. We brought expenses  down whilst continuing to invest in our transformation. And we continued to attract top leaders in the  industry and successfully combine them with our own teams in Banking and Wealth. So, while we are not yet  where we want to be, the impact of the changes we are making is clearly evident in our momentum and  improving performance.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91650390625" w:line="236.72677516937256" w:lineRule="auto"/>
        <w:ind w:left="10.3582763671875" w:right="0.11474609375" w:hanging="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the macro, now while growth is a notch slower than last year, global economic performance  continues to be surprisingly resilient. Whatever you want to call the US landing, the sentiment around it is  more optimistic, supported by the recent positive payrolls report. And we see a healthy yet more discerning  US consumer, and a US corporate sector on its front foot. Manufacturing weakness is restraining a modest  rebound in Europe which continues to struggle with more structural challenges around its competitiveness,  as highlighted by Draghi’s report. In China, consumer sentiment and the property market remain a concern  as markets await details on the expected fiscal stimulus. India, Asean, Japan, the Middle East, Mexico and  Brazil are all notable global bright spots.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5029907226562"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10.3582763671875" w:right="8.4619140625" w:hanging="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Today we reported net income of $3.2 billion and earnings per share of $1.51 with an ROTCE of 7%. Overall  revenues grew by 3% ex-divestitures, with each of our core businesses delivering growth and positive  operating leverage. While we continue to make substantial investments in our transformation, the  efficiencies gained from our simplification and other efforts drove a 2% reduction in overall expenses.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53149604797363" w:lineRule="auto"/>
        <w:ind w:left="4.38232421875" w:right="1.385498046875" w:hanging="2.9879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the five businesses, Services delivered a record quarter with revenues up by 8%. Fee growth, the  best indicator of underlying momentum, was significant. And this, combined with loan and deposit volume  growth, drove this quarter’s excellent performance. Treasury and Trade Solutions was up 4% year over year  reflecting good underlying momentum in the core drivers. And Securities Services was up 24%, reflecting the  benefit of new mandates and an increase in assets under custody. Both TTS and Securities Services  achieved over 10% wallet share in our target markets through the first half of the year.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025390625" w:line="237.05357551574707" w:lineRule="auto"/>
        <w:ind w:left="7.37030029296875" w:right="0.5126953125" w:firstLine="13.944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Last week we announced that we are the first global bank to complete the integration of our cross-border  services with Mastercard Move. Now, this will ultimately enable near-instant, secure payments to the vast  Mastercard debit network, starting with 14 markets with more to come early next year. And this is another  great example of our continued investment in market-leading product innovations.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7001953125" w:line="236.85308933258057" w:lineRule="auto"/>
        <w:ind w:left="10.3582763671875" w:right="0.76293945312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Markets, revenues were up slightly on the back of a better-than- expected September. Equities was up  32% with robust performance across all products. Our continued strong performance in Equities validates  both our strategy and execution to grow Prime and Cash. Fixed Income however was down 6% — our Rates  and Currencies business didn’t match last year’s standout performance.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60693359375" w:line="236.8531894683838" w:lineRule="auto"/>
        <w:ind w:left="10.3582763671875" w:right="3.23364257812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was a particularly pleasing quarter in Banking. Despite the muted IPO market, Investment Banking fees  are up 44% driven by investment grade debt issuance as our clients pulled forward activity ahead of the U.S.  election. Corporate sentiment remains positive as boards pursue strategic transactions, such as the $36  billion Mars acquisition of Kellanova, where we are the sole advisor and lead financier. Our strategy in  Banking continues to gain momentum, and we are steadily growing our share in key target sectors such as  healthcare and tech, with a healthy pipeline ahead. And the significant upside of our franchise continues to  attract the top talent to Citi.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45751953125" w:line="236.8531894683838" w:lineRule="auto"/>
        <w:ind w:left="10.3582763671875" w:right="6.80786132812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the quarter, we announced an innovative $25 billion private credit partnership with our longtime  client Apollo, giving us the ability to source new transactions without using our balance sheet. This  partnership positions us with another solution for debt financing for our clients, and it allow us to engage in  private credit with the same depth and expertise as we currently do with syndicated debt markets.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60693359375" w:line="236.6525173187256" w:lineRule="auto"/>
        <w:ind w:left="4.38232421875" w:right="6.9970703125" w:firstLine="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also starting to see the positive impact of the significant changes we’ve implemented in our Wealth  franchise, with revenues up 9%. It’s a notable example of the traction I referenced earlier. As Andy and the  team intensify the focus on our investments business, we grew client investment assets by 24%. And we  were particularly pleased with the performance in Asia and in Citigold. I continue to be excited by the  opportunities and the sheer potential of our franchise.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59765625" w:line="236.04987144470215" w:lineRule="auto"/>
        <w:ind w:left="5.37841796875" w:right="2.208251953125" w:firstLine="15.935974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the quarter, we signed an agreement to exit trust administration and fiduciary services as we continue  to sharpen the focus of our Wealth business. We have more to do to reach our medium-term margin and  returns targets, but this quarter is a good indicator that we are on the way there.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217041015625" w:line="236.80269241333008" w:lineRule="auto"/>
        <w:ind w:left="9.561614990234375" w:right="4.674072265625" w:firstLine="9.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 Personal Banking revenues were up 3%. We grew Branded Cards revenues by 8% with account  acquisitions, spend and payment rates all driving higher interest-earning balances. Lower discretionary  spending is impacting our Retail Services portfolio; however, we continue to see lower payment rates  contributing to interest earning balances. In Retail Banking, we are growing our mortgage portfolio as the  rate environment shifts, as well as growing overall loans.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6962890625" w:line="237.25444793701172" w:lineRule="auto"/>
        <w:ind w:left="9.561614990234375" w:right="6.29150390625" w:hanging="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U.S. consumer dynamics remain remarkably consistent with prior quarters. Our customers are healthy  but more discerning in their spend, with signs of stress isolated to the lower FICOs. We have maintained  strong credit discipline, and our card portfolios continue to perform very much in line with our expectations.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51220703125" w:line="238.37852954864502" w:lineRule="auto"/>
        <w:ind w:left="18.326416015625" w:right="13.14453125" w:firstLine="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capital, while uncertainty about the Basel 3 endgame prevails, our capital position remains very  robust, and we ended the quarter with a CET1 ratio of 13.7%. During the quarter, we returned $2.1 billion 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793090820312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0.3582763671875" w:right="9.3615722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capital, including the repurchase of $1 billion of common shares. We will continue to repurchase stock as we  evaluate the right level on a quarterly basis.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23046875" w:line="236.65194511413574" w:lineRule="auto"/>
        <w:ind w:left="10.3582763671875" w:right="1.12060546875" w:hanging="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know, our Transformation is our number one priority. This quarter we closed another long-standing  consent order which related to the effectiveness of our anti-money laundering systems. We have increased  our investments in areas where we have not made sufficient progress, such as data quality management. I  and the management team remain steadfast and determined to get this Transformation right and to get this  done.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59765625" w:line="236.65164470672607" w:lineRule="auto"/>
        <w:ind w:left="5.37841796875" w:right="4.71313476562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will close out this pivotal year with momentum and with determination to continue to improve  performance in each business and the firm overall. We are committed to meeting our revenue and expense  targets for the year as well as our return target for the medium-term. I am very proud of our senior leadership  and the entire organization as we demonstrate the potential of our unique global franchise. It is a privilege to  lead this firm.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38.45836639404297" w:lineRule="auto"/>
        <w:ind w:left="10.3582763671875" w:right="14.937744140625" w:hanging="3.98391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 would like to turn it over to Mark and then we would be delighted, as always, to take your  questions.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7.2545051574707" w:lineRule="auto"/>
        <w:ind w:left="9.561614990234375" w:right="6.69189453125" w:firstLine="8.56552124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Jane and good morning, everyone. I am going to start with the firmwide financial  results, focusing on year-over-year comparisons for the third quarter unless I indicate otherwise, and then  spend a little more time on the businesses.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8173828125" w:line="236.9392490386963" w:lineRule="auto"/>
        <w:ind w:left="4.38232421875" w:right="0.92651367187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5, we show financial results for the full firm. For the quarter, we reported net income of  approximately $3.2 billion, EPS of $1.51 and an RoTCE of 7.0% on $20.3 billion of revenues. Total revenues  were up 1% on a reported basis. Excluding divestiture-related impacts, revenues were up 3%, driven by  growth across each of our businesses. As you can see on the bottom left side of the page, net interest income  excluding Markets was down 1% YoY, largely due to lower interest rates in Argentina. And non-interest  revenue excluding Markets was up 9% as we continued to see strong fee momentum across Services,  Banking and Wealth. Year-to-date, revenues are up 1% on a reported basis, and are up 3% excluding  divestiture-related impacts. Expenses were $13.3 billion, down 2%, largely driven by savings associated with  our organizational simplification and stranded cost reductions, partially offset by volume related expenses  and continued investments in the Transformation and other risk and control initiatives. Year-to-date,  expenses are up 1%, primarily driven by the FDIC special assessment and civil money penalties. Cost of credit  was $2.7 billion, largely driven by net credit losses in Cards as well as ACL builds across the businesses,  primarily for portfolio growth and mix. At the end of the quarter, we had over $22 billion in total reserves with  a reserve-to-funded loans ratio of approximately 2.7%. And year-to-date, excluding the divesture related  impacts, we generated positive operating leverage for the firm, and reported an RoTCE of 7.2%.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40478515625" w:line="236.83751106262207" w:lineRule="auto"/>
        <w:ind w:left="3.386383056640625" w:right="2.14477539062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6, we show the expense trend over the past five quarters. This quarter we reported expenses of $13.3  billion, down 2%, and 1% sequentially. As we’ve said before, we will continue to increase our investments to  address data governance and data quality related to regulatory reporting and are committed to spending  whatever is necessary to address these areas and the Transformation more broadly. Although a lot more  work remains, we have started to see benefits from our prior investments play through. We’ve continued to  simplify our technology infrastructure, retiring over 450 applications year-to-date and now over 1,250 since  our 2022 Investor Day. We’ve upgraded 100% of our over 2,300 ATMs in North America and Asia Pacific to  next-gen software for better customer security and monitoring. And we have streamlined our cloud  onboarding process, reducing time to onboard applications to the public cloud from over 7 weeks to 2 weeks. Each of these initiatives will result in both improvement of our operating efficiency and our safety and  soundness. And in terms of our full year expenses, we continue to expect that we will be at the higher end of  the guidance range of $53.5 to 53.8 billion, excluding the FDIC special assessment and civil money penalties.  And as we’ve said before, we, of course, will continue to look for opportunities to absorb the civil money  penalties.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48388671875" w:line="236.01000308990479" w:lineRule="auto"/>
        <w:ind w:left="5.37841796875" w:right="0.8129882812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7, we show net interest income, loans and deposits where I’ll speak to sequential variances. In the  third quarter, net interest income declined 1%. Excluding Markets, net interest income was up 4%, largely  driven by volume growth in USPB as well as higher deposit spreads in Services and Wealth. NIM declined by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4531860351562"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51712799072" w:lineRule="auto"/>
        <w:ind w:left="3.386383056640625" w:right="1.549072265625" w:firstLine="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basis points, driven by a decline in Markets due to seasonally higher dividends in the second quarter. Average loans were up 1%, driven by growth in Services and USPB, partially offset by modest declines in  Banking and Legacy Franchises. Average deposits were roughly flat, as growth in Services was largely offset  by a decline in Legacy Franchises. And as you think about guidance for NII ex-Markets in the fourth quarter: As short-end rates continue to come down, we expect a headwind on floating-rate assets which will be  somewhat offset by disciplined deposit pricing. Further offsetting that will be a continued benefit from  securities being reinvested at higher yields. And as a reminder, we expect an ongoing NII headwind as Legacy  Franchises’ loans and deposits continue to come down. So, taking all of this into account, we expect NII ex Markets to be roughly flat sequentially in the fourth quarter, and for the full year to be slightly down, better  than we had previously guided.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4140625" w:line="236.83273315429688" w:lineRule="auto"/>
        <w:ind w:left="3.386383056640625" w:right="0.664062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key consumer and corporate credit metrics, which reflect our disciplined risk appetite  framework. Across our Cards portfolio, approximately 85% of our loans are to consumers with FICO scores  of 660 or higher. Based on what we see, the US consumer continues to remain healthy and resilient. Spend  and payment rates continue to normalize, and underlying credit performance remains broadly in line with  our expectations. NCLs increased year-over-year as card loan vintages that were originated over the last few  years continue to mature at the same time. Sequentially, NCLs declined while delinquencies increased, both  in-line with historical third quarter seasonality. Absent this seasonality, we continue to see stabilization in  early-stage delinquencies. We remain well reserved with a reserve-to-funded loan ratio of approximately  8.2% for our U.S. Cards portfolio. Our Corporate portfolio is largely investment grade and corporate non accrual loans remained low, at 31 basis points. As such, we feel very comfortable with the over $22 billion of  total reserves that we have in the current environment.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2548828125" w:line="236.96266651153564" w:lineRule="auto"/>
        <w:ind w:left="4.38232421875" w:right="2.53051757812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slide 9, we provide details on our balance sheet, capital and liquidity, which are a reflection of our  risk appetite, strategy and business model. Our $1.3 trillion deposit base is well-diversified across regions,  industries, customers and account types. $840 billion are corporate, spanning 90 countries, and are crucial  to how our clients fund their daily operations around the world. The majority of our remaining deposits,  about $400 billion, are well-diversified across the Private Bank, Citigold, Retail and Wealth at Work  offerings. And of our total deposits, roughly 70% are US dollar denominated with the remainder spanning  over 60 currencies. Our asset mix also reflects our strong risk appetite framework. Our $689 billion loan  portfolio is well-diversified across consumer and corporate loans. In the quarter, deposit growth outpaced  loan growth resulting in higher cash balances which contributed to available liquidity resources of  approximately $960 billion. We continue to feel very good about the strength of our balance sheet and the  quality of our assets and liabilities, which position us well to serve our clients and execute on our growth  strategy.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5126953125" w:line="237.0737600326538" w:lineRule="auto"/>
        <w:ind w:left="7.37030029296875" w:right="0.84228515625" w:firstLine="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10, we show the sequential CET1 walk to provide more detail on the drivers this quarter. First, we  generated $3.0 billion of net income to common shareholders, which added 27 basis points. Second, we  returned $2.1 billion in the form of common dividends and share repurchases, which drove a reduction of 18  basis points. Third, we generated 12 basis points from unrealized AFS gains. And finally, the remaining 9  basis point reduction was driven by an increase in RWA as we continue to invest in accretive growth  opportunities. We ended the third quarter with a preliminary CET1 capital ratio of 13.7% relative to our target  of 13.3%. As a reminder, effective October 1st, our new CET1 capital ratio requirement is 12.1%, and we still  plan on holding a 100 basis point management buffer on top of that for now. As we think about the coming  quarters, there are a few things that we will continue to consider as we manage our capital levels, including  client demand as well as how the macro and Basel 3 Endgame evolves. We will take all of this into account  as it relates to capital levels and the level of share repurchases on a quarter-by-quarter basis.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6204833984375" w:line="236.9974422454834" w:lineRule="auto"/>
        <w:ind w:left="11.3543701171875" w:right="6.58203125" w:hanging="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the businesses on slide 11. In Services, revenues were up 8%, reflecting continued momentum  across Securities Services and TTS, both of which continue to gain share through the first half of this year. Net interest income was roughly flat, as the benefit of higher deposit volumes was largely offset by a decline  in interest rates in Argentina. On a sequential basis, net interest income was up 7%, driven by volume growth  as we continue to onboard high-quality operating deposits and the benefit from higher deposit spreads. Non-interest revenue increased 33%, driven by a smaller impact from currency devaluation in Argentina 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582397460938"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5"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51712799072" w:lineRule="auto"/>
        <w:ind w:left="3.386383056640625" w:right="1.8774414062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as continued strength in underlying fee drivers in TTS and Securities Services. Excluding the impact of  the Argentine Peso devaluation, NIR increased 11%, driven by growth in cross border transactions, US Dollar  Clearing volumes and Commercial Card volumes. Expenses increased 3%, primarily driven by investments in  technology, other risk and controls and product innovation, including the expansion of the CitiDirect  Commercial Banking platform into additional markets. Cost of credit was $127 million, primarily driven by a  build related to unremittable corporate dividends being held on behalf of clients. Average loans increased  5% primarily driven by continued demand for export and agency finance as well as working capital loans. Average deposits increased 4% as we continue to see growth in operating deposits. Services generated  positive operating leverage and delivered net income of approximately $1.7 billion. And continues to deliver  a high RoTCE, coming in at 26.4% for the quarter and 24.7% year-to-date.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4140625" w:line="236.78123474121094" w:lineRule="auto"/>
        <w:ind w:left="3.386383056640625" w:right="1.6381835937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12, we show the results for Markets for the third quarter. Markets revenues were up 1%, driven by  growth in Equities, partially offset by a decline in Fixed Income. Equities revenues increased 32%, driven by  momentum in Prime with balances up approximately 22%, growth in Derivatives and higher Cash volumes. Fixed Income revenues decreased 6%, driven by Rates and Currencies, which was down 10%, partially offset  by Spread Products and Other Fixed Income, which was up 5%. While Rates and Currencies declined from  last year, which was the strongest third quarter in the previous 10 years, we did see good momentum in FX  from increased corporate client activity. Spread Products and Other Fixed Income was higher driven by  Financing and Securitization volumes and underwriting fees, partially offset by lower Commodities on lower  gas volatility. Expenses increased 1% primarily due to higher volume related expenses. Cost of credit was  $141 million, driven by an ACL build primarily related to portfolio mix in Spread Products. Average loans  increased 10%, largely driven by asset-backed lending in Spread Products as well as margin loans in Equities. Average trading account assets increased 18%, largely driven by client demand for US Treasuries, foreign  government securities and mortgage-backed securities. Markets generated another quarter of positive  operating leverage and delivered net income of approximately $1.1 billion with an RoTCE of 7.9% for the  quarter and 9.7% year-to-date.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0517578125" w:line="236.8866777420044" w:lineRule="auto"/>
        <w:ind w:left="3.386383056640625" w:right="0.1196289062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13, we show the results for Banking for the third quarter. Banking revenues were up 16%, largely  driven by growth in Investment Banking. Investment Banking revenues were up 31% and fees were up 44%,  with increases across Debt Capital Markets, Advisory and Equity Capital Markets. DCM benefited from  continued strong Investment Grade issuance. Advisory benefited from strong announced deal volume earlier  this year. And in ECM we saw stronger follow-on activity, which was offset by fewer IPOs amid market  volatility in August. Both year-to-date and in the quarter, we’ve driven wallet share gains, including in the  Healthcare and Technology sectors where we’ve been investing. Corporate Lending revenues, excluding  mark-to-market on loan hedges, increased 5%, primarily driven by a smaller impact from currency  devaluation in Argentina. Expenses decreased 9%, primarily driven by benefits of headcount reductions as  we continued to right size the workforce and expense base. Cost of credit was $177 million, driven by an ACL  build primarily for portfolio mix changes. Average loans decreased 1% as we maintained strict discipline  around returns. Banking generated positive operating leverage for the third quarter in a row and delivered  net income of $238 million with an RoTCE of 4.3% for the quarter and 7.2% year-to-date.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1768798828125" w:line="236.9805908203125" w:lineRule="auto"/>
        <w:ind w:left="4.38232421875" w:right="0.6445312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the results for Wealth for the third quarter. As you can see from our performance this  quarter, we are making good progress against our strategy and expect that momentum to continue. Revenue  was up 9%, driven by a 15% increase in NIR as we grew investment fee revenues on momentum in client  investment assets, which grew 24%. NII increased 6% driven by higher deposit volumes and spreads. Expenses decreased 4%, driven by the continued benefits of headcount reductions as we right size the  workforce and expense base. Cost of credit was $33 million, largely driven by net credit losses of $27 million. End-of-period client balances increased 14%, driven by higher client investment assets and deposits, both  in North America and internationally. Average deposits increased 4%, reflecting the transfer of relationships  and the associated deposits from USPB, partially offset by a shift in deposits to higher-yielding investments  on Citi’s platform. Average loans decreased 1%, as we continued to optimize capital usage. Wealth generated  another quarter of positive operating leverage and delivered net income of $283 million with an RoTCE of  8.5% for the quarter and 6.8% year-to-date.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596008300781"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2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8600540161133" w:lineRule="auto"/>
        <w:ind w:left="4.38232421875" w:right="0.8398437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the results for US Personal Banking for the third quarter. US Personal Banking revenues  were up 3%, driven by NII growth of 2% and lower partner payments. Branded Cards revenues increased 8%,  with interest-earning balance growth of 8% as payment rates continue to normalize and we continue to see  growth in spend volumes, which were up 3%. Retail Services revenues were down 1%, due to a slowing  growth rate in interest earning balances. Retail Banking revenues decreased 8%, driven by the transfer of  relationships and the associated deposits to our Wealth business. Expenses decreased 1%, driven by  continuous productivity focus, partially offset by higher volume-related expenses. Cost of credit was $1.9  billion, largely driven by net credit losses and a modest build for volume growth. We continue to expect  Branded Cards to be in the 3.5% to 4.0% NCL range for the full year. In Retail Services, we continue to expect  to be around the high end of the 5.75% to 6.25% range for the full year, driven by both the impact of  persistent inflation and high interest rates as well as lower sales activity at our partners. Average deposits  decreased 23%, largely driven by the transfer of relationships and the associated deposits to our Wealth  business. USPB generated another quarter of positive operating leverage and delivered net income of $522  million with an RoTCE of 8.2% for the quarter and 5.2% year-to-date. As we’ve said before, the USPB  segment creates a lot of value for the firm. We knew 2024 would be a tough year, as we lap the credit costs,  but we have a path to higher returns. We will continue to drive revenue growth through product innovations  while improving the operating efficiency of the business. And at the same time, we expect the credit  environment to normalize. All of which will ultimately drive USPB to a high-teens return over the medium  term.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8505859375" w:line="236.89774990081787" w:lineRule="auto"/>
        <w:ind w:left="4.38232421875" w:right="1.7468261718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Slide 17 shows our full year 2024 outlook and medium-term guidance. We’ve generated $61.6 billion of  revenue year-to-date, driven by NIR ex-Markets growth of 12%, and are on track to meet our $80 to 81 billion  full year guidance. As I mentioned, we now expect NII ex-Markets to be slightly down for the full year. And  with year-to-date expenses of $40.4 billion excluding the FDIC special assessment and civil money  penalties, we continue to expect to be on the higher-end of our full year guidance range. As we take a step  back, the third quarter represents another quarter of solid progress and a set of proof points towards  improving firmwide and business performance. We remain focused on continuing to improve our  performance and executing on our Transformation. These priorities remain critical to strengthening our  operations and becoming a more efficient, agile and client-centric company as we continue to make  progress on achieving our medium-term targets. With that, Jane and I will be happy to take your questions.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8837890625" w:line="236.05051517486572" w:lineRule="auto"/>
        <w:ind w:left="10.3582763671875" w:right="2.0483398437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this time, we will open the floor for questions. [Operator Instructions]. Our first question will  come from Glenn Schorr with Evercore. Your line is now open. Please go ahead.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6525173187256" w:lineRule="auto"/>
        <w:ind w:left="3.386383056640625" w:right="7.7490234375" w:firstLine="7.1711730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Thanks very much. Good guidance. I appreciate it. I'm curious on the card losses in Retail financial services, if you could talk to like, the 2024 exit rate seems like it will be higher than the full  year guide at 6.25%. Maybe you could talk to the trajectory there and then the huge reserves that you have  built in there and anything you can tell us about the portfolios so we can keep expectations in the right spot.  Thanks.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20849609375" w:line="237.02849864959717" w:lineRule="auto"/>
        <w:ind w:left="3.386383056640625" w:right="1.245117187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sure. Why don't I take that. Good morning, Glenn. So a couple things. So, one, I think  that on Retail Services you're seeing a couple of things kind of play out. So, one, you're seeing kind of spend  volumes trend down a bit. You are seeing payment rates come down as well. That obviously is fueling the  average interest earning balance growth that we're seeing. And then you are also seeing with the spend  volume come down, there's a denominator effect that plays through which pushes up obviously the loss  rates that we're seeing. That still in the quarter is in line with our guidance but in light of what we saw earlier  in the year and normal seasonality, we would expect that number to be on the higher end of that range and  likely higher in the fourth quarter, but the higher in the fourth quarter again depends on what traffic is like  and what the holiday spending season looks like through the end of the year.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9989013671875" w:line="237.25444793701172" w:lineRule="auto"/>
        <w:ind w:left="10.3582763671875" w:right="3.47290039062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would say the reserve levels we have are very healthy as it relates to this portfolio. I think in the back of the  deck we show kind of the reserve to loan ratio at about 11.7% or so. So well-reserved for the Retail Services  portfolio in light of the environment that we're in.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240356445312"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Similarly, we are seeing the stabilization from a delinquency point of view across both portfolios kind of play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3355102539062"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10.3582763671875" w:right="10.80810546875" w:hanging="4.9798583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 and so net-net, we are obviously actively managing this. The retail partner activity is a critical  component of it and that will drive fourth quarter activity or levels, but we do feel as if we'll end up on the  higher end of the range here.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3427734375" w:line="237.25409030914307" w:lineRule="auto"/>
        <w:ind w:left="3.386383056640625" w:right="1.93359375" w:firstLine="7.1711730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Thanks for all that, Mark. Just one quickie On your partnership with Apollo, very  interesting and in line with a lot of other things we've seen. Curious on how you thought about going with  one specific partner versus a group and then more importantly, are there other parts of the franchise that  could benefit with stronger ties to private markets, I'm thinking specifically in the asset-backed world.  Appreciate it. Thank you.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6.8522310256958" w:lineRule="auto"/>
        <w:ind w:left="10.3582763671875" w:right="7.532958984375" w:hanging="10.3582763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we're delighted to partner with Apollo because what this does is it's uniting our  comprehensive banking reach and expertise together and it's enabling us to offer our clients more innovative  and tailored financing solutions. There will be some other partners involved in this as well. Mubadala is  another participant in this.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6044921875" w:line="236.8522310256958" w:lineRule="auto"/>
        <w:ind w:left="9.561614990234375" w:right="8.61328125" w:hanging="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when we look at this, it's very, very beneficial for our clients. We're always looking at how we can best  serve our clients, give them the most options and this platform enhances corporate and sponsor clients  access to the private lending capital pool at real scale in $25 billion is a very sizable partnership here and it  provides funding certainty and strategic transactions.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658203125" w:line="236.05051517486572" w:lineRule="auto"/>
        <w:ind w:left="9.561614990234375" w:right="6.21459960937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exclusive for LBOs, non-investment grade in the US. The US is obviously the bulk of the private credit  market, it’s the behemoth globally. It would be great to see that market developing in Europe and it wouldn't  surprise me to see us doing more partnerships and other pieces going forward.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04990005493164" w:lineRule="auto"/>
        <w:ind w:left="10.3582763671875" w:right="9.97924804687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Ebrahim Poonawala with Bank of America. Your line is now  open. Please go ahead.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37.094087600708" w:lineRule="auto"/>
        <w:ind w:left="9.362335205078125" w:right="0.699462890625" w:firstLine="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I guess maybe, Mark, for you, like looking at slide 7 on NII, and  maybe we can break it down into Markets and ex-Markets. In the ex-Markets NII, $11.96 billion this quarter,  based on what you've said, the back book repricing, deposit flex, is it safe to conclude that the ex-Markets  NII bottomed in 2Q 2024? And I noticed the securities yield actually went lower, 7 bps quarter-over-quarter.  So was there something one-off that impacted the yield this quarter relative to the expectations you outlined  earlier?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58740234375" w:line="236.8531894683838" w:lineRule="auto"/>
        <w:ind w:left="5.37841796875" w:right="6.25610351562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when you look at slide 7, you got a couple of things playing through. So your point around  the low number, the low print, $11.46 billion in the second quarter, that really is a combination relative to first  quarter of FX translation, some seasonally lower card balances, and lower interest payments in Argentina  playing through that sequential 1Q to 2Q.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9716796875" w:line="236.82432174682617" w:lineRule="auto"/>
        <w:ind w:left="3.386383056640625" w:right="3.56933593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third quarter, as I mentioned earlier, is really a by-product of volumes on the lending side and spreads,  deposit spreads in Services and Wealth and I think that I've already given kind of the guide for the fourth  quarter where that is likely to be flat. But I think it's important to just remind everyone of the headwinds and  tailwinds that play through this NII line. And from a tailwind point of view, I would expect to see continued  volume from loans, USPB in particular but also Services and we're talking ex-Markets, so Services. I'd also  expect to see continued benefit from the reinvestment of securities at higher yields and then we're actively  managing beta as it relates to with our clients and if you think about kind of what we saw in the uptick of  rates, we're actively managing that on the down tick as it relates to our institutional clients.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92626953125" w:line="236.85280323028564" w:lineRule="auto"/>
        <w:ind w:left="4.38232421875" w:right="0.194091796875" w:firstLine="16.9320678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the other point here is let's not forget that our interest rate sensitivity skews more towards non-US  and so a lot of what we think about and talk about tends to be how US rates move and the betas around that.  We're still going to have a bit of beta catch-up outside of the US and so that's one of the headwinds there as  well as the Legacy Franchise exits.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66650390625" w:line="236.8262815475464" w:lineRule="auto"/>
        <w:ind w:left="5.37841796875" w:right="1.802978515625" w:firstLine="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you've got this long-winded way of saying, I do expect flat into the fourth quarter. I'm not going to give  guidance for 2025. But what I will say is to keep the growth momentum to get to our medium-term targets,  that's 4% to 5% of a CAGR and that's going to be a combination of NII and NIR but skewing NIR. And I want  to point that out because the third quarter and the year-to-date numbers that you see in our performance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677612304687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9.561614990234375" w:right="9.161376953125" w:hanging="0.7966613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shows very strong fee NIR growth across each of these five businesses and I don't want to lose sight of that  as you all really try to get a handle on how we get to that medium term. We're evidencing that shift towards  more fee revenue as we speak. So I'll stop there, but I think that's important and hopefully I've answered your  question around the NII forecast here.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53149604797363" w:lineRule="auto"/>
        <w:ind w:left="3.386383056640625" w:right="0"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That's helpful. And agreed on the fee momentum. Just one quick on the Wealth  segment. We've seen a considerable progress year-to-date in terms of going from zero ROE to about 8.5%  RoTCE, significant operating leverage. I think I heard Jane say that momentum should continue. Is it fair to  assume that RoTCE remains, like Wealth remains a positive story as we think about how Citi's ROE continues  to improve from here as we get towards the target? Any color on the Wealth side would be helpful. Thank  you.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025390625" w:line="236.80233478546143" w:lineRule="auto"/>
        <w:ind w:left="5.37841796875" w:right="5.6176757812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I agree with you. I think we're all very pleased to see the progress on the strategy we laid  out at Investor Day. The Wealth target we have in the medium term is 15% to 20% and with that a 25% to  30% operating margin and we're making steady progress there. I think the first piece was putting the pieces  of the global wealth organization together and now we're focused on positioning for growth and reshaping  the business to deliver the returns that we all expect.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6962890625" w:line="237.01382160186768" w:lineRule="auto"/>
        <w:ind w:left="10.3582763671875" w:right="1.64306640625" w:hanging="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very important part of that is shifting our mix by growing investments. We had 24% growth in client  investment assets this quarter. I would call that a good start to realizing the potential that we have here. And  at the same time, Andy continues to right-size our expense base and drive productivity. Our advisor  productivity increased over 50% in Citigold North America. So a number of different areas that he's focused  on so that we can continue to grow the investment space including some important new talent that we've  been bringing in that I'm sure you've noticed.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240234375" w:line="238.45911026000977" w:lineRule="auto"/>
        <w:ind w:left="11.3543701171875" w:right="10.2294921875" w:hanging="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Mike Mayo with Wells Fargo. Your line is now open. Please go  ahead.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92015171051025" w:lineRule="auto"/>
        <w:ind w:left="5.37841796875" w:right="2.8491210937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What assurance can you give that Citi can both meet its 2026 expense guide, the $51 billion  to $53 billion and I note the year-to-date run rate implies $54 billion. So getting from that $54 billion run  rate down to the $51 billion to $53 billion by 2026 and meet its regulatory targets. In other words, assurance  that Citi can both walk and chew gum at the same time. And I guess I'd highlight as you know, on October 2  Senator Warren asked the OCC to impose growth restrictions because Citi is "too big to manage." I would  assume you don't agree with that, but still the question that a lot of people have is what assurances can you  give that an asset cap won't happen at Citigroup? Thanks.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9052734375" w:line="236.85307502746582" w:lineRule="auto"/>
        <w:ind w:left="10.3582763671875" w:right="0.46264648437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Mike. So why don't I start with your expense question and I'm sure Jane will chime  in on some of the other parts of your question. So, look, we put out medium term targets of $51 billion to $53  billion in 2026, revenue dependent, of course, and that's consistent with the target we gave of less than 60%  efficiency ratio. And we've got a target this year as you know on the high end of $53.8 billion [ex-FDIC special  assessment and Civil Money Penalties]. And so we've got to get from $53.8 billion down to $51 billion to $53  billion by 2026. I'm not giving guidance for 2025 but you can expect that that will likely glide down to that  number.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66650390625" w:line="236.6521167755127" w:lineRule="auto"/>
        <w:ind w:left="6.374359130859375" w:right="0.9887695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What's driving the reduction? So we've talked before about $1.5 billion in savings largely related to the  restructuring and driving down headcount reduction associated with that. We talked about another $500  million to $1 billion related to expense reductions from eliminating stranded cost as we continue to exit.  We're out of nine of these consumer countries already. And we talk about starting to see efficiencies and  benefits from the investments and the transformation and technology towards the end of 2026. And those  are the three drivers that are important for us to continue to realize between now and 2026.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29248046875" w:line="236.63214683532715" w:lineRule="auto"/>
        <w:ind w:left="5.37841796875" w:right="1.931152343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there be headwinds? Yes. There will be, the transformation is a multiyear process. We're also investing  in risk controls and regulatory spend to support improving our operations. Of course, there will be headwinds  but there will also be things that we shift away from. There will be tailwinds associated with it. Jane  mentioned some of the productivity efforts that both Andy as well as Vis are pushing on. You look across  these businesses and you see positive operating leverage across the board. So that means that Andy Morton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90039062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5.37841796875" w:right="8.5437011718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well as Gonzalo are too looking at their cost structures, at expenses that they can take out or productivity  that they might improve. And so there will be additional costs that we have to incur. We incurred additional  costs this year. But there will also be additional productivity savings that we continue to tease out to ensure  that we get to these targets.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65194511413574" w:lineRule="auto"/>
        <w:ind w:left="5.37841796875" w:right="6.7504882812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Mike, let me pick up on part of the second part of the question in terms of the progress  on the transformation. As you know, and as Mark's talked to you about, the transformation reverses historic  underinvestment in Citi's infrastructure. It enhances our risk and control environment. And it's a strategic  overhaul as we've talked about that goes well beyond the consent order to simplify and to strengthen Citi to  the benefit of all of the stakeholders we have.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26953125" w:line="237.40447998046875" w:lineRule="auto"/>
        <w:ind w:left="10.3582763671875" w:right="4.5019531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already a very different Citi today. We've made enormous change over the past three years,  dramatically simpler business model, significant org change so we align our structure to that model. We now  have a flatter organization with greater accountability and as Mark talked about through the investments in  our transformation, we're focused on simplifying our operational model, modernizing our infrastructure risk  and controls and all of that reduces risk as we go.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6474609375" w:line="236.85308933258057" w:lineRule="auto"/>
        <w:ind w:left="6.374359130859375" w:right="7.8369140625" w:hanging="3.187255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well on the way in executing the transformation plans. We've made meaningful progress as was  acknowledged publicly by one of our regulators and it's a wide range book of work. We've made significant  strides in areas such as risk management, compliance and accountability and that's well beyond the big  bodies of work about consolidating our platforms. So we had 1,250 retired since 2022 as Mark mentioned.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60693359375" w:line="236.8531894683838" w:lineRule="auto"/>
        <w:ind w:left="5.37841796875" w:right="3.754882812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Other areas of progress, enhance our stress testing capabilities, they're faster, more frequent, more precise  assessments. We put in place new target operating models for wholesale credit risk, enterprise risk, price risk  firm wide. A huge body of work reducing risk and high risk processes such as payments and Markets through  systemic preventative controls. We've been implementing the XiNG platform, this is the strategic cloud  solution for market risk analytics. Values trades on demand and at scale. And we've embedded risk and  controls into our performance management framework and tied that to compensation for the full firm. So  these are just giving you a flavor of these big body of work that we are executing and getting done.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45751953125" w:line="236.853289604187" w:lineRule="auto"/>
        <w:ind w:left="4.38232421875" w:right="2.664794921875" w:firstLine="16.9320678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was very pleased that we closed the FRB, AML/BSA consent order particularly given heightened risk and  scrutiny in this area. That is the third consent order we've closed since 2021 and we've been very transparent.  Where there are areas in which our execution is delayed against our original timelines as is the case with our  data work. We take a step back, determine what we need to change in those areas and get back on track and  make relevant tech and people investments. So I feel very confident about the strategy we've laid out for the  firm, the deliberate path we're on, the huge progress we've already made, and that we will continue making  with determination and with clarity going forward.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6.65234565734863" w:lineRule="auto"/>
        <w:ind w:left="5.77667236328125" w:right="7.4682617187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just one follow-up. When, and you do have the amended consent order that's not new  anymore, but is this a problem with your dealing with clients or is this an issue with giving the regulators the  information that they need? And just again, you don't, just to confirm, you don't have an asset cap now, is it  fair to assume that you don't expect an asset cap any time soon or could you have an asset cap and we don't  even know about that? Thanks.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19873046875" w:line="236.80269241333008" w:lineRule="auto"/>
        <w:ind w:left="5.37841796875" w:right="8.76098632812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don't have any problems dealing with our clients, quite the opposite. We're a source of  strength for our clients in terms of the provision of their payments businesses, their trading businesses, their consumer credit businesses, all across the board. So I would say quite the opposite. We are a source of  tremendous strength for them and you see that in the results of this quarter which were very pleasing across  the board in every single one of our businesses.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6962890625" w:line="237.254376411438" w:lineRule="auto"/>
        <w:ind w:left="4.38232421875" w:right="7.935791015625" w:firstLine="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working closely with our regulators. We incorporate their feedback as well as our own lessons learned.  If we fall behind in an element of the consent orders but do understand the breadth of the consent order  work as I laid out and the meaningful progress we're making across multiple areas, and when we fall behind  in an area we increase the investments needed and look at any lessons learned in the approach and address  it. So I feel very comfortable.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240356445312"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again, we don't have – we're not talking about issues as it relates to client information,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95285320281982" w:lineRule="auto"/>
        <w:ind w:left="5.37841796875" w:right="6.2451171875" w:firstLine="4.9798583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 data, client reporting. We're not talking about information as it relates to financials. We're talking  about regulatory reporting, all right. And regulatory reporting as I've mentioned in prior calls, we're a global  firm. We've got over 11,000 regulatory reports and we're talking about ensuring that the data that we capture  at trade entry is the data that's required to ultimately show up on these various regulatory reports in the way  that we need it ensuring that we've got the proper controls on that front end so we don't have to do a lot of  the reconciliation and manual adjustments to that data in order to get it how we needed in the report and  ensuring we have standardized rules and controls around that process so that we can do it as efficiently as possible. But this is largely around ensuring that we improve those regulatory reports that we have to  produce by starting with the underlying data that's required to do that.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2451171875" w:line="238.45715045928955" w:lineRule="auto"/>
        <w:ind w:left="7.37030029296875" w:right="7.8784179687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Jim Mitchell with Seaport Global. Your line is now open. Please  go ahead.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3671875" w:line="237.13364124298096" w:lineRule="auto"/>
        <w:ind w:left="10.3582763671875" w:right="7.22412109375" w:hanging="10.3582763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morning. Mark, consensus expectations, and it's just another expense question in  a different way. But consensus has you not hitting your revenue growth targets and you're certainly free to  disagree and I think that's fine. But they also have your expenses at the high end of your $51 billion to $53  billion range in 2026. I guess, does that make sense or do you feel confident that if revenues do sort of  disappoint your targets that you could come in at the – you should or can come in at the lower end of that  range to help get to your RoTCE target.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29150390625" w:line="236.95359706878662" w:lineRule="auto"/>
        <w:ind w:left="3.386383056640625" w:right="1.84936523437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let's take it in pieces. So I think – the first thing is that, I think Jane and I have been  very consistent with trying to give guidance on full year performance for the past couple years and we've  largely actually delivered on that guidance. If you look at the top line growth since Investor Day, it's largely  consistent with what we talked about in the medium term. If you look at the expense guidance that we've  given, largely consistent with that including this year. Even as I look at the $80 billion to $81 billion revenue  guidance we gave for the year, and you look at the $60.6 billion that we've done year-to-date, and you think  about what we have to deliver in order to hit that target, that is achievable particularly when you remember that we had a large Argentina devaluation last year. That fee momentum required in the fourth quarter is very  achievable and we believe that we will obviously hit the high end of the [expense] range for 2024.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22314453125" w:line="237.01382160186768" w:lineRule="auto"/>
        <w:ind w:left="9.561614990234375" w:right="4.656982421875" w:hanging="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 think about that outer year period and the guidance that we gave there, look, you all want proof points  before you actually believe that we can deliver on that medium term target. I'm pointing you to proof points.  I'm hopeful that as you see those proof points through 2024, full year and each of the quarters, that you will  start to believe in that revenue momentum that's required in the medium term. The fee revenue is a very good  indicator. What we delivered this year and this quarter is a very good indicator of the momentum we should  see across these businesses in the next couple years.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17919921875" w:line="237.01362133026123" w:lineRule="auto"/>
        <w:ind w:left="4.38232421875" w:right="2.44140625" w:firstLine="16.9320678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also hope that you would then see that as we deliver on the expense target that we have a path to continuing  to deliver on the medium-term expense target, the drivers of which I mentioned earlier. Yes, if revenues come  in short of the target that we've set for ourselves, you would naturally expect for the volume and transaction  related expenses and compensation expenses to come down in a commensurate way with that revenue  decline and you would also expect that we would look to see if there are other productivity opportunities that  we can tease out in order to still deliver on that operating efficiency target that we've set for ourselves.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240234375" w:line="237.0535182952881" w:lineRule="auto"/>
        <w:ind w:left="10.3582763671875" w:right="2.75390625" w:hanging="10.3582763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that's great color. I appreciate it. And maybe just as a follow-up on the capital question,  I guess one thing that's been a bit of a headwind over the last year has been sort of growth from the DTA  deductions. Do we start to see that become a tailwind again? How do we think about that accreting back  into capital over the next couple of years?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88330078125" w:line="237.01353549957275" w:lineRule="auto"/>
        <w:ind w:left="1.792755126953125" w:right="0.858154296875" w:firstLine="16.33438110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Look, the main driver of our DTA utilization will be driving higher income in the US.  That's going to be the major driver and as we think about – so as you think about each of the strategies that  Jane has described for our business, you will often hear the importance of winning in the US. You'll hear it as  it relates to Banking and the activity that we saw, the strong performance we saw this quarter in Vis’s world,  you hear it as it relates to the Wealth business and the importance of us growing investments particularly in  North America.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3227539062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9"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2.390289306640625" w:right="9.158935546875" w:hanging="2.9881286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see it in USPB which is largely a US focused business. That DTA utilization is about us increasing net  income or higher net income in the US and as we work to execute on our client driven strategy, we are looking  for opportunities to do that. We're incenting the business to drive that momentum and that's what's going  to give us a higher utilization on a quarter by quarter in the coming years.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04979991912842" w:lineRule="auto"/>
        <w:ind w:left="11.3543701171875" w:right="10.341796875" w:hanging="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Erika Najarian with UBS. Your line is now open. Please go  ahead.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7.0280408859253" w:lineRule="auto"/>
        <w:ind w:left="1.792755126953125" w:right="4.808349609375" w:firstLine="16.33438110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 think we've slid over to the afternoon. Good afternoon, guys. The first one is for you,  Jane. As I speak with longer term investors, they often offer the commentary that clearly the path from the  7% RoTCE this quarter to the 11% to 12% hopefully will be bridged and to be able to initiate a position before  that progress is made, they really sort of want to see more capital optimization. And this question is not really  the same question I ask you about buybacks every quarter but really maybe a progress update on Banamex.  So there is chatter in the market about Banamex needed to have four quarters of separate financials before  being IPOed and I'm wondering if you could give us specific progress on how that's going? And Mark, maybe  remind us on what Banamex's contribution is as we think about the unlocking that excess capital versus  taking it out of the P&amp;L.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01953125" w:line="236.85333251953125" w:lineRule="auto"/>
        <w:ind w:left="11.3543701171875" w:right="7.181396484375" w:hanging="11.35437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I'd be delighted to, Erika. And I would also just before I jump into Banamex point to a  laser focus on capital optimization. It's been a mantra for a long time in our Markets business, in Banking and  a discipline that we've driven throughout the organization and I would say there isn't anyone at Citi that is  not keenly aware of the focus around optimizing our capital.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53199672698975" w:lineRule="auto"/>
        <w:ind w:left="3.386383056640625" w:right="3.094482421875" w:firstLine="17.9280090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Returning to shareholders, particularly given where we're trading, and making sure that we drive to returns.  So if I turn to Banamex, our singular focus right now is the separation of the two banks which we expect to  complete in the fourth quarter of this year. This has been an enormous body of work because we are creating  effectively de novo Mexico's eighth largest bank. We've just now gotten the core regulatory authorizations  that we need to proceed with separation. Although there are a few other approvals pending. We are in the  very final stages and are working with our clients to prepare them for this switchover later on in Q4.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6525173187256" w:lineRule="auto"/>
        <w:ind w:left="5.37841796875" w:right="1.79199218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Once the separation is complete, we will turn our full attention to the IPO itself and the successful execution  of the IPO is the highest priority for our Head of International, Ernesto Torres Cantú, to run Banamex. And  our incoming Banamex Executive Chairman who starts this quarter, Ignacio Deschamps. We plan to be ready  to IPO at the end of 2025 based on the factors that we can control but I think as Mark and I have always said,  the timing is going to be driven by market conditions to ensure we maximize the shareholder value.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26953125" w:line="236.8531894683838" w:lineRule="auto"/>
        <w:ind w:left="11.3543701171875" w:right="4.512939453125" w:hanging="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we're making the necessary investments to continue growing share and I was very pleased that  Banamex outpaced the average market revenue growth year-to-date, good expense discipline being  maintained despite the complex separation process and the environment. So I'm pleased with where we are  and I hope that gives you a bit of a flavor of what the path ahead looks like.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9716796875" w:line="236.85283184051514" w:lineRule="auto"/>
        <w:ind w:left="9.561614990234375" w:right="5.4248046875" w:firstLine="8.56552124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In terms of the second part of your question, a couple things. So, one, we've been  seeing good growth in our Mexico Consumer business. We've also been investing in it appropriately so to  make sure that we protect the strength of that franchise as we prepare it for separation, ultimately for the  IPO.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573974609375" w:line="236.6520595550537" w:lineRule="auto"/>
        <w:ind w:left="9.561614990234375" w:right="9.98168945312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Erika, if I understood your question right, if we turn to page 16 of the deck in the bottom right hand side, we  show the P&amp;L for Mexico Consumer for 2022 and 2023. And so you can see the contribution from a revenue  and expense point of view so about $1.5 billion in 2023. And I think it's about $4 billion or so of TCE that we  have associated with this business. So that gives you some sense for the contribution, but it continues to  perform quite well as we manage it through this process.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29248046875" w:line="236.05018615722656" w:lineRule="auto"/>
        <w:ind w:left="5.37841796875" w:right="6.15356445312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Perfect. Thank you. And as a follow-up question, I'm sure it is frustrating for you to see  the stock reaction in a quarter where you had PPNR strength and better expectations for net interest income  in the fourth quarter. So maybe I'll frame the question this way for you, Mark.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1909179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 think about the gyrations in interest rate expectations globally, may be remind us sort of is it fair to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4838867187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445602417" w:lineRule="auto"/>
        <w:ind w:left="3.386383056640625" w:right="0.46752929687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assume that Citi is asset sensitive internationally and neutrally positioned domestically? How should we  think about late fees? I know you told us that late fees going to $8 were part of your initial guide for the year.  And additionally, I think perhaps because capital markets is so strong across the board, across all of your  peers, maybe that's not why you're getting, "credit for your strength this quarter". So as we look into 2025  and having NIR be that bigger contribution to your revenue CAGR, maybe walk us through what are the other  sort of core fee strengths that we should look for other than FICC and Banking remaining strong and coming  back that could bring you to that path to 2026.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65164470672607" w:lineRule="auto"/>
        <w:ind w:left="5.37841796875" w:right="6.10351562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There's a lot there. But thank you. Thank you for the question. I would like to see the  stock reacting much more favorably because this really has been a strong quarter for us and in fact as you  mentioned, NII when you look through it, we've in fact taken our NII guidance up just a tad bit as we  referenced that the full year would be slightly down versus modestly down with the fourth quarter that's flat  to the third quarter and so that is an important takeaway.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37.25347518920898" w:lineRule="auto"/>
        <w:ind w:left="10.3582763671875" w:right="12.34497070312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mentioned the headwinds and tailwinds earlier and we shouldn't lose sight of those. We will get lift from  reinvesting the securities as those mature, we will continue to see volume growth and those are important  drivers of tailwind activity for us.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3427734375" w:line="237.25479125976562" w:lineRule="auto"/>
        <w:ind w:left="2.390289306640625" w:right="3.096923828125" w:hanging="2.9881286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rightfully mentioned our interest rate exposure analysis that we do on a quarterly basis that reflects the  asset sensitivity of our business. And last quarter it was about $1.6 billion or so of a negative, assuming 100  basis point decline across the curve, assuming a static balance sheet and cross-currencies. And as you look  at that asset sensitivity, again, you rightfully pointed out that we skew non-US in terms of the magnitude of  that decline in NII should we see that parallel shift.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15966796875" w:line="236.92015171051025" w:lineRule="auto"/>
        <w:ind w:left="3.386383056640625" w:right="3.92456054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in fact, it's as much as $1.3 billion or so of that $1.6 billion is non-US dollar related across 60 currencies.  And so you'd have to see all of that move in tandem for that drag and the US dollar drag is about $300 million  assuming 100 basis point shift and that's been coming down. If you look back over the quarters, we've been  thoughtfully managing that down and that's down to about $300 million number. I would expect when we  print the third quarter Q, it will be down a bit more. And so, again, we are asset sensitive but it does skew  outside of the US and thank you for asking the question because I think it's important to remind our investors  and analysts of that dynamic which in many ways may be different from that of other Institutions.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9052734375" w:line="236.8531894683838" w:lineRule="auto"/>
        <w:ind w:left="4.38232421875" w:right="3.9013671875" w:firstLine="16.9320678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late fees, we did say that we were including late fees in our assumptions, in our outlook that  we've given. I'll state the obvious Erika, which is that we want people to obviously pay on time and we do  everything that we can to assist and ensure that they do that. With that said, we don't have a definitive  timeline on late fees, nor are we overly reliant on late fees to drive revenue for our firm. And so it looks like  that decisioning will likely kind of fall closer to sometime in 2025 and so there is a small adjustment in the  last quarter of our revenue forecast but it's inside of the guidance that we gave and doesn't materially change  that in any way.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9716796875" w:line="236.7273759841919" w:lineRule="auto"/>
        <w:ind w:left="3.386383056640625" w:right="2.24731445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the last part of your question, I think, was around NIR and the fee revenue. And as I mentioned  earlier, I'm not going to give guidance for 2025 but I think your question was around where are we likely to  see continued momentum as it relates to fee revenue growth. And I would start with Services where fees  were up some 33% year-over-year and yes we should adjust for the Argentine Peso devaluation. But even if  you adjust for that it's double-digit, 11% year-over-year non-interest revenue growth. And when you look at  those drivers they've been consistently strong. Cross-border transaction value up 8%, US dollar clearing  volume up 7%, commercial card spend up 8%. In the supplement you'll see that it's mid to high single digit  year-to-date growth across those KPIs as well. We expect that that will continue with our corporate clients  and as we bring on new commercial clients as well.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97314453125" w:line="236.51574611663818" w:lineRule="auto"/>
        <w:ind w:left="5.37841796875" w:right="3.57666015625" w:firstLine="15.935974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I'll turn you to – if you look at Banking, we talked about already so I won't kind of lean into that too much but  except to highlight a really strong quarter in Banking, in Investment Banking fees, in particular, the rebound  that we've been talking about but importantly us capturing share in that rebound and these important  partnerships that position us well as sponsors start to lean back into the market the investments that we've  been making in talent, in sectors we need to strengthen. All of those things are going to play to continued fee  momentum as we go into 2025.</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255493164062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445602417" w:lineRule="auto"/>
        <w:ind w:left="3.386383056640625" w:right="1.539306640625" w:firstLine="2.9879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Wealth, again, really strong performance this quarter with revenues up 9%. But look at the client investment  assets, up 24%. The client balances up 14%. That's driving fee momentum and it's a keen area of focus for  Andy and that team that he's pulled together and it's a real opportunity for us given the $5 trillion or so of  assets that our clients hold away from us and we're better positioning ourselves to capture that. And then  finally, you can see kind of continued momentum on USPB but it's across the board is what I'm saying, Erika,  in terms of that fee momentum and it is important. It's an important aspect as we think about getting to  those medium term targets and that 4% to 5% revenue.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04979991912842" w:lineRule="auto"/>
        <w:ind w:left="11.3543701171875" w:right="10.770263671875" w:hanging="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Gerard Cassidy with RBC. Your line is now open. Please go  ahead.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10.5575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Mark, hi, Jane.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18359375" w:line="240" w:lineRule="auto"/>
        <w:ind w:left="18.1271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36.85266017913818" w:lineRule="auto"/>
        <w:ind w:left="10.55755615234375" w:right="5.853271484375" w:hanging="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you touched on in your prepared comments about growing the US Personal  Banking RoTCE to higher levels. And you mentioned two items. One, innovative products and the  normalization of credit costs. Can you elaborate on those two items that will be contributing to the driver  aside from the efficiency improvement that you also touched 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6.853289604187" w:lineRule="auto"/>
        <w:ind w:left="3.386383056640625" w:right="2.299804687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sure. So obviously USPB is a combination of the cards businesses that we have in the  Retail Banking business and that cards portfolio has both Branded as well as Retail Services as part of it. And  even within Branded, we have proprietary cards where we frankly have been looking to how we can come up  with new innovative products. One example of product innovation is the recent refresh that we did of our  Strata Premier Card which was designed to drive acquisition and engagement with a new rewards offering.  And with that acquisitions are up some 7% both quarter-over-quarter and year-over-year for Branded Cards  so that's an example of product innovation.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9716796875" w:line="236.79582595825195" w:lineRule="auto"/>
        <w:ind w:left="3.386383056640625" w:right="2.8967285156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Another one is we also launched FlexPay at Costco a few quarters ago and you can see good instalment loan  growth as a consequence of that, up some 15% or so. And so that type of product creation is important to  acquisitions, it's important to ensuring the card stays top of wallet and important to driving some of that top  line performance. And then the other thing that I mentioned, you're right was around cost of credit and that  really is the continued normalization of cost of credit. I mentioned a couple of times now the idea that  multiple vintages are maturing at the same time. And that has to play through for us to kind of see a more  normal level of credit and that will be important to the returns. And again, we are starting to see stabilization  in both the cost of credit line but also in delinquencies and that's a good indicator for us.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36767578125" w:line="237.2545051574707" w:lineRule="auto"/>
        <w:ind w:left="10.3582763671875" w:right="7.8833007812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Very good. And then just following up on credit. In the Banking division, you guys  mentioned the cost of credit was, I think, $177 million due to ACL build of $141 million. And it was due to a  change in the mix in the portfolio. Can you share with us what that mix change was that drove this provision?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8173828125" w:line="237.2545051574707" w:lineRule="auto"/>
        <w:ind w:left="9.362335205078125" w:right="7.484130859375" w:firstLine="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a mix of kind of different asset classes and clients that we've lent against. There's nothing  material or significant in that number. When you look at the nonaccrual loans that ratio still 31 basis points.  So it's a mix change of our exposures but nothing material there.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 continue to see a very healthy corporate sector really across the world.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3642578125" w:line="236.05015754699707" w:lineRule="auto"/>
        <w:ind w:left="21.31439208984375" w:right="8.6450195312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the line of Vivek Juneja with JPMorgan. Your line is now open.  Please go ahead.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65771484375" w:line="237.2542905807495" w:lineRule="auto"/>
        <w:ind w:left="3.983917236328125" w:right="3.61083984375" w:hanging="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Two questions, Jane and Mark. One is on expenses and the other is on your response to  the asset cap question before. So first one, expenses, an easier one. Earlier in the year you had said you  expect about $700 million to $1 billion of severance charges in the $53.5 billion to $53.8 billion. Did you have  any in the third quarter? Expect any if the fourth? And do you expect to be done with those this year or any  to continue into next year too?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51220703125" w:line="235.96979141235352" w:lineRule="auto"/>
        <w:ind w:left="18.326416015625" w:right="8.44360351562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that number was a combination of restructuring charges and severance charges or  repositioning charges and we breakout obviously restructuring so that you can see those. And this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7876586914062"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4.38232421875" w:right="8.3642578125" w:firstLine="13.944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restructuring component was largely driven by the org simplification. That will be done this year. The normal  severance or repositioning charges that we take as a normal course of BAU you would expect that to occur  in any year and it certainly will be part of 2025 and 2026 going forward. We did have some this quarter. I  would expect that we will have some next quarter, but I don't see us being outside of by any stretch the range  that I gave and again the range was for the combination of both.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7.25409030914307" w:lineRule="auto"/>
        <w:ind w:left="11.3543701171875" w:right="12.115478515625" w:hanging="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Thanks on that. And shifting to the asset cap question, Jane and Mark, we didn't hear  a clear answer on, A, do you have an asset cap? And B, even if you don't, what is the effective implication or  impact of what the regulators have said?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7.133526802063" w:lineRule="auto"/>
        <w:ind w:left="4.38232421875" w:right="1.9531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let me be crystal clear. We do not have an asset cap and there are no additional measures  other than what was announced in July in place and not expecting any. So the implications of what we're  doing is as I've laid out, we've increased investments in the areas where we were behind, particularly in the  data related to our regulatory processes and regulatory reporting. We're increasing investment behind it. And  we continue to make progress, material progress on the orders in place including closing the BSA/AML order  this quarter. The third order closed since 2021.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1083984375" w:line="237.254376411438" w:lineRule="auto"/>
        <w:ind w:left="18.326416015625" w:right="2.20947265625" w:hanging="14.3424987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you don't expect anything meaningful, Jane, that will impact business like there was this  new story about China, some license that you didn't get approved by the regulators. Anything more  meaningful like that that might be occurring that may be...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81738281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Absolutely – let me be crystal clear, absolutely nothing.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7646484375" w:line="240" w:lineRule="auto"/>
        <w:ind w:left="3.98391723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Great. Thank you.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6669921875" w:line="236.04990005493164" w:lineRule="auto"/>
        <w:ind w:left="18.326416015625" w:right="11.1767578125" w:hanging="7.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the line of Matt O'Connor with Deutsche Bank. Your line is  now open. Please go ahead.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37.2545051574707" w:lineRule="auto"/>
        <w:ind w:left="5.37841796875" w:right="11.41601562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 Hi. Just a couple of clarification questions. I guess first on Banamex, are you on track to  still IPO it the fourth quarter of next year or does it just get pushed out by a quarter with the legal separation  taking a little bit longer?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37.25480556488037" w:lineRule="auto"/>
        <w:ind w:left="9.561614990234375" w:right="2.641601562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I think as I mentioned in response to Erika's question, we plan to be ready to IPO at the  end of 2025 based on the factors we can control. The timing is going to get driven by how we maximize  shareholder value and that will be market conditions. So that's where we stand.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7.2545051574707" w:lineRule="auto"/>
        <w:ind w:left="10.3582763671875" w:right="4.335937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I think that means by the end of 2025, you talk about 1Q 2026, that was kind of my  clarification question on that. I thought you needed four quarters after you legally separated it to officially  IPO it.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8173828125" w:line="237.2545051574707" w:lineRule="auto"/>
        <w:ind w:left="10.3582763671875" w:right="5.819091796875" w:hanging="10.3582763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believe as we stand at the moment we would be ready to IPO at the end of 2025. It's much  more a focus on what the market conditions at that point will be and Mark and I are very, very much focused  on the shareholder value and maximizing that over – rushing over one quarter versus another quarter.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51220703125" w:line="240" w:lineRule="auto"/>
        <w:ind w:left="18.1271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there's no hard rule on – sorry, go ahead.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66699218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there isn't a hard rule on you have to have got four quarters after you have separated.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43505859375" w:line="236.65213108062744" w:lineRule="auto"/>
        <w:ind w:left="3.386383056640625" w:right="6.269531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see. Okay. That's super helpful. We just haven't had that many of these, so that's helpful.  And then just separately I think in the prepared remarks you guys mentioned a modest provision within  Services for some of the unremitted corporate dividends and I just wanted to clarify that and what country  is that. And I guess I thought there wasn't really much liability to you guys from that, so any clarification on  that. I know it's a small amount, but that would be helpful. Thank you.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29248046875" w:line="236.04984283447266" w:lineRule="auto"/>
        <w:ind w:left="18.326416015625" w:right="11.92016601562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It's a small amount. In the back of the deck, we have a page on Russia exposure. It's  related to that.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26806640625" w:line="238.37852954864502" w:lineRule="auto"/>
        <w:ind w:left="10.3582763671875" w:right="10.120849609375" w:firstLine="7.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But still feel like there's not risk to you guys from all those kind of trapped  dividends, I guess why take a small reserve if there's legally no risk to you guys?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793395996094"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5.37841796875" w:right="4.79125976562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it's the way we treat the exposure there. We're following the guidelines on how we need  to treat exposures in the country that we aren't able to distribute to clients but we actually have to hold on  their behalf. And so we have to book a reserve associated with that and so we do that. We obviously show on  the page what the exposure is in the event of a loss of control and you can kind of see how that ultimately  nets out but we're following the appropriate guidelines for what's required for reserves of that nature.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40" w:lineRule="auto"/>
        <w:ind w:left="18.1271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Got it. Okay. Thank you.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240" w:lineRule="auto"/>
        <w:ind w:left="18.1271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36.04979991912842" w:lineRule="auto"/>
        <w:ind w:left="10.3582763671875" w:right="9.96215820312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Ryan Kenny with Morgan Stanley. Your line is now  open. Please go ahead.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7.5548553466797" w:lineRule="auto"/>
        <w:ind w:left="10.3582763671875" w:right="0.5249023437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RYAN KENNY: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Thanks for taking my question. I have one for Mark. So you mentioned that Services NII  is a tailwind as rates decline. Can you just unpack how that happens? Is there any benefit from swap roll-off  or a floating swap that we should be thinking about that's embedded in that statement?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6318359375" w:line="236.95339679718018" w:lineRule="auto"/>
        <w:ind w:left="3.386383056640625" w:right="1.98120117187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a couple of things kind of to keep in mind on the Services business. So, one is, is  obviously this is a client business. It's not just a deposit taking business and so how we think about pricing  to those client becomes really important. You've got the US and non-US dynamic that's playing through. For  institutional clients, we've largely been holding to the higher betas that we saw as rates have ticked up.  Again, with the relationship in mind. And we have some offsetting pressure outside of the US as those betas  kind of catch up. But I think importantly you also heard me mention the reinvestment into securities at higher  yields and that reinvestment or those higher yields ultimately play out through the businesses and so that  will show up as part of kind of NII as we think about Services but the other businesses as well. And so those  are important components of the NII story for Services.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2451171875" w:line="237.094087600708" w:lineRule="auto"/>
        <w:ind w:left="5.37841796875" w:right="0.93994140625" w:firstLine="15.935974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when you look at the in-quarter performance and [TTS] NII is down 5%, a big part of that is driven by  the Argentina rates movement in the quarter versus last year, so lower rates we're earning in Argentina  playing through that line particularly in this quarter. If you adjusted for that on the NII line, it would be flat to  slightly a little bit better. So that's really what it is. It's kind of management of client relationships as well as  the higher earnings on reinvested securities contributing to that as well as volume from operating account  growth that we expect.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58740234375" w:line="240" w:lineRule="auto"/>
        <w:ind w:left="18.1271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RYAN KENNY: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36.05051517486572" w:lineRule="auto"/>
        <w:ind w:left="7.37030029296875" w:right="7.8784179687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Saul Martinez with HSBC. Your line is now open. Please  go ahead.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7.01362133026123" w:lineRule="auto"/>
        <w:ind w:left="5.37841796875" w:right="1.7333984375" w:firstLine="3.1871032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guys. Couple quick questions. First, just a follow-up on Banamex. Jane, as you know,  there are concerns about judicial reform in Mexico and the implications for rule of law and Mexican asset  prices have suffered as a result. I think the largest Mexican bank trades at something in the neighborhood of  seven times earnings. If market conditions don't improve and Mexican asset prices remain depressed and  these concerns persist, then what? I mean, do you just wait until market conditions improve or how do you  think about this process in the context of what seems to be a deteriorating macro backdrop for Mexico.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209716796875" w:line="236.95321083068848" w:lineRule="auto"/>
        <w:ind w:left="6.374359130859375" w:right="3.245849609375" w:hanging="6.37435913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We've got to wait and see what the market conditions will be but the North Star for me  and for Mark is crystal clear, it is optimizing and maximizing our shareholder value. So if the conditions are  not appropriate at that time then we will wait until they are. In the meantime, the business is performing well.  It's accretive to our returns. It's not a drag here in any shape or form so there is no need to rush for a  suboptimal result here. But we will IPO and we will exit Banamex, but we won't do that in a reckless manner.  We will be disciplined about it as you would expect us to be and as I think we're demonstrating that we are  on multiple different dimensions.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2353515625" w:line="236.8262815475464" w:lineRule="auto"/>
        <w:ind w:left="3.386383056640625" w:right="4.698486328125" w:firstLine="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Fair enough. And then I guess a follow-up on the US Personal Banking, RoTCE  improvement and the normalization of the cost of credit seems to be a big component of that. But Mark can  you just remind us where you are in terms of cost of credit versus what you would think a more normalized  level is for Branded Cards and Retail Services. I guess how much of a tailwind does a more normalized credit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677612304687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10.35827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environment entail in terms of credit cost?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36.70644760131836" w:lineRule="auto"/>
        <w:ind w:left="4.38232421875" w:right="1.42456054687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Again, I don't want to get into 2025 at this stage. I assure you, we will give more color and  commentary on that as we get into the fourth quarter earnings in January. What I will say again, as you think  about these businesses, we do see continued top line – we do expect continued top line momentum. We've  had eight consecutive quarters of positive operating leverage in USPB, 49% [efficiency ratio] this quarter. So  we're managing the expense base well. We think there's more upside to the top line. We're very focused on  growth across the portfolios and I do think that cost of credit again, if for no other reason but the  compounding effect of those vintages maturing as well as kind of inflation starting to come off, rates trickling  down, that should be better for the consumer and should start to play out in both the macroeconomic  scenarios that we run for CECL purposes but also ultimately in delinquencies and NCLs and we're starting to  see that improvement in delinquencies and its stabilization already somewhat. So I don't want to get into  guidance. But that's kind of how I think about the drivers or contributors to improve returns over the medium  term.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68017578125" w:line="236.0485553741455" w:lineRule="auto"/>
        <w:ind w:left="21.31439208984375" w:right="8.2446289062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the line of Mike Mayo with Wells Fargo. Your line is now open.  Please go ahead.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318359375" w:line="236.85333251953125" w:lineRule="auto"/>
        <w:ind w:left="11.3543701171875" w:right="2.0092773437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Thanks for the clarification on the asset cap question that I asked earlier. And I know you  are limited in how much you can say about regulators but just be clear, because a lot of e-mail traffic going  back, you did say there is no asset cap and you don't expect one and you don't expect other additional  actions at this time?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Correct.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237.00373649597168" w:lineRule="auto"/>
        <w:ind w:left="5.37841796875" w:right="1.01928710937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Thank you for clarifying that. And I guess, look, I have great respect, I'm an ex-regulator,  Paul Volcker was my hero. I respect regulators. And nobody wants to see you cut corners to get to your $51  billion to $53 billion of expenses. But I'm just wondering – and you have consolidated systems apps, layers,  bureaucracy and you're divesting lots of activities. So it's just even the amended consent order was surprising  because you have taken so many efforts and if you should have had an amended consent order or other  actions, they probably should have been in place one, five, 10 or literally 20 years ago. And so that's just  confusing on the outside. So with that said, is this a matter of spending more money or about doing these  tasks more intelligently? In other words, you put more gas in the tank, the car's not going faster. So is it  amount of resources or just being more intelligent in terms of resolving some of these regulatory issues?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20947265625" w:line="236.8531894683838" w:lineRule="auto"/>
        <w:ind w:left="10.3582763671875" w:right="8.18115234375" w:hanging="10.3582763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let me break it down to a couple of pieces. So I start off just remind everyone the consent  orders are very, very broad and the action that was taken was because we're behind in a narrower area which  is the data particularly regarding our regulatory reporting where we're behind is the main area of focus. We  moved swiftly to address it.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60693359375" w:line="236.9532823562622" w:lineRule="auto"/>
        <w:ind w:left="10.3582763671875" w:right="3.54492187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very transparent about it from early on in the year that we were falling behind on this and overall I'm  pleased with our progress. And as you say, Mike, I listed a number of areas of progress and trying to make it  as tangible as we can, given what we can and can't say as this is supervisory. I'm pleased that our businesses  continue to improve their performance while the transformation is going on. They're the two priorities we  have this year so I think effectively, yes, we can walk and chew gum at the same time and the huge benefit of all of the simplification on the business, on the organization, the other efforts, is making it easier for us to  execute and be very focused.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2353515625" w:line="240" w:lineRule="auto"/>
        <w:ind w:left="3.386383056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well maybe, Mark, I’ll pass it over to you.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45947265625" w:line="236.83958530426025" w:lineRule="auto"/>
        <w:ind w:left="9.561614990234375" w:right="1.220703125" w:firstLine="8.56552124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your question's helpful in the sense that you said is it kind of a rethink on our approach  or is it the need to spend more money and one of the things that we've done, Mike, is take a step back and  look at how we've been approaching data, for example. So this is – and we are going to make – we have made  some changes to our approach and those changes relate to how we get after resolving data issues that are  identified ensuring that there's engagement from the front end business, from the functions that are most  relevant and that there's consideration for what's required on reg reporting in order for us to get that process  streamlined and correct.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673217773438"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445602417" w:lineRule="auto"/>
        <w:ind w:left="3.386383056640625" w:right="2.66235351562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there are aspects of this that require a change in our approach and we've been taking that change,  making that change rather, and we'll make more changes accordingly as we've taken that step back and  there are aspects of it that require at a minimum review of what is causing either the delay or us not moving  at the pace that we would like to move or that our regulators would like. And that is in fact what the resource  review plan was that was in the amended consent order. It was basically a statement saying that you need  to ensure that you have sufficient resources and that they're allocated towards achieving the timely and  sustainable compliance.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65164470672607" w:lineRule="auto"/>
        <w:ind w:left="3.386383056640625" w:right="10.2514648437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part of our process is in fact that. Taking a regular review of what is on track in the way of our  milestones and deliverables where we see things that are being delayed or going red, what is the underlying  root cause for why. Is it a resource issue where we need to put more dollars and people or technology to it?  Is it a process issue where we need to reconsider our approach? And on the other side of that root cause,  taking action to fix it.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37.25347518920898" w:lineRule="auto"/>
        <w:ind w:left="10.3582763671875" w:right="0.574951171875" w:hanging="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your question is spot-on. The answer is that in many instances it will be a little bit of both, but  importantly our processes include that type of analysis and assessment so that we can get after the  execution on this in an effective way. I hope that helps.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3427734375" w:line="238.45898151397705" w:lineRule="auto"/>
        <w:ind w:left="9.561614990234375" w:right="8.514404296875" w:hanging="9.56161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all of this drives productivity and other benefits for our shareholders as well as making  sure that we're strengthening Citi from the regulatory perspective.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30615234375" w:line="236.6525173187256" w:lineRule="auto"/>
        <w:ind w:left="10.3582763671875" w:right="5.96557617187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last follow-up. To the extent that you see a disconnect between your performance  and the stock price that would seem to create more of an opportunity to buy the stock at $64 when tangible  book value is $90. And so, I hope that – I've used this analogy before, but hopefully you're selling the chairs  and the desk and the silverware in the executive dining room to go ahead and buy back stock whenever you  can.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59765625" w:line="236.75281047821045" w:lineRule="auto"/>
        <w:ind w:left="5.77667236328125" w:right="4.854736328125" w:hanging="5.7766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clearly given where we are trading, we're very focused around the opportunities to buy  back stock and mindful of the importance of it and equally, yes, we are proud of the performance of the  franchise this quarter. It was a very strong quarter and important set of proof points for our investors. We are  on a deliberate path. We're making the progress that we need to and actually pretty excited about the path  ahead of us and the potential that we see.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90771484375" w:line="240" w:lineRule="auto"/>
        <w:ind w:left="10.5575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no further questions. I'll now turn the call over to Jenn Landis for closing remarks.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36.05051517486572" w:lineRule="auto"/>
        <w:ind w:left="11.3543701171875" w:right="2.825927734375" w:hanging="11.35437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everyone, for joining the call. Please follow-up with IR if you have any  additional questions. Thank you.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10.5575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concludes Citi's Third Quarter 2024 Earnings Call. You may now disconnect.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253295898437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17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0.714263916015625" w:right="6240.16357421875" w:hanging="7.75680541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15, 2024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12060546875" w:line="353.8321781158447" w:lineRule="auto"/>
        <w:ind w:left="379.75433349609375" w:right="654.754638671875" w:firstLine="5.039978027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statements in this transcript are “forward-looking statements” within the meaning of the U.S.  Private Securities Litigation Reform Act of 1995. These statements may be identified by words such as  believe, expect, anticipate, intend, estimate, may increase, may fluctuate, target, illustrative and similar  expressions or future or conditional verbs such as will, should, would and could. These statements are  based on management's current expectations and are subject to uncertainty and changes in circumstances  and are not guarantees of future results or occurrences. Actual results and capital and other financial  condition may differ materially from those included in these statements due to a variety of factors. These  factors may include, among others: geopolitical, macroeconomic and other challenges and uncertainties,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tl w:val="0"/>
        </w:rPr>
        <w:t xml:space="preserve">including those related to election outcomes, conflicts in the Middle East, economic growth, inflation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rates; the execution and efficacy of Citi’s transformation, simplification and other strategic and  other initiatives, including those related to its investment, expense and capital-related actions; the  potential outcomes of the extensive legal and regulatory proceedings, examinations, investigations,  consent orders and related compliance efforts and other inquiries to which Citi is or may be subject; ongoing  regulatory and legislative uncertainties and changes, including changes in regulatory capital rules,  requirements or interpretations;; and the precautionary statements included in this transcript. These  factors also consist of those contained in Citigroup's filings with the U.S. Securities and Exchange  Commission, including without limitation the “Risk Factors” section of Citigroup's 2023 Form 10-K. Any  forward-looking statements made by or on behalf of Citigroup speak only as to the date they are made, and  Citi does not undertake to update forward-looking statements to reflect the impact of circumstances or  events that arise after the date the forward-looking statements were made.</w:t>
      </w:r>
      <w:r w:rsidDel="00000000" w:rsidR="00000000" w:rsidRPr="00000000">
        <w:drawing>
          <wp:anchor allowOverlap="1" behindDoc="0" distB="19050" distT="19050" distL="19050" distR="19050" hidden="0" layoutInCell="1" locked="0" relativeHeight="0" simplePos="0">
            <wp:simplePos x="0" y="0"/>
            <wp:positionH relativeFrom="column">
              <wp:posOffset>-221512</wp:posOffset>
            </wp:positionH>
            <wp:positionV relativeFrom="paragraph">
              <wp:posOffset>-79628</wp:posOffset>
            </wp:positionV>
            <wp:extent cx="5915660" cy="4187572"/>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5660" cy="41875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-212368</wp:posOffset>
            </wp:positionH>
            <wp:positionV relativeFrom="paragraph">
              <wp:posOffset>-69595</wp:posOffset>
            </wp:positionV>
            <wp:extent cx="5896356" cy="419862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96356" cy="4198620"/>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46948242187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18 </w:t>
      </w:r>
    </w:p>
    <w:sectPr>
      <w:pgSz w:h="15840" w:w="12240" w:orient="portrait"/>
      <w:pgMar w:bottom="1478.8800048828125" w:top="712.80029296875" w:left="1319.085693359375" w:right="1277.6452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