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CD-CS策略仿真结果（25℃）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指标名称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初始SOC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环境温度(℃)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25.0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CS功率(kW)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循环次数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行驶里程(km)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434.39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终止SOC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0.202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终止温度(℃)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34.5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最高温度(℃)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34.5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燃油消耗(L)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52.94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电能净消耗(kWh)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25.6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百公里油耗(L/100km)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12.19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百公里电耗(kWh/100km)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5.9</w:t>
            </w:r>
          </w:p>
        </w:tc>
      </w:tr>
      <w:tr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等效油耗(L/100km)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15.1</w:t>
            </w:r>
          </w:p>
        </w:tc>
      </w:tr>
    </w:tbl>
    <w:p>
      <w:pPr>
        <w:spacing w:before="160"/>
      </w:pPr>
      <w:r>
        <w:rPr>
          <w:rFonts w:ascii="宋体" w:hAnsi="宋体" w:eastAsia="宋体"/>
          <w:b w:val="0"/>
          <w:sz w:val="18"/>
        </w:rPr>
        <w:t>数据来源：CD-CS策略仿真输出。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