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问题一  PEMFC 低温冷启动详细耦合模型</w:t>
      </w:r>
    </w:p>
    <w:p>
      <w:pPr>
        <w:spacing w:after="240"/>
        <w:jc w:val="center"/>
      </w:pPr>
      <w:r>
        <w:rPr>
          <w:color w:val="464646"/>
          <w:sz w:val="20"/>
        </w:rPr>
        <w:t>模型建立  数值求解  参数辨识  留出验证</w:t>
      </w:r>
    </w:p>
    <w:p>
      <w:pPr>
        <w:ind w:firstLine="420"/>
      </w:pPr>
      <w:r>
        <w:t>本文根据附件 1 的电池结构与热物性、附件 2 的 −20°C 和 −25°C 冷启动序列，建立沿膜电极厚度方向的一维瞬态模型。模型同时求解七层温度、阴极水蒸气与液水及冰库存、膜水化、阳极暂态失水和端电压。新版的核心改进是按照 Jiao 和 Li 的多相模型，将冰覆盖对交换电流源项的影响由过强的幂函数改为未堵塞比例的一次函数，并在每个时间步内迭代水相变、电压、热源和温度，使双向耦合在程序中真正闭合。</w:t>
      </w:r>
    </w:p>
    <w:p>
      <w:pPr>
        <w:ind w:firstLine="420"/>
      </w:pPr>
      <w:r>
        <w:t>两种温度均取前 70% 数据辨识参数，后 30% 完全留出。新版在留出段的电压 RMSE 分别为 0.01990 V 和 0.01202 V，比上一版降低 26.2% 和 42.6%。水冰库存缺少直接观测，因此端电压和平均温度的吻合只验证可观测输出，不能等同于冰分布已经得到实验验证。</w:t>
      </w:r>
    </w:p>
    <w:p>
      <w:pPr>
        <w:pStyle w:val="Heading1"/>
      </w:pPr>
      <w:r>
        <w:t>1 模型目标与计算域</w:t>
      </w:r>
    </w:p>
    <w:p>
      <w:pPr>
        <w:ind w:firstLine="420"/>
      </w:pPr>
      <w:r>
        <w:t>模型需要同时解释三个现象：升载后电压的快速下降、产水使膜逐渐水化带来的电压恢复，以及冰累积对反应面积和氧传质的抑制。温度既受反应热和凝固潜热驱动，又反过来改变膜电导、交换电流、氧扩散和相变状态，因此必须把质量守恒、电化学和能量守恒联立求解。</w:t>
      </w:r>
    </w:p>
    <w:p>
      <w:pPr>
        <w:pStyle w:val="Heading2"/>
      </w:pPr>
      <w:r>
        <w:t>1.1 一维七层结构</w:t>
      </w:r>
    </w:p>
    <w:p>
      <w:pPr>
        <w:ind w:firstLine="420"/>
      </w:pPr>
      <w:r>
        <w:t>沿厚度方向依次布置阳极双极板、阳极气体扩散层、阳极催化层、质子交换膜、阴极催化层、阴极气体扩散层和阴极双极板。每层设一个有限体积控制单元。反应产水、反应热和凝固潜热集中施加于阴极催化层；固体层间满足温度和热流连续。</w:t>
      </w:r>
    </w:p>
    <w:tbl>
      <w:tblPr>
        <w:tblW w:type="auto" w:w="0"/>
        <w:jc w:val="center"/>
        <w:tblLayout w:type="fixed"/>
        <w:tblLook w:firstColumn="1" w:firstRow="1" w:lastColumn="0" w:lastRow="0" w:noHBand="0" w:noVBand="1" w:val="04A0"/>
      </w:tblPr>
      <w:tblGrid>
        <w:gridCol w:w="792"/>
        <w:gridCol w:w="2376"/>
        <w:gridCol w:w="1512"/>
        <w:gridCol w:w="3600"/>
      </w:tblGrid>
      <w:tr>
        <w:trPr>
          <w:tblHeader w:val="true"/>
        </w:trPr>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层号</w:t>
            </w:r>
          </w:p>
        </w:tc>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控制体</w:t>
            </w:r>
          </w:p>
        </w:tc>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厚度</w:t>
            </w:r>
          </w:p>
        </w:tc>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热参数来源</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1</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阳极双极板</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2.000 mm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附件 1</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2</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阳极 GDL</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0.150 mm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附件 1</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3</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阳极 CL</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3.4 μm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附件 1</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4</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PEM</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12.0 μm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附件 1</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5</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阴极 CL</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11.3 μm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附件 1</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6</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阴极 GDL</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0.150 mm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附件 1</w:t>
            </w:r>
          </w:p>
        </w:tc>
      </w:tr>
      <w:tr>
        <w:tc>
          <w:tcPr>
            <w:tcW w:type="dxa" w:w="79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7</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阴极双极板</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2.000 mm</w:t>
            </w:r>
          </w:p>
        </w:tc>
        <w:tc>
          <w:tcPr>
            <w:tcW w:type="dxa" w:w="36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附件 1</w:t>
            </w:r>
          </w:p>
        </w:tc>
      </w:tr>
    </w:tbl>
    <w:p>
      <w:pPr>
        <w:spacing w:after="0"/>
      </w:pPr>
    </w:p>
    <w:p>
      <w:pPr>
        <w:pStyle w:val="Heading2"/>
      </w:pPr>
      <w:r>
        <w:t>1.2 主要假设</w:t>
      </w:r>
    </w:p>
    <w:p>
      <w:pPr>
        <w:pStyle w:val="ListBullet"/>
        <w:ind w:left="420" w:hanging="200"/>
      </w:pPr>
      <w:r>
        <w:t>短时冷启动期间入口压力和氧摩尔分数保持不变，附件 2 的电流密度作为外部输入。</w:t>
      </w:r>
    </w:p>
    <w:p>
      <w:pPr>
        <w:pStyle w:val="ListBullet"/>
        <w:ind w:left="420" w:hanging="200"/>
      </w:pPr>
      <w:r>
        <w:t>阴极催化层用单位几何面积上的三个集中库存描述水蒸气、液水和冰；没有足够观测把水相进一步分辨到各层和面内位置。</w:t>
      </w:r>
    </w:p>
    <w:p>
      <w:pPr>
        <w:pStyle w:val="ListBullet"/>
        <w:ind w:left="420" w:hanging="200"/>
      </w:pPr>
      <w:r>
        <w:t>初始温度取每个工况的首个实测平均温度；初始液水、冰和暂态失水记忆均为零，初始膜含水量 λ₀=3。</w:t>
      </w:r>
    </w:p>
    <w:p>
      <w:pPr>
        <w:pStyle w:val="ListBullet"/>
        <w:ind w:left="420" w:hanging="200"/>
      </w:pPr>
      <w:r>
        <w:t>水滞留率和冻结速率由先验给定；交换电流、传质倍率、膜水化和失水电压系数作为本实验条件下的有效参数。</w:t>
      </w:r>
    </w:p>
    <w:p>
      <w:pPr>
        <w:pStyle w:val="Heading1"/>
      </w:pPr>
      <w:r>
        <w:t>2 状态变量与方程耦合关系</w:t>
      </w:r>
    </w:p>
    <w:p>
      <w:pPr>
        <w:ind w:firstLine="420"/>
      </w:pPr>
      <w:r>
        <w:t>时刻 t 的模型状态写为下式。温度向量决定相变、膜电导和电化学动力学；水冰状态决定孔隙与反应面积；电压又决定反应放热，形成闭环。</w:t>
      </w:r>
    </w:p>
    <w:p>
      <w:pPr>
        <w:spacing w:before="40" w:after="80"/>
        <w:jc w:val="center"/>
      </w:pPr>
      <m:oMathPara>
        <m:oMath>
          <m:r>
            <m:rPr>
              <m:sty m:val="p"/>
            </m:rPr>
            <m:t>X(t) = [T₁,…,T₇, mᵥ, mₗ, mᵢ, q, λ, z]ᵀ    (1)</m:t>
          </m:r>
        </m:oMath>
      </m:oMathPara>
    </w:p>
    <w:p>
      <w:pPr>
        <w:spacing w:after="40"/>
        <w:jc w:val="center"/>
      </w:pPr>
      <w:r>
        <w:drawing>
          <wp:inline xmlns:a="http://schemas.openxmlformats.org/drawingml/2006/main" xmlns:pic="http://schemas.openxmlformats.org/drawingml/2006/picture">
            <wp:extent cx="6172200" cy="2975882"/>
            <wp:docPr id="1" name="Picture 1"/>
            <wp:cNvGraphicFramePr>
              <a:graphicFrameLocks noChangeAspect="1"/>
            </wp:cNvGraphicFramePr>
            <a:graphic>
              <a:graphicData uri="http://schemas.openxmlformats.org/drawingml/2006/picture">
                <pic:pic>
                  <pic:nvPicPr>
                    <pic:cNvPr id="0" name="模型耦合求解流程.png"/>
                    <pic:cNvPicPr/>
                  </pic:nvPicPr>
                  <pic:blipFill>
                    <a:blip r:embed="rId9"/>
                    <a:stretch>
                      <a:fillRect/>
                    </a:stretch>
                  </pic:blipFill>
                  <pic:spPr>
                    <a:xfrm>
                      <a:off x="0" y="0"/>
                      <a:ext cx="6172200" cy="2975882"/>
                    </a:xfrm>
                    <a:prstGeom prst="rect"/>
                  </pic:spPr>
                </pic:pic>
              </a:graphicData>
            </a:graphic>
          </wp:inline>
        </w:drawing>
      </w:r>
    </w:p>
    <w:p>
      <w:pPr>
        <w:spacing w:after="140"/>
        <w:jc w:val="center"/>
      </w:pPr>
      <w:r>
        <w:rPr>
          <w:b/>
          <w:sz w:val="18"/>
        </w:rPr>
        <w:t>图 1  多物理方程的双向耦合与步内迭代顺序</w:t>
      </w:r>
    </w:p>
    <w:tbl>
      <w:tblPr>
        <w:tblW w:type="auto" w:w="0"/>
        <w:jc w:val="center"/>
        <w:tblLayout w:type="fixed"/>
        <w:tblLook w:firstColumn="1" w:firstRow="1" w:lastColumn="0" w:lastRow="0" w:noHBand="0" w:noVBand="1" w:val="04A0"/>
      </w:tblPr>
      <w:tblGrid>
        <w:gridCol w:w="1800"/>
        <w:gridCol w:w="2520"/>
        <w:gridCol w:w="4680"/>
      </w:tblGrid>
      <w:tr>
        <w:trPr>
          <w:tblHeader w:val="true"/>
        </w:trPr>
        <w:tc>
          <w:tcPr>
            <w:tcW w:type="dxa" w:w="3293"/>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被更新量</w:t>
            </w:r>
          </w:p>
        </w:tc>
        <w:tc>
          <w:tcPr>
            <w:tcW w:type="dxa" w:w="3293"/>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left"/>
            </w:pPr>
            <w:r>
              <w:rPr>
                <w:rFonts w:ascii="宋体" w:hAnsi="宋体" w:eastAsia="宋体"/>
                <w:b/>
                <w:color w:val="FFFFFF"/>
                <w:sz w:val="18"/>
              </w:rPr>
              <w:t>直接输入</w:t>
            </w:r>
          </w:p>
        </w:tc>
        <w:tc>
          <w:tcPr>
            <w:tcW w:type="dxa" w:w="3293"/>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left"/>
            </w:pPr>
            <w:r>
              <w:rPr>
                <w:rFonts w:ascii="宋体" w:hAnsi="宋体" w:eastAsia="宋体"/>
                <w:b/>
                <w:color w:val="FFFFFF"/>
                <w:sz w:val="18"/>
              </w:rPr>
              <w:t>向后影响</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累计电荷 q</w:t>
            </w:r>
          </w:p>
        </w:tc>
        <w:tc>
          <w:tcPr>
            <w:tcW w:type="dxa" w:w="252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电流密度 j</w:t>
            </w:r>
          </w:p>
        </w:tc>
        <w:tc>
          <w:tcPr>
            <w:tcW w:type="dxa" w:w="468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膜含水量 λ、失水激励衰减</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水相 mᵥ mₗ mᵢ</w:t>
            </w:r>
          </w:p>
        </w:tc>
        <w:tc>
          <w:tcPr>
            <w:tcW w:type="dxa" w:w="252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j、温度 T̄</w:t>
            </w:r>
          </w:p>
        </w:tc>
        <w:tc>
          <w:tcPr>
            <w:tcW w:type="dxa" w:w="468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冰饱和度、潜热</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膜状态 λ z</w:t>
            </w:r>
          </w:p>
        </w:tc>
        <w:tc>
          <w:tcPr>
            <w:tcW w:type="dxa" w:w="252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q、电流增量</w:t>
            </w:r>
          </w:p>
        </w:tc>
        <w:tc>
          <w:tcPr>
            <w:tcW w:type="dxa" w:w="468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欧姆损失、暂态失水损失</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冰堵塞 sᵢ</w:t>
            </w:r>
          </w:p>
        </w:tc>
        <w:tc>
          <w:tcPr>
            <w:tcW w:type="dxa" w:w="252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冰质量 mᵢ</w:t>
            </w:r>
          </w:p>
        </w:tc>
        <w:tc>
          <w:tcPr>
            <w:tcW w:type="dxa" w:w="468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交换电流、氧扩散、浓差损失</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端电压 V</w:t>
            </w:r>
          </w:p>
        </w:tc>
        <w:tc>
          <w:tcPr>
            <w:tcW w:type="dxa" w:w="252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T̄、j、λ、z、sᵢ</w:t>
            </w:r>
          </w:p>
        </w:tc>
        <w:tc>
          <w:tcPr>
            <w:tcW w:type="dxa" w:w="468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反应热 j(Eth−V)</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温度 T₁…T₇</w:t>
            </w:r>
          </w:p>
        </w:tc>
        <w:tc>
          <w:tcPr>
            <w:tcW w:type="dxa" w:w="252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反应热、潜热、环境散热</w:t>
            </w:r>
          </w:p>
        </w:tc>
        <w:tc>
          <w:tcPr>
            <w:tcW w:type="dxa" w:w="468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相变、动力学、传质与电压</w:t>
            </w:r>
          </w:p>
        </w:tc>
      </w:tr>
    </w:tbl>
    <w:p>
      <w:pPr>
        <w:spacing w:after="0"/>
      </w:pPr>
    </w:p>
    <w:p>
      <w:pPr>
        <w:pStyle w:val="Heading1"/>
      </w:pPr>
      <w:r>
        <w:t>3 七层瞬态热模型</w:t>
      </w:r>
    </w:p>
    <w:p>
      <w:pPr>
        <w:pStyle w:val="Heading2"/>
      </w:pPr>
      <w:r>
        <w:t>3.1 连续方程与边界条件</w:t>
      </w:r>
    </w:p>
    <w:p>
      <w:pPr>
        <w:ind w:firstLine="420"/>
      </w:pPr>
      <w:r>
        <w:t>第 i 层满足一维非稳态导热方程。除阴极催化层外，体热源为零；阴极催化层的面热源通过控制体厚度换算到源项。</w:t>
      </w:r>
    </w:p>
    <w:p>
      <w:pPr>
        <w:spacing w:before="40" w:after="80"/>
        <w:jc w:val="center"/>
      </w:pPr>
      <m:oMathPara>
        <m:oMath>
          <m:r>
            <m:rPr>
              <m:sty m:val="p"/>
            </m:rPr>
            <m:t>ρᵢ cₚ,ᵢ ∂Tᵢ/∂t = ∂/∂x (kᵢ ∂Tᵢ/∂x) + Sᵀ,ᵢ    (2)</m:t>
          </m:r>
        </m:oMath>
      </m:oMathPara>
    </w:p>
    <w:p>
      <w:pPr>
        <w:spacing w:before="40" w:after="80"/>
        <w:jc w:val="center"/>
      </w:pPr>
      <m:oMathPara>
        <m:oMath>
          <m:r>
            <m:rPr>
              <m:sty m:val="p"/>
            </m:rPr>
            <m:t>Tᵢ = Tᵢ₊₁,   kᵢ ∂Tᵢ/∂x = kᵢ₊₁ ∂Tᵢ₊₁/∂x    (3)</m:t>
          </m:r>
        </m:oMath>
      </m:oMathPara>
    </w:p>
    <w:p>
      <w:pPr>
        <w:spacing w:before="40" w:after="80"/>
        <w:jc w:val="center"/>
      </w:pPr>
      <m:oMathPara>
        <m:oMath>
          <m:r>
            <m:rPr>
              <m:sty m:val="p"/>
            </m:rPr>
            <m:t>−k ∂T/∂n = h(T−Tₐₘᵦ),   h = 40 W·m⁻²·K⁻¹    (4)</m:t>
          </m:r>
        </m:oMath>
      </m:oMathPara>
    </w:p>
    <w:p>
      <w:pPr>
        <w:pStyle w:val="Heading2"/>
      </w:pPr>
      <w:r>
        <w:t>3.2 有限体积离散</w:t>
      </w:r>
    </w:p>
    <w:p>
      <w:pPr>
        <w:ind w:firstLine="420"/>
      </w:pPr>
      <w:r>
        <w:t>第 i 个控制体的单位面积热容为 Cᵢ=sCρᵢcₚ,ᵢΔxᵢ。相邻中心之间的热导采用两侧半层热阻串联，避免材料界面直接平均导热率。时间项采用隐式欧拉格式。</w:t>
      </w:r>
    </w:p>
    <w:p>
      <w:pPr>
        <w:spacing w:before="40" w:after="80"/>
        <w:jc w:val="center"/>
      </w:pPr>
      <m:oMathPara>
        <m:oMath>
          <m:r>
            <m:rPr>
              <m:sty m:val="p"/>
            </m:rPr>
            <m:t>Gᵢ₊½ = [Δxᵢ/(2kᵢ)+Δxᵢ₊₁/(2kᵢ₊₁)]⁻¹    (5)</m:t>
          </m:r>
        </m:oMath>
      </m:oMathPara>
    </w:p>
    <w:p>
      <w:pPr>
        <w:spacing w:before="40" w:after="80"/>
        <w:jc w:val="center"/>
      </w:pPr>
      <m:oMathPara>
        <m:oMath>
          <m:r>
            <m:rPr>
              <m:sty m:val="p"/>
            </m:rPr>
            <m:t>Cᵢ(Tᵢⁿ⁺¹−Tᵢⁿ)/Δt = Gᵢ₋½(Tᵢ₋₁ⁿ⁺¹−Tᵢⁿ⁺¹)+Gᵢ₊½(Tᵢ₊₁ⁿ⁺¹−Tᵢⁿ⁺¹)+Qᵢ    (6)</m:t>
          </m:r>
        </m:oMath>
      </m:oMathPara>
    </w:p>
    <w:p>
      <w:pPr>
        <w:ind w:firstLine="420"/>
      </w:pPr>
      <w:r>
        <w:t>模型输出的平均温度按控制体厚度加权。上一版早期程序曾对厚度差异很大的七个节点直接算术平均，会夸大微米级催化层和膜的权重；该问题已经修正。</w:t>
      </w:r>
    </w:p>
    <w:p>
      <w:pPr>
        <w:spacing w:before="40" w:after="80"/>
        <w:jc w:val="center"/>
      </w:pPr>
      <m:oMathPara>
        <m:oMath>
          <m:r>
            <m:rPr>
              <m:sty m:val="p"/>
            </m:rPr>
            <m:t>T̄ = Σᵢ ΔxᵢTᵢ / Σᵢ Δxᵢ    (7)</m:t>
          </m:r>
        </m:oMath>
      </m:oMathPara>
    </w:p>
    <w:p>
      <w:pPr>
        <w:pStyle w:val="Heading1"/>
      </w:pPr>
      <w:r>
        <w:t>4 阴极产水与水冰相变</w:t>
      </w:r>
    </w:p>
    <w:p>
      <w:pPr>
        <w:pStyle w:val="Heading2"/>
      </w:pPr>
      <w:r>
        <w:t>4.1 法拉第产水与蒸气容量</w:t>
      </w:r>
    </w:p>
    <w:p>
      <w:pPr>
        <w:ind w:firstLine="420"/>
      </w:pPr>
      <w:r>
        <w:t>单位几何面积上的法拉第产水速率为 jMw/(2F)。设 r=0.12 的产水留在阴极催化层，其余随气流排出。保留水先进入蒸气库存；当蒸气超过孔隙在当前温度下的饱和容量时，超出部分转入液态库存。</w:t>
      </w:r>
    </w:p>
    <w:p>
      <w:pPr>
        <w:spacing w:before="40" w:after="80"/>
        <w:jc w:val="center"/>
      </w:pPr>
      <m:oMathPara>
        <m:oMath>
          <m:r>
            <m:rPr>
              <m:sty m:val="p"/>
            </m:rPr>
            <m:t>ṁprod = r j Mw/(2F)    (8)</m:t>
          </m:r>
        </m:oMath>
      </m:oMathPara>
    </w:p>
    <w:p>
      <w:pPr>
        <w:spacing w:before="40" w:after="80"/>
        <w:jc w:val="center"/>
      </w:pPr>
      <m:oMathPara>
        <m:oMath>
          <m:r>
            <m:rPr>
              <m:sty m:val="p"/>
            </m:rPr>
            <m:t>mᵥ,sat = ε₀ LCCL Mw pₛₐₜ(T)/(RT)    (9)</m:t>
          </m:r>
        </m:oMath>
      </m:oMathPara>
    </w:p>
    <w:p>
      <w:pPr>
        <w:ind w:firstLine="420"/>
      </w:pPr>
      <w:r>
        <w:t>代码在 0°C 以上使用水面饱和蒸气压，在 0°C 以下使用冰面饱和蒸气压。温度用摄氏值 Tc 代入：</w:t>
      </w:r>
    </w:p>
    <w:p>
      <w:pPr>
        <w:spacing w:before="40" w:after="80"/>
        <w:jc w:val="center"/>
      </w:pPr>
      <m:oMathPara>
        <m:oMath>
          <m:r>
            <m:rPr>
              <m:sty m:val="p"/>
            </m:rPr>
            <m:t>pₛₐₜ = 611.21 exp[(18.678−Tc/234.5)Tc/(257.14+Tc)],   Tc ≥ 0    (10)</m:t>
          </m:r>
        </m:oMath>
      </m:oMathPara>
    </w:p>
    <w:p>
      <w:pPr>
        <w:spacing w:before="40" w:after="80"/>
        <w:jc w:val="center"/>
      </w:pPr>
      <m:oMathPara>
        <m:oMath>
          <m:r>
            <m:rPr>
              <m:sty m:val="p"/>
            </m:rPr>
            <m:t>pₛₐₜ = 611.15 exp[(23.036−Tc/333.7)Tc/(279.82+Tc)],   Tc &lt; 0    (11)</m:t>
          </m:r>
        </m:oMath>
      </m:oMathPara>
    </w:p>
    <w:p>
      <w:pPr>
        <w:pStyle w:val="Heading2"/>
      </w:pPr>
      <w:r>
        <w:t>4.2 凝结 蒸发 冻结与融化</w:t>
      </w:r>
    </w:p>
    <w:p>
      <w:pPr>
        <w:ind w:firstLine="420"/>
      </w:pPr>
      <w:r>
        <w:t>一次时间步内先将产水加入蒸气库存，再执行饱和约束。若 mᵥ&gt;mᵥ,sat，差额凝结为液水；若 mᵥ&lt;mᵥ,sat，允许已有液水蒸发补足，蒸发量不超过液水库存。低于冰点时，液水按一阶动力学冻结，并受催化层孔隙最大储冰量限制。</w:t>
      </w:r>
    </w:p>
    <w:p>
      <w:pPr>
        <w:spacing w:before="40" w:after="80"/>
        <w:jc w:val="center"/>
      </w:pPr>
      <m:oMathPara>
        <m:oMath>
          <m:r>
            <m:rPr>
              <m:sty m:val="p"/>
            </m:rPr>
            <m:t>Δmfreeze = min{mₗ[1−exp(−kfΔt)], ρice ε₀LCCL−mᵢ}    (12)</m:t>
          </m:r>
        </m:oMath>
      </m:oMathPara>
    </w:p>
    <w:p>
      <w:pPr>
        <w:spacing w:before="40" w:after="80"/>
        <w:jc w:val="center"/>
      </w:pPr>
      <m:oMathPara>
        <m:oMath>
          <m:r>
            <m:rPr>
              <m:sty m:val="p"/>
            </m:rPr>
            <m:t>Δmmelt = min{mᵢ[1−exp(−kmΔt)], mᵢ},   T ≥ 273.15 K    (13)</m:t>
          </m:r>
        </m:oMath>
      </m:oMathPara>
    </w:p>
    <w:p>
      <w:pPr>
        <w:ind w:firstLine="420"/>
      </w:pPr>
      <w:r>
        <w:t>取 kf=0.35 s⁻¹、km=2.0 s⁻¹、ρice=920 kg·m⁻³。冻结释放的潜热为正，融化吸热为负：</w:t>
      </w:r>
    </w:p>
    <w:p>
      <w:pPr>
        <w:spacing w:before="40" w:after="80"/>
        <w:jc w:val="center"/>
      </w:pPr>
      <m:oMathPara>
        <m:oMath>
          <m:r>
            <m:rPr>
              <m:sty m:val="p"/>
            </m:rPr>
            <m:t>Qlat = Lf Δmfreeze/Δt  或  −Lf Δmmelt/Δt    (14)</m:t>
          </m:r>
        </m:oMath>
      </m:oMathPara>
    </w:p>
    <w:p>
      <w:pPr>
        <w:pStyle w:val="Heading1"/>
      </w:pPr>
      <w:r>
        <w:t>5 冰堵塞对动力学和传质的耦合</w:t>
      </w:r>
    </w:p>
    <w:p>
      <w:pPr>
        <w:ind w:firstLine="420"/>
      </w:pPr>
      <w:r>
        <w:t>先把冰质量换算成阴极催化层内的绝对冰体积分数 εice，再除以初始孔隙率得到冰饱和度 sice。有效气相孔隙率保留一个数值下限，防止极限电流奇异。</w:t>
      </w:r>
    </w:p>
    <w:p>
      <w:pPr>
        <w:spacing w:before="40" w:after="80"/>
        <w:jc w:val="center"/>
      </w:pPr>
      <m:oMathPara>
        <m:oMath>
          <m:r>
            <m:rPr>
              <m:sty m:val="p"/>
            </m:rPr>
            <m:t>εice = mᵢ/(ρiceLCCL),   sice = clip(εice/ε₀,0,0.999)    (15)</m:t>
          </m:r>
        </m:oMath>
      </m:oMathPara>
    </w:p>
    <w:p>
      <w:pPr>
        <w:spacing w:before="40" w:after="80"/>
        <w:jc w:val="center"/>
      </w:pPr>
      <m:oMathPara>
        <m:oMath>
          <m:r>
            <m:rPr>
              <m:sty m:val="p"/>
            </m:rPr>
            <m:t>εeff = max(ε₀−εice, 0.015)    (16)</m:t>
          </m:r>
        </m:oMath>
      </m:oMathPara>
    </w:p>
    <w:p>
      <w:pPr>
        <w:ind w:firstLine="420"/>
      </w:pPr>
      <w:r>
        <w:t>Jiao 和 Li 的三维多相模型把催化反应源乘以未被液水和冰占据的比例，并用 1.5 次孔隙修正描述气体扩散。由于本题集中模型未单独追踪反应表面的液水覆盖，新版仅以冰饱和度修正交换电流。</w:t>
      </w:r>
    </w:p>
    <w:p>
      <w:pPr>
        <w:spacing w:before="40" w:after="80"/>
        <w:jc w:val="center"/>
      </w:pPr>
      <m:oMathPara>
        <m:oMath>
          <m:r>
            <m:rPr>
              <m:sty m:val="p"/>
            </m:rPr>
            <m:t>a/a₀ = max(0.04, 1−sice)    (17)</m:t>
          </m:r>
        </m:oMath>
      </m:oMathPara>
    </w:p>
    <w:p>
      <w:pPr>
        <w:spacing w:before="40" w:after="80"/>
        <w:jc w:val="center"/>
      </w:pPr>
      <m:oMathPara>
        <m:oMath>
          <m:r>
            <m:rPr>
              <m:sty m:val="p"/>
            </m:rPr>
            <m:t>DO₂,eff = DO₂,ref (T/Tref)¹·⁷⁵ εeff¹·⁵ MD    (18)</m:t>
          </m:r>
        </m:oMath>
      </m:oMathPara>
    </w:p>
    <w:p>
      <w:pPr>
        <w:ind w:firstLine="420"/>
      </w:pPr>
      <w:r>
        <w:t>上一版使用 (1−sice)³·⁵ 修正反应面积，同时又在扩散系数中计入冰占孔，造成冰影响的重复放大。残差诊断显示留出段电压误差与预测冰量的相关系数达到约 −0.93 至 −0.98。改为式（17）的线性覆盖后，两种温度的留出电压误差同时下降，因此保留该修正。</w:t>
      </w:r>
    </w:p>
    <w:p>
      <w:pPr>
        <w:pStyle w:val="Heading1"/>
      </w:pPr>
      <w:r>
        <w:t>6 膜水化与阳极暂态失水</w:t>
      </w:r>
    </w:p>
    <w:p>
      <w:pPr>
        <w:pStyle w:val="Heading2"/>
      </w:pPr>
      <w:r>
        <w:t>6.1 累计电荷驱动的膜水化</w:t>
      </w:r>
    </w:p>
    <w:p>
      <w:pPr>
        <w:ind w:firstLine="420"/>
      </w:pPr>
      <w:r>
        <w:t>附件没有入口湿度和膜内含水量。为保留产水对膜电导的主要作用，定义累计电荷 q，并用饱和增长函数近似有效膜含水量。这里 j 以 A·cm⁻²计，使 q 的单位为 C·cm⁻²。</w:t>
      </w:r>
    </w:p>
    <w:p>
      <w:pPr>
        <w:spacing w:before="40" w:after="80"/>
        <w:jc w:val="center"/>
      </w:pPr>
      <m:oMathPara>
        <m:oMath>
          <m:r>
            <m:rPr>
              <m:sty m:val="p"/>
            </m:rPr>
            <m:t>qⁿ⁺¹ = qⁿ + 0.5(jⁿ+jⁿ⁺¹)Δt    (19)</m:t>
          </m:r>
        </m:oMath>
      </m:oMathPara>
    </w:p>
    <w:p>
      <w:pPr>
        <w:spacing w:before="40" w:after="80"/>
        <w:jc w:val="center"/>
      </w:pPr>
      <m:oMathPara>
        <m:oMath>
          <m:r>
            <m:rPr>
              <m:sty m:val="p"/>
            </m:rPr>
            <m:t>λ(q)=λ₀+Δλ[1−exp(−q/qλ)]    (20)</m:t>
          </m:r>
        </m:oMath>
      </m:oMathPara>
    </w:p>
    <w:p>
      <w:pPr>
        <w:spacing w:before="40" w:after="80"/>
        <w:jc w:val="center"/>
      </w:pPr>
      <m:oMathPara>
        <m:oMath>
          <m:r>
            <m:rPr>
              <m:sty m:val="p"/>
            </m:rPr>
            <m:t>κ(λ,T)=max{0.02, (0.5139λ−0.326)exp[1268(1/303.15−1/T)]}    (21)</m:t>
          </m:r>
        </m:oMath>
      </m:oMathPara>
    </w:p>
    <w:p>
      <w:pPr>
        <w:ind w:firstLine="420"/>
      </w:pPr>
      <w:r>
        <w:t>膜欧姆电阻为 LPEM/κ。式（20）是可辨识的低阶代理，并非空间分布膜水守恒方程；Δλ 和 qλ 因而只能解释为该工况下的有效水化参数。</w:t>
      </w:r>
    </w:p>
    <w:p>
      <w:pPr>
        <w:pStyle w:val="Heading2"/>
      </w:pPr>
      <w:r>
        <w:t>6.2 升载触发的失水记忆</w:t>
      </w:r>
    </w:p>
    <w:p>
      <w:pPr>
        <w:ind w:firstLine="420"/>
      </w:pPr>
      <w:r>
        <w:t>Yao 等指出，高电流冷启动可能首先出现阳极脱水，而较高初始膜含水量更容易转为阴极孔隙堵塞。为表示升载瞬间的阳极水亏缺，引入记忆状态 z。电流只在上升时激励 z；已有记忆按时间常数衰减；累计产水越多，后续升载的脱水激励越弱。</w:t>
      </w:r>
    </w:p>
    <w:p>
      <w:pPr>
        <w:spacing w:before="40" w:after="80"/>
        <w:jc w:val="center"/>
      </w:pPr>
      <m:oMathPara>
        <m:oMath>
          <m:r>
            <m:rPr>
              <m:sty m:val="p"/>
            </m:rPr>
            <m:t>zⁿ⁺¹ = zⁿexp(−Δt/τd) + max(0,jⁿ⁺¹−jⁿ)exp(−qⁿ⁺¹/qd)    (22)</m:t>
          </m:r>
        </m:oMath>
      </m:oMathPara>
    </w:p>
    <w:p>
      <w:pPr>
        <w:spacing w:before="40" w:after="80"/>
        <w:jc w:val="center"/>
      </w:pPr>
      <m:oMathPara>
        <m:oMath>
          <m:r>
            <m:rPr>
              <m:sty m:val="p"/>
            </m:rPr>
            <m:t>ηdry = Kd z    (23)</m:t>
          </m:r>
        </m:oMath>
      </m:oMathPara>
    </w:p>
    <w:p>
      <w:pPr>
        <w:ind w:firstLine="420"/>
      </w:pPr>
      <w:r>
        <w:t>取 τd=8 s、qd=0.6 C·cm⁻²为先验尺度，Kd 由训练数据拟合。曾尝试在中间时间窗重新选择 τd 和 qd，虽降低中间窗误差，但最终 30% 留出误差明显上升，因此未采用该组参数。</w:t>
      </w:r>
    </w:p>
    <w:p>
      <w:pPr>
        <w:pStyle w:val="Heading1"/>
      </w:pPr>
      <w:r>
        <w:t>7 电化学电压模型</w:t>
      </w:r>
    </w:p>
    <w:p>
      <w:pPr>
        <w:pStyle w:val="Heading2"/>
      </w:pPr>
      <w:r>
        <w:t>7.1 可逆电势与交换电流</w:t>
      </w:r>
    </w:p>
    <w:p>
      <w:pPr>
        <w:spacing w:before="40" w:after="80"/>
        <w:jc w:val="center"/>
      </w:pPr>
      <m:oMathPara>
        <m:oMath>
          <m:r>
            <m:rPr>
              <m:sty m:val="p"/>
            </m:rPr>
            <m:t>Erev = 1.229−8.5×10⁻⁴(T−Tref)+RT/(2F) ln[pH₂(pO₂)¹ᐟ²]    (24)</m:t>
          </m:r>
        </m:oMath>
      </m:oMathPara>
    </w:p>
    <w:p>
      <w:pPr>
        <w:spacing w:before="40" w:after="80"/>
        <w:jc w:val="center"/>
      </w:pPr>
      <m:oMathPara>
        <m:oMath>
          <m:r>
            <m:rPr>
              <m:sty m:val="p"/>
            </m:rPr>
            <m:t>j₀ = j₀,ref exp{−Ea/R(1/T−1/Tref)} · max(0.04,1−sice)    (25)</m:t>
          </m:r>
        </m:oMath>
      </m:oMathPara>
    </w:p>
    <w:p>
      <w:pPr>
        <w:pStyle w:val="Heading2"/>
      </w:pPr>
      <w:r>
        <w:t>7.2 四类电压损失</w:t>
      </w:r>
    </w:p>
    <w:p>
      <w:pPr>
        <w:spacing w:before="40" w:after="80"/>
        <w:jc w:val="center"/>
      </w:pPr>
      <m:oMathPara>
        <m:oMath>
          <m:r>
            <m:rPr>
              <m:sty m:val="p"/>
            </m:rPr>
            <m:t>ηact = RT/(0.5F) asinh[j/(2j₀)]    (26)</m:t>
          </m:r>
        </m:oMath>
      </m:oMathPara>
    </w:p>
    <w:p>
      <w:pPr>
        <w:spacing w:before="40" w:after="80"/>
        <w:jc w:val="center"/>
      </w:pPr>
      <m:oMathPara>
        <m:oMath>
          <m:r>
            <m:rPr>
              <m:sty m:val="p"/>
            </m:rPr>
            <m:t>ηohm = j(LPEM/κ + Rc),   Rc=0.01 Ω·cm²    (27)</m:t>
          </m:r>
        </m:oMath>
      </m:oMathPara>
    </w:p>
    <w:p>
      <w:pPr>
        <w:spacing w:before="40" w:after="80"/>
        <w:jc w:val="center"/>
      </w:pPr>
      <m:oMathPara>
        <m:oMath>
          <m:r>
            <m:rPr>
              <m:sty m:val="p"/>
            </m:rPr>
            <m:t>jlim = 4F DO₂,eff cO₂/LGDL,   ηcon = −RT/(4F) ln(1−j/jlim)    (28)</m:t>
          </m:r>
        </m:oMath>
      </m:oMathPara>
    </w:p>
    <w:p>
      <w:pPr>
        <w:spacing w:before="40" w:after="80"/>
        <w:jc w:val="center"/>
      </w:pPr>
      <m:oMathPara>
        <m:oMath>
          <m:r>
            <m:rPr>
              <m:sty m:val="p"/>
            </m:rPr>
            <m:t>V = Erev + ΔE − ηact − ηohm − ηcon − ηdry    (29)</m:t>
          </m:r>
        </m:oMath>
      </m:oMathPara>
    </w:p>
    <w:p>
      <w:pPr>
        <w:ind w:firstLine="420"/>
      </w:pPr>
      <w:r>
        <w:t>ΔE 吸收参考压力、开路电压与题面动力学常数之间不能由现有数据拆分的偏差。程序限制 j/jlim&lt;0.999999，避免浓差项在极限电流附近数值发散。</w:t>
      </w:r>
    </w:p>
    <w:p>
      <w:pPr>
        <w:pStyle w:val="Heading1"/>
      </w:pPr>
      <w:r>
        <w:t>8 热源与多方程闭合</w:t>
      </w:r>
    </w:p>
    <w:p>
      <w:pPr>
        <w:pStyle w:val="Heading2"/>
      </w:pPr>
      <w:r>
        <w:t>8.1 反应热与潜热</w:t>
      </w:r>
    </w:p>
    <w:p>
      <w:pPr>
        <w:ind w:firstLine="420"/>
      </w:pPr>
      <w:r>
        <w:t>电化学放热采用热中性电压与端电压之差计算。式（29）的端电压降低会增加发热，从而升高温度；温度升高又提高膜电导和交换电流，构成电热正反馈。冰的形成同时释放凝固潜热，但又通过式（17）和式（18）提高电压损失，构成质量传递与电化学之间的负反馈。</w:t>
      </w:r>
    </w:p>
    <w:p>
      <w:pPr>
        <w:spacing w:before="40" w:after="80"/>
        <w:jc w:val="center"/>
      </w:pPr>
      <m:oMathPara>
        <m:oMath>
          <m:r>
            <m:rPr>
              <m:sty m:val="p"/>
            </m:rPr>
            <m:t>Qrxn = j(Eth−V),   Eth=1.48 V    (30)</m:t>
          </m:r>
        </m:oMath>
      </m:oMathPara>
    </w:p>
    <w:p>
      <w:pPr>
        <w:spacing w:before="40" w:after="80"/>
        <w:jc w:val="center"/>
      </w:pPr>
      <m:oMathPara>
        <m:oMath>
          <m:r>
            <m:rPr>
              <m:sty m:val="p"/>
            </m:rPr>
            <m:t>QCCL = Qrxn + Qlat    (31)</m:t>
          </m:r>
        </m:oMath>
      </m:oMathPara>
    </w:p>
    <w:p>
      <w:pPr>
        <w:pStyle w:val="Heading2"/>
      </w:pPr>
      <w:r>
        <w:t>8.2 单个时间步内的固定点迭代</w:t>
      </w:r>
    </w:p>
    <w:p>
      <w:pPr>
        <w:ind w:firstLine="420"/>
      </w:pPr>
      <w:r>
        <w:t>从 tⁿ 到 tⁿ⁺¹ 的求解采用分区固定点方法。水相库存每次迭代都从步初状态重新计算，防止同一时间步重复累计产水或冻结。具体顺序如下：</w:t>
      </w:r>
    </w:p>
    <w:p>
      <w:pPr>
        <w:ind w:left="400" w:hanging="300"/>
      </w:pPr>
      <w:r>
        <w:rPr>
          <w:b/>
        </w:rPr>
        <w:t xml:space="preserve">1. </w:t>
      </w:r>
      <w:r>
        <w:t>读取 jⁿ、jⁿ⁺¹和 Δt，计算步内平均电流，更新累计电荷 q 和失水状态 z。</w:t>
      </w:r>
    </w:p>
    <w:p>
      <w:pPr>
        <w:ind w:left="400" w:hanging="300"/>
      </w:pPr>
      <w:r>
        <w:rPr>
          <w:b/>
        </w:rPr>
        <w:t xml:space="preserve">2. </w:t>
      </w:r>
      <w:r>
        <w:t>以步初平均温度作为第 0 次猜测 T̄⁽⁰⁾；保存步初的 mᵥ、mₗ、mᵢ。</w:t>
      </w:r>
    </w:p>
    <w:p>
      <w:pPr>
        <w:ind w:left="400" w:hanging="300"/>
      </w:pPr>
      <w:r>
        <w:rPr>
          <w:b/>
        </w:rPr>
        <w:t xml:space="preserve">3. </w:t>
      </w:r>
      <w:r>
        <w:t>用 T̄⁽ᵏ⁾计算饱和蒸气容量、凝结或蒸发、冻结或融化，得到候选水相状态和 Qlat。</w:t>
      </w:r>
    </w:p>
    <w:p>
      <w:pPr>
        <w:ind w:left="400" w:hanging="300"/>
      </w:pPr>
      <w:r>
        <w:rPr>
          <w:b/>
        </w:rPr>
        <w:t xml:space="preserve">4. </w:t>
      </w:r>
      <w:r>
        <w:t>由候选冰质量计算 sice、有效反应面积和 DO₂,eff，再由 λ、z 和 T̄⁽ᵏ⁾计算步内电压 V⁽ᵏ⁾。</w:t>
      </w:r>
    </w:p>
    <w:p>
      <w:pPr>
        <w:ind w:left="400" w:hanging="300"/>
      </w:pPr>
      <w:r>
        <w:rPr>
          <w:b/>
        </w:rPr>
        <w:t xml:space="preserve">5. </w:t>
      </w:r>
      <w:r>
        <w:t>以 V⁽ᵏ⁾形成 Qrxn，与 Qlat 相加后解七阶隐式热方程，得到 T₁⁽ᵏ⁺¹⁾…T₇⁽ᵏ⁺¹⁾。</w:t>
      </w:r>
    </w:p>
    <w:p>
      <w:pPr>
        <w:ind w:left="400" w:hanging="300"/>
      </w:pPr>
      <w:r>
        <w:rPr>
          <w:b/>
        </w:rPr>
        <w:t xml:space="preserve">6. </w:t>
      </w:r>
      <w:r>
        <w:t>若 |T̄⁽ᵏ⁺¹⁾−T̄⁽ᵏ⁾|&lt;10⁻⁸ K 且 |V⁽ᵏ⁾−V⁽ᵏ⁻¹⁾|&lt;10⁻⁹ V，则接受该步；否则令 T̄⁽ᵏ⁾←T̄⁽ᵏ⁺¹⁾继续，最多 12 次。</w:t>
      </w:r>
    </w:p>
    <w:p>
      <w:pPr>
        <w:ind w:left="400" w:hanging="300"/>
      </w:pPr>
      <w:r>
        <w:rPr>
          <w:b/>
        </w:rPr>
        <w:t xml:space="preserve">7. </w:t>
      </w:r>
      <w:r>
        <w:t>接受温度和水相状态后，以采样时刻 jⁿ⁺¹及更新温度重新计算输出电压，使输出与实验采样时点一致。</w:t>
      </w:r>
    </w:p>
    <w:p>
      <w:pPr>
        <w:ind w:firstLine="420"/>
      </w:pPr>
      <w:r>
        <w:t>本数据上的每个时间步最多需要 4 次迭代，低于设置的 12 次上限。该闭合方式使温度、水相、电压和热源双向一致，同时保持每个子方程简单可检查。</w:t>
      </w:r>
    </w:p>
    <w:p>
      <w:pPr>
        <w:pStyle w:val="Heading1"/>
      </w:pPr>
      <w:r>
        <w:t>9 参数辨识与可辨识性</w:t>
      </w:r>
    </w:p>
    <w:p>
      <w:pPr>
        <w:ind w:firstLine="420"/>
      </w:pPr>
      <w:r>
        <w:t>每个温度工况共有 184 个观测点。前 128 点用于拟合，后 56 点留出。首先用实测电压驱动热模型，仅辨识统一热容倍率 sC；随后在实测温度下拟合电压参数；最后使用完整耦合模型进行训练段和留出段前向计算。参数优化采用带边界的阻尼 Gauss-Newton 方法。</w:t>
      </w:r>
    </w:p>
    <w:tbl>
      <w:tblPr>
        <w:tblW w:type="auto" w:w="0"/>
        <w:jc w:val="center"/>
        <w:tblLayout w:type="fixed"/>
        <w:tblLook w:firstColumn="1" w:firstRow="1" w:lastColumn="0" w:lastRow="0" w:noHBand="0" w:noVBand="1" w:val="04A0"/>
      </w:tblPr>
      <w:tblGrid>
        <w:gridCol w:w="1512"/>
        <w:gridCol w:w="2376"/>
        <w:gridCol w:w="4752"/>
      </w:tblGrid>
      <w:tr>
        <w:trPr>
          <w:tblHeader w:val="true"/>
        </w:trPr>
        <w:tc>
          <w:tcPr>
            <w:tcW w:type="dxa" w:w="3293"/>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参数</w:t>
            </w:r>
          </w:p>
        </w:tc>
        <w:tc>
          <w:tcPr>
            <w:tcW w:type="dxa" w:w="3293"/>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数值</w:t>
            </w:r>
          </w:p>
        </w:tc>
        <w:tc>
          <w:tcPr>
            <w:tcW w:type="dxa" w:w="3293"/>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left"/>
            </w:pPr>
            <w:r>
              <w:rPr>
                <w:rFonts w:ascii="宋体" w:hAnsi="宋体" w:eastAsia="宋体"/>
                <w:b/>
                <w:color w:val="FFFFFF"/>
                <w:sz w:val="18"/>
              </w:rPr>
              <w:t>作用与性质</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sC</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1.02243</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七层热容统一倍率，热数据拟合</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j₀,ref</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0.00765 A·m⁻²</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有效交换电流</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Ea</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66.27 kJ·mol⁻¹</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表观活化能</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MD</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108.36</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有效氧传质倍率</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ΔE</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0.1626 V</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实验条件等效电势偏置</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Δλ</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15.84</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有效膜水化增量</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qλ</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1.689 C·cm⁻²</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膜水化特征电荷</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Kd</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2.091 V/(A·cm⁻²)</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失水记忆电压系数</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r</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0.12</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水滞留先验</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kf</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0.35 s⁻¹</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left"/>
            </w:pPr>
            <w:r>
              <w:rPr>
                <w:rFonts w:ascii="宋体" w:hAnsi="宋体" w:eastAsia="宋体"/>
                <w:sz w:val="18"/>
              </w:rPr>
              <w:t>冻结速率先验</w:t>
            </w:r>
          </w:p>
        </w:tc>
      </w:tr>
      <w:tr>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τd  qd</w:t>
            </w:r>
          </w:p>
        </w:tc>
        <w:tc>
          <w:tcPr>
            <w:tcW w:type="dxa" w:w="23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8 s  0.6 C·cm⁻²</w:t>
            </w:r>
          </w:p>
        </w:tc>
        <w:tc>
          <w:tcPr>
            <w:tcW w:type="dxa" w:w="475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left"/>
            </w:pPr>
            <w:r>
              <w:rPr>
                <w:rFonts w:ascii="宋体" w:hAnsi="宋体" w:eastAsia="宋体"/>
                <w:sz w:val="18"/>
              </w:rPr>
              <w:t>失水记忆先验</w:t>
            </w:r>
          </w:p>
        </w:tc>
      </w:tr>
    </w:tbl>
    <w:p>
      <w:pPr>
        <w:spacing w:after="0"/>
      </w:pPr>
    </w:p>
    <w:p>
      <w:pPr>
        <w:ind w:firstLine="420"/>
      </w:pPr>
      <w:r>
        <w:t>j₀,ref、MD、ΔE 和膜水化参数存在补偿关系，不能作为独立材料常数使用。尤其是 MD 数值较大，说明集中传质模型把未显式描述的流道、边界浓度和面积换算一并吸收到有效参数中。模型适合重现实验条件和比较相同装置下的策略，不应未经新数据校准直接外推到其他电池。</w:t>
      </w:r>
    </w:p>
    <w:p>
      <w:pPr>
        <w:pStyle w:val="Heading1"/>
      </w:pPr>
      <w:r>
        <w:t>10 与实验数据的对比</w:t>
      </w:r>
    </w:p>
    <w:tbl>
      <w:tblPr>
        <w:tblW w:type="auto" w:w="0"/>
        <w:jc w:val="center"/>
        <w:tblLayout w:type="fixed"/>
        <w:tblLook w:firstColumn="1" w:firstRow="1" w:lastColumn="0" w:lastRow="0" w:noHBand="0" w:noVBand="1" w:val="04A0"/>
      </w:tblPr>
      <w:tblGrid>
        <w:gridCol w:w="1800"/>
        <w:gridCol w:w="1440"/>
        <w:gridCol w:w="2088"/>
        <w:gridCol w:w="1512"/>
        <w:gridCol w:w="1656"/>
      </w:tblGrid>
      <w:tr>
        <w:trPr>
          <w:tblHeader w:val="true"/>
        </w:trPr>
        <w:tc>
          <w:tcPr>
            <w:tcW w:type="dxa" w:w="19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工况与区段</w:t>
            </w:r>
          </w:p>
        </w:tc>
        <w:tc>
          <w:tcPr>
            <w:tcW w:type="dxa" w:w="19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电压 RMSE</w:t>
            </w:r>
          </w:p>
        </w:tc>
        <w:tc>
          <w:tcPr>
            <w:tcW w:type="dxa" w:w="19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电压平均相对误差</w:t>
            </w:r>
          </w:p>
        </w:tc>
        <w:tc>
          <w:tcPr>
            <w:tcW w:type="dxa" w:w="19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温度 RMSE</w:t>
            </w:r>
          </w:p>
        </w:tc>
        <w:tc>
          <w:tcPr>
            <w:tcW w:type="dxa" w:w="197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预测最大 εice</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−20°C 训练</w:t>
            </w:r>
          </w:p>
        </w:tc>
        <w:tc>
          <w:tcPr>
            <w:tcW w:type="dxa" w:w="144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0.01133 V</w:t>
            </w:r>
          </w:p>
        </w:tc>
        <w:tc>
          <w:tcPr>
            <w:tcW w:type="dxa" w:w="2088"/>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1.56%</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0.0270°C</w:t>
            </w:r>
          </w:p>
        </w:tc>
        <w:tc>
          <w:tcPr>
            <w:tcW w:type="dxa" w:w="165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0.02797</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−20°C 留出</w:t>
            </w:r>
          </w:p>
        </w:tc>
        <w:tc>
          <w:tcPr>
            <w:tcW w:type="dxa" w:w="144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0.01990 V</w:t>
            </w:r>
          </w:p>
        </w:tc>
        <w:tc>
          <w:tcPr>
            <w:tcW w:type="dxa" w:w="2088"/>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2.47%</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0.0586°C</w:t>
            </w:r>
          </w:p>
        </w:tc>
        <w:tc>
          <w:tcPr>
            <w:tcW w:type="dxa" w:w="165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0.06040</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−25°C 训练</w:t>
            </w:r>
          </w:p>
        </w:tc>
        <w:tc>
          <w:tcPr>
            <w:tcW w:type="dxa" w:w="144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0.00784 V</w:t>
            </w:r>
          </w:p>
        </w:tc>
        <w:tc>
          <w:tcPr>
            <w:tcW w:type="dxa" w:w="2088"/>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1.04%</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0.0275°C</w:t>
            </w:r>
          </w:p>
        </w:tc>
        <w:tc>
          <w:tcPr>
            <w:tcW w:type="dxa" w:w="165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0.02884</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−25°C 留出</w:t>
            </w:r>
          </w:p>
        </w:tc>
        <w:tc>
          <w:tcPr>
            <w:tcW w:type="dxa" w:w="144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0.01202 V</w:t>
            </w:r>
          </w:p>
        </w:tc>
        <w:tc>
          <w:tcPr>
            <w:tcW w:type="dxa" w:w="2088"/>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1.65%</w:t>
            </w:r>
          </w:p>
        </w:tc>
        <w:tc>
          <w:tcPr>
            <w:tcW w:type="dxa" w:w="151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0.1126°C</w:t>
            </w:r>
          </w:p>
        </w:tc>
        <w:tc>
          <w:tcPr>
            <w:tcW w:type="dxa" w:w="1656"/>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0.06211</w:t>
            </w:r>
          </w:p>
        </w:tc>
      </w:tr>
    </w:tbl>
    <w:p>
      <w:pPr>
        <w:spacing w:after="0"/>
      </w:pPr>
    </w:p>
    <w:tbl>
      <w:tblPr>
        <w:tblW w:type="auto" w:w="0"/>
        <w:jc w:val="center"/>
        <w:tblLayout w:type="fixed"/>
        <w:tblLook w:firstColumn="1" w:firstRow="1" w:lastColumn="0" w:lastRow="0" w:noHBand="0" w:noVBand="1" w:val="04A0"/>
      </w:tblPr>
      <w:tblGrid>
        <w:gridCol w:w="1800"/>
        <w:gridCol w:w="2232"/>
        <w:gridCol w:w="2232"/>
        <w:gridCol w:w="1440"/>
      </w:tblGrid>
      <w:tr>
        <w:trPr>
          <w:tblHeader w:val="true"/>
        </w:trPr>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留出工况</w:t>
            </w:r>
          </w:p>
        </w:tc>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上一版电压 RMSE</w:t>
            </w:r>
          </w:p>
        </w:tc>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新版电压 RMSE</w:t>
            </w:r>
          </w:p>
        </w:tc>
        <w:tc>
          <w:tcPr>
            <w:tcW w:type="dxa" w:w="2469"/>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183B63"/>
          </w:tcPr>
          <w:p>
            <w:pPr>
              <w:spacing w:after="0" w:line="264" w:lineRule="auto"/>
              <w:jc w:val="center"/>
            </w:pPr>
            <w:r>
              <w:rPr>
                <w:rFonts w:ascii="宋体" w:hAnsi="宋体" w:eastAsia="宋体"/>
                <w:b/>
                <w:color w:val="FFFFFF"/>
                <w:sz w:val="18"/>
              </w:rPr>
              <w:t>降幅</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−20°C</w:t>
            </w:r>
          </w:p>
        </w:tc>
        <w:tc>
          <w:tcPr>
            <w:tcW w:type="dxa" w:w="223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0.02695 V</w:t>
            </w:r>
          </w:p>
        </w:tc>
        <w:tc>
          <w:tcPr>
            <w:tcW w:type="dxa" w:w="223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0.01990 V</w:t>
            </w:r>
          </w:p>
        </w:tc>
        <w:tc>
          <w:tcPr>
            <w:tcW w:type="dxa" w:w="144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64" w:lineRule="auto"/>
              <w:jc w:val="center"/>
            </w:pPr>
            <w:r>
              <w:rPr>
                <w:rFonts w:ascii="宋体" w:hAnsi="宋体" w:eastAsia="宋体"/>
                <w:sz w:val="18"/>
              </w:rPr>
              <w:t>26.2%</w:t>
            </w:r>
          </w:p>
        </w:tc>
      </w:tr>
      <w:tr>
        <w:tc>
          <w:tcPr>
            <w:tcW w:type="dxa" w:w="180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−25°C</w:t>
            </w:r>
          </w:p>
        </w:tc>
        <w:tc>
          <w:tcPr>
            <w:tcW w:type="dxa" w:w="223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0.02092 V</w:t>
            </w:r>
          </w:p>
        </w:tc>
        <w:tc>
          <w:tcPr>
            <w:tcW w:type="dxa" w:w="2232"/>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0.01202 V</w:t>
            </w:r>
          </w:p>
        </w:tc>
        <w:tc>
          <w:tcPr>
            <w:tcW w:type="dxa" w:w="1440"/>
            <w:vAlign w:val="center"/>
            <w:tcMar>
              <w:top w:w="70" w:type="dxa"/>
              <w:bottom w:w="7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shd w:fill="F2F6FA"/>
          </w:tcPr>
          <w:p>
            <w:pPr>
              <w:spacing w:after="0" w:line="264" w:lineRule="auto"/>
              <w:jc w:val="center"/>
            </w:pPr>
            <w:r>
              <w:rPr>
                <w:rFonts w:ascii="宋体" w:hAnsi="宋体" w:eastAsia="宋体"/>
                <w:sz w:val="18"/>
              </w:rPr>
              <w:t>42.6%</w:t>
            </w:r>
          </w:p>
        </w:tc>
      </w:tr>
    </w:tbl>
    <w:p>
      <w:pPr>
        <w:spacing w:after="0"/>
      </w:pPr>
    </w:p>
    <w:p>
      <w:pPr>
        <w:ind w:firstLine="420"/>
      </w:pPr>
      <w:r>
        <w:t>数值检查覆盖所有时间步：水蒸气、液水和冰库存非负；冰体积分数不超过阴极催化层孔隙率；电压位于 0 至 1.5 V；输出不存在 NaN 或无穷值；步内耦合迭代不超过上限。留出结果表明线性冰覆盖修正对两个温度均有效，没有出现只改善单一工况的情况。</w:t>
      </w:r>
    </w:p>
    <w:p>
      <w:pPr>
        <w:pStyle w:val="Heading1"/>
      </w:pPr>
      <w:r>
        <w:t>11 模型适用范围与实验需求</w:t>
      </w:r>
    </w:p>
    <w:p>
      <w:pPr>
        <w:ind w:firstLine="420"/>
      </w:pPr>
      <w:r>
        <w:t>当前模型只由电流密度、端电压和平均温度约束。它能够用于本题问题一的电压和平均温升预测，也可用于比较相近工况下的升载方案。下列量仍属于模型内部预测：各层温度、液水与冰质量、冰饱和度、膜含水量和阳极失水状态。若要把这些状态参数解释为真实物理量，需要增加高频阻抗或膜电阻、出口水量、局部温度以及原位冰成像数据。</w:t>
      </w:r>
    </w:p>
    <w:p>
      <w:pPr>
        <w:ind w:firstLine="420"/>
      </w:pPr>
      <w:r>
        <w:t>冻结过程还可能包含过冷水的随机成核。现有确定性一阶冻结模型适合重复实验的平均趋势，但不描述小面积电池中单次冷启动的随机失效时间。后续若获得多次重复试验，可把 kf 改为温度相关的随机危险率，并用失效时间分布而非单条电压曲线校准。</w:t>
      </w:r>
    </w:p>
    <w:p>
      <w:pPr>
        <w:pStyle w:val="Heading1"/>
      </w:pPr>
      <w:r>
        <w:t>参考文献</w:t>
      </w:r>
    </w:p>
    <w:p>
      <w:pPr>
        <w:spacing w:after="80"/>
        <w:ind w:left="300" w:hanging="300"/>
      </w:pPr>
      <w:r>
        <w:t>[1] Jiao K, Li X. Three-dimensional multiphase modeling of cold start processes in polymer electrolyte membrane fuel cells. Electrochimica Acta, 2009, 54: 6876–6891.</w:t>
      </w:r>
    </w:p>
    <w:p>
      <w:pPr>
        <w:spacing w:after="80"/>
        <w:ind w:left="300" w:hanging="300"/>
      </w:pPr>
      <w:r>
        <w:t>[2] Yao L, Ma F, Peng J, Zhang J, Zhang Y, Shi J. Analysis of the Failure Modes in the Polymer Electrolyte Fuel Cell Cold-Start Process—Anode Dehydration or Cathode Pore Blockage. Energies, 2020, 13: 256.</w:t>
      </w:r>
    </w:p>
    <w:p>
      <w:pPr>
        <w:spacing w:after="80"/>
        <w:ind w:left="300" w:hanging="300"/>
      </w:pPr>
      <w:r>
        <w:t>[3] Luo Y, Jiao K. Cold start of proton exchange membrane fuel cell. Progress in Energy and Combustion Science, 2017. DOI: 10.1016/j.pecs.2017.10.003.</w:t>
      </w:r>
    </w:p>
    <w:p>
      <w:pPr>
        <w:spacing w:after="80"/>
        <w:ind w:left="300" w:hanging="300"/>
      </w:pPr>
      <w:r>
        <w:t>[4] Zhou Y, Luo Y, Yu S, Jiao K. Modeling of cold start processes and performance optimization for proton exchange membrane fuel cell stacks. Journal of Power Sources, 2014, 247: 738–748.</w:t>
      </w:r>
    </w:p>
    <w:p>
      <w:pPr>
        <w:spacing w:after="80"/>
        <w:ind w:left="300" w:hanging="300"/>
      </w:pPr>
      <w:r>
        <w:t>[5] 陈政等. 一维 PEMFC 低温冷启动瞬态模型研究. 用户提供文献.</w:t>
      </w:r>
    </w:p>
    <w:sectPr w:rsidR="00FC693F" w:rsidRPr="0006063C" w:rsidSect="00034616">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问题一  PEMFC 低温冷启动详细耦合模型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0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黑体" w:hAnsi="黑体"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黑体" w:hAnsi="黑体" w:eastAsia="黑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黑体" w:hAnsi="黑体" w:eastAsia="黑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黑体" w:hAnsi="黑体" w:eastAsia="黑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问题一 PEMFC 低温冷启动详细耦合模型</dc:title>
  <dc:subject>模型建立 数值求解 参数辨识 留出验证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