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Dossier de conception : MémoireS du Nord</w:t>
      </w:r>
    </w:p>
    <w:p>
      <w:pPr/>
      <w:r>
        <w:t xml:space="preserve">ZRA et Bambe Kennedy · Institut des Beaux-Arts et de l'Innovation (IBAI), Université de Garoua · UE « Hypermédia et Web Sémantique », Master 1 Arts et Humanités · Octobre 2026</w:t>
      </w:r>
    </w:p>
    <w:p>
      <w:pPr>
        <w:pStyle w:val="Heading2"/>
      </w:pPr>
      <w:r>
        <w:t xml:space="preserve">1. Objet</w:t>
      </w:r>
    </w:p>
    <w:p>
      <w:pPr/>
      <w:r>
        <w:t xml:space="preserve">Ce dossier décrit les choix de conception du projet : modèle de données, URI, architecture, alignements, requêtes, prototype hypermédia et droits. Il prolonge la note de cadrage et correspond à l'étape 2 du plan. État au 13 octobre 2026 : un premier jet existe pour le graphe (</w:t>
      </w:r>
      <w:r>
        <w:rPr>
          <w:rStyle w:val="CodeChar"/>
        </w:rPr>
        <w:t xml:space="preserve">archive.ttl</w:t>
      </w:r>
      <w:r>
        <w:t xml:space="preserve">), les 5 requêtes, les 9 pages du prototype et un exemple d'annotations. Plusieurs données restent à sourcer (section 10).</w:t>
      </w:r>
    </w:p>
    <w:p>
      <w:pPr>
        <w:pStyle w:val="Heading2"/>
      </w:pPr>
      <w:r>
        <w:t xml:space="preserve">2. Modèle de données</w:t>
      </w:r>
    </w:p>
    <w:p>
      <w:pPr>
        <w:pStyle w:val="Heading3"/>
      </w:pPr>
      <w:r>
        <w:t xml:space="preserve">2.1 Entités et classes</w:t>
      </w:r>
    </w:p>
    <w:p>
      <w:pPr/>
      <w:r>
        <w:t xml:space="preserve">Le corpus compte 22 entités, rangées dans des classes locales (préfixe </w:t>
      </w:r>
      <w:r>
        <w:rPr>
          <w:rStyle w:val="CodeChar"/>
        </w:rPr>
        <w:t xml:space="preserve">mv:</w:t>
      </w:r>
      <w:r>
        <w:t xml:space="preserve">) rattachées à des classes standard :</w:t>
      </w:r>
    </w:p>
    <w:p>
      <w:pPr>
        <w:pStyle w:val="ListParagraph"/>
        <w:numPr>
          <w:ilvl w:val="0"/>
          <w:numId w:val="2"/>
        </w:numPr>
      </w:pPr>
      <w:r>
        <w:rPr>
          <w:rStyle w:val="CodeChar"/>
        </w:rPr>
        <w:t xml:space="preserve">mv:Peuple</w:t>
      </w:r>
      <w:r>
        <w:t xml:space="preserve">, sous-classe de </w:t>
      </w:r>
      <w:r>
        <w:rPr>
          <w:rStyle w:val="CodeChar"/>
        </w:rPr>
        <w:t xml:space="preserve">foaf:Group</w:t>
      </w:r>
      <w:r>
        <w:t xml:space="preserve"> : Kapsiki, Mafa, Fulbe.</w:t>
      </w:r>
    </w:p>
    <w:p>
      <w:pPr>
        <w:pStyle w:val="ListParagraph"/>
        <w:numPr>
          <w:ilvl w:val="0"/>
          <w:numId w:val="2"/>
        </w:numPr>
      </w:pPr>
      <w:r>
        <w:rPr>
          <w:rStyle w:val="CodeChar"/>
        </w:rPr>
        <w:t xml:space="preserve">mv:Langue</w:t>
      </w:r>
      <w:r>
        <w:t xml:space="preserve">, sous-classe de </w:t>
      </w:r>
      <w:r>
        <w:rPr>
          <w:rStyle w:val="CodeChar"/>
        </w:rPr>
        <w:t xml:space="preserve">dct:LinguisticSystem</w:t>
      </w:r>
      <w:r>
        <w:t xml:space="preserve"> : Psikyɛ, Fulfulde.</w:t>
      </w:r>
    </w:p>
    <w:p>
      <w:pPr>
        <w:pStyle w:val="ListParagraph"/>
        <w:numPr>
          <w:ilvl w:val="0"/>
          <w:numId w:val="2"/>
        </w:numPr>
      </w:pPr>
      <w:r>
        <w:rPr>
          <w:rStyle w:val="CodeChar"/>
        </w:rPr>
        <w:t xml:space="preserve">mv:Site</w:t>
      </w:r>
      <w:r>
        <w:t xml:space="preserve">, sous-classe de </w:t>
      </w:r>
      <w:r>
        <w:rPr>
          <w:rStyle w:val="CodeChar"/>
        </w:rPr>
        <w:t xml:space="preserve">schema:Place</w:t>
      </w:r>
      <w:r>
        <w:t xml:space="preserve"> : Diy-Gid-Biy, Rhumsiki, Lamidat de Garoua.</w:t>
      </w:r>
    </w:p>
    <w:p>
      <w:pPr>
        <w:pStyle w:val="ListParagraph"/>
        <w:numPr>
          <w:ilvl w:val="0"/>
          <w:numId w:val="2"/>
        </w:numPr>
      </w:pPr>
      <w:r>
        <w:rPr>
          <w:rStyle w:val="CodeChar"/>
        </w:rPr>
        <w:t xml:space="preserve">mv:Lieu</w:t>
      </w:r>
      <w:r>
        <w:t xml:space="preserve">, sous-classe de </w:t>
      </w:r>
      <w:r>
        <w:rPr>
          <w:rStyle w:val="CodeChar"/>
        </w:rPr>
        <w:t xml:space="preserve">schema:Place</w:t>
      </w:r>
      <w:r>
        <w:t xml:space="preserve"> : Monts Mandara, Garoua, Bibemi, Cameroun.</w:t>
      </w:r>
    </w:p>
    <w:p>
      <w:pPr>
        <w:pStyle w:val="ListParagraph"/>
        <w:numPr>
          <w:ilvl w:val="0"/>
          <w:numId w:val="2"/>
        </w:numPr>
      </w:pPr>
      <w:r>
        <w:rPr>
          <w:rStyle w:val="CodeChar"/>
        </w:rPr>
        <w:t xml:space="preserve">mv:RecueilDeContes</w:t>
      </w:r>
      <w:r>
        <w:t xml:space="preserve">, sous-classe de </w:t>
      </w:r>
      <w:r>
        <w:rPr>
          <w:rStyle w:val="CodeChar"/>
        </w:rPr>
        <w:t xml:space="preserve">edm:ProvidedCHO</w:t>
      </w:r>
      <w:r>
        <w:t xml:space="preserve"> : Contes de Goggo Addi.</w:t>
      </w:r>
    </w:p>
    <w:p>
      <w:pPr>
        <w:pStyle w:val="ListParagraph"/>
        <w:numPr>
          <w:ilvl w:val="0"/>
          <w:numId w:val="2"/>
        </w:numPr>
      </w:pPr>
      <w:r>
        <w:rPr>
          <w:rStyle w:val="CodeChar"/>
        </w:rPr>
        <w:t xml:space="preserve">mv:Rituel</w:t>
      </w:r>
      <w:r>
        <w:t xml:space="preserve"> et </w:t>
      </w:r>
      <w:r>
        <w:rPr>
          <w:rStyle w:val="CodeChar"/>
        </w:rPr>
        <w:t xml:space="preserve">mv:Fete</w:t>
      </w:r>
      <w:r>
        <w:t xml:space="preserve">, sous-classes de </w:t>
      </w:r>
      <w:r>
        <w:rPr>
          <w:rStyle w:val="CodeChar"/>
        </w:rPr>
        <w:t xml:space="preserve">schema:Event</w:t>
      </w:r>
      <w:r>
        <w:t xml:space="preserve"> : rituels mafa ; Msla, Goalala, Maray.</w:t>
      </w:r>
    </w:p>
    <w:p>
      <w:pPr>
        <w:pStyle w:val="ListParagraph"/>
        <w:numPr>
          <w:ilvl w:val="0"/>
          <w:numId w:val="2"/>
        </w:numPr>
      </w:pPr>
      <w:r>
        <w:rPr>
          <w:rStyle w:val="CodeChar"/>
        </w:rPr>
        <w:t xml:space="preserve">mv:Instrument</w:t>
      </w:r>
      <w:r>
        <w:t xml:space="preserve"> : balafon, tambour d'eau, corne-flûte.</w:t>
      </w:r>
    </w:p>
    <w:p>
      <w:pPr>
        <w:pStyle w:val="ListParagraph"/>
        <w:numPr>
          <w:ilvl w:val="0"/>
          <w:numId w:val="2"/>
        </w:numPr>
      </w:pPr>
      <w:r>
        <w:rPr>
          <w:rStyle w:val="CodeChar"/>
        </w:rPr>
        <w:t xml:space="preserve">foaf:Person</w:t>
      </w:r>
      <w:r>
        <w:t xml:space="preserve"> : Goggo Addi, Ursula Baumgardt.</w:t>
      </w:r>
    </w:p>
    <w:p>
      <w:pPr/>
      <w:r>
        <w:t xml:space="preserve">Ces classes locales servent la question QC5 (comptage par catégorie).</w:t>
      </w:r>
    </w:p>
    <w:p>
      <w:pPr>
        <w:pStyle w:val="Heading3"/>
      </w:pPr>
      <w:r>
        <w:t xml:space="preserve">2.2 Décisions de modélisation</w:t>
      </w:r>
    </w:p>
    <w:p>
      <w:pPr>
        <w:pStyle w:val="ListParagraph"/>
        <w:numPr>
          <w:ilvl w:val="0"/>
          <w:numId w:val="3"/>
        </w:numPr>
      </w:pPr>
      <w:r>
        <w:rPr>
          <w:b/>
        </w:rPr>
        <w:t xml:space="preserve">Goggo Addi est une personne</w:t>
      </w:r>
      <w:r>
        <w:t xml:space="preserve"> (conteuse peule, née en 1911 à Bibemi, morte en novembre 1999 à Garoua). Le recueil est une entité distincte, reliée par </w:t>
      </w:r>
      <w:r>
        <w:rPr>
          <w:rStyle w:val="CodeChar"/>
        </w:rPr>
        <w:t xml:space="preserve">dct:creator</w:t>
      </w:r>
      <w:r>
        <w:t xml:space="preserve"> (Goggo Addi) et par </w:t>
      </w:r>
      <w:r>
        <w:rPr>
          <w:rStyle w:val="CodeChar"/>
        </w:rPr>
        <w:t xml:space="preserve">dct:contributor</w:t>
      </w:r>
      <w:r>
        <w:t xml:space="preserve"> et </w:t>
      </w:r>
      <w:r>
        <w:rPr>
          <w:rStyle w:val="CodeChar"/>
        </w:rPr>
        <w:t xml:space="preserve">prov:wasAttributedTo</w:t>
      </w:r>
      <w:r>
        <w:t xml:space="preserve"> (Ursula Baumgardt, qui a enregistré et fait transcrire les contes entre 1985 et 1989). Cela permet à QC1 de répondre à « collectés par qui ? ».</w:t>
      </w:r>
    </w:p>
    <w:p>
      <w:pPr>
        <w:pStyle w:val="ListParagraph"/>
        <w:numPr>
          <w:ilvl w:val="0"/>
          <w:numId w:val="3"/>
        </w:numPr>
      </w:pPr>
      <w:r>
        <w:rPr>
          <w:b/>
        </w:rPr>
        <w:t xml:space="preserve">Goge et Garaya sont retirés du corpus</w:t>
      </w:r>
      <w:r>
        <w:t xml:space="preserve"> : la source consultée ne les rattache pas au Nord-Cameroun.</w:t>
      </w:r>
    </w:p>
    <w:p>
      <w:pPr>
        <w:pStyle w:val="ListParagraph"/>
        <w:numPr>
          <w:ilvl w:val="0"/>
          <w:numId w:val="3"/>
        </w:numPr>
      </w:pPr>
      <w:r>
        <w:rPr>
          <w:b/>
        </w:rPr>
        <w:t xml:space="preserve">Aucun conte d'un autre peuple n'est ajouté</w:t>
      </w:r>
      <w:r>
        <w:t xml:space="preserve"> faute de source fiable.</w:t>
      </w:r>
    </w:p>
    <w:p>
      <w:pPr>
        <w:pStyle w:val="ListParagraph"/>
        <w:numPr>
          <w:ilvl w:val="0"/>
          <w:numId w:val="3"/>
        </w:numPr>
      </w:pPr>
      <w:r>
        <w:rPr>
          <w:b/>
        </w:rPr>
        <w:t xml:space="preserve">Les périodes des sites</w:t>
      </w:r>
      <w:r>
        <w:t xml:space="preserve"> sont notées par deux entiers (</w:t>
      </w:r>
      <w:r>
        <w:rPr>
          <w:rStyle w:val="CodeChar"/>
        </w:rPr>
        <w:t xml:space="preserve">mv:siecleDebut</w:t>
      </w:r>
      <w:r>
        <w:t xml:space="preserve">, </w:t>
      </w:r>
      <w:r>
        <w:rPr>
          <w:rStyle w:val="CodeChar"/>
        </w:rPr>
        <w:t xml:space="preserve">mv:siecleFin</w:t>
      </w:r>
      <w:r>
        <w:t xml:space="preserve">) pour pouvoir les comparer en SPARQL (QC3). Seul Diy-Gid-Biy en porte une (XIIe au XVIIe siècle, à sourcer).</w:t>
      </w:r>
    </w:p>
    <w:p>
      <w:pPr>
        <w:pStyle w:val="ListParagraph"/>
        <w:numPr>
          <w:ilvl w:val="0"/>
          <w:numId w:val="3"/>
        </w:numPr>
      </w:pPr>
      <w:r>
        <w:rPr>
          <w:b/>
        </w:rPr>
        <w:t xml:space="preserve">Le nombre de locuteurs</w:t>
      </w:r>
      <w:r>
        <w:t xml:space="preserve"> est rattaché à la langue Psikyɛ et non au peuple kapsiki.</w:t>
      </w:r>
    </w:p>
    <w:p>
      <w:pPr>
        <w:pStyle w:val="Heading3"/>
      </w:pPr>
      <w:r>
        <w:t xml:space="preserve">2.3 Propriétés</w:t>
      </w:r>
    </w:p>
    <w:p>
      <w:pPr>
        <w:pStyle w:val="ListParagraph"/>
        <w:numPr>
          <w:ilvl w:val="0"/>
          <w:numId w:val="4"/>
        </w:numPr>
      </w:pPr>
      <w:r>
        <w:t xml:space="preserve">Réutilisées : </w:t>
      </w:r>
      <w:r>
        <w:rPr>
          <w:rStyle w:val="CodeChar"/>
        </w:rPr>
        <w:t xml:space="preserve">dct:language</w:t>
      </w:r>
      <w:r>
        <w:t xml:space="preserve">, </w:t>
      </w:r>
      <w:r>
        <w:rPr>
          <w:rStyle w:val="CodeChar"/>
        </w:rPr>
        <w:t xml:space="preserve">dct:spatial</w:t>
      </w:r>
      <w:r>
        <w:t xml:space="preserve">, </w:t>
      </w:r>
      <w:r>
        <w:rPr>
          <w:rStyle w:val="CodeChar"/>
        </w:rPr>
        <w:t xml:space="preserve">dct:relation</w:t>
      </w:r>
      <w:r>
        <w:t xml:space="preserve">, </w:t>
      </w:r>
      <w:r>
        <w:rPr>
          <w:rStyle w:val="CodeChar"/>
        </w:rPr>
        <w:t xml:space="preserve">dct:creator</w:t>
      </w:r>
      <w:r>
        <w:t xml:space="preserve">, </w:t>
      </w:r>
      <w:r>
        <w:rPr>
          <w:rStyle w:val="CodeChar"/>
        </w:rPr>
        <w:t xml:space="preserve">dct:contributor</w:t>
      </w:r>
      <w:r>
        <w:t xml:space="preserve">, </w:t>
      </w:r>
      <w:r>
        <w:rPr>
          <w:rStyle w:val="CodeChar"/>
        </w:rPr>
        <w:t xml:space="preserve">dct:temporal</w:t>
      </w:r>
      <w:r>
        <w:t xml:space="preserve">, </w:t>
      </w:r>
      <w:r>
        <w:rPr>
          <w:rStyle w:val="CodeChar"/>
        </w:rPr>
        <w:t xml:space="preserve">schema:containedInPlace</w:t>
      </w:r>
      <w:r>
        <w:t xml:space="preserve">, </w:t>
      </w:r>
      <w:r>
        <w:rPr>
          <w:rStyle w:val="CodeChar"/>
        </w:rPr>
        <w:t xml:space="preserve">schema:birthPlace</w:t>
      </w:r>
      <w:r>
        <w:t xml:space="preserve">, </w:t>
      </w:r>
      <w:r>
        <w:rPr>
          <w:rStyle w:val="CodeChar"/>
        </w:rPr>
        <w:t xml:space="preserve">schema:deathPlace</w:t>
      </w:r>
      <w:r>
        <w:t xml:space="preserve">, </w:t>
      </w:r>
      <w:r>
        <w:rPr>
          <w:rStyle w:val="CodeChar"/>
        </w:rPr>
        <w:t xml:space="preserve">prov:wasAttributedTo</w:t>
      </w:r>
      <w:r>
        <w:t xml:space="preserve">, </w:t>
      </w:r>
      <w:r>
        <w:rPr>
          <w:rStyle w:val="CodeChar"/>
        </w:rPr>
        <w:t xml:space="preserve">skos:prefLabel</w:t>
      </w:r>
      <w:r>
        <w:t xml:space="preserve">, </w:t>
      </w:r>
      <w:r>
        <w:rPr>
          <w:rStyle w:val="CodeChar"/>
        </w:rPr>
        <w:t xml:space="preserve">skos:altLabel</w:t>
      </w:r>
      <w:r>
        <w:t xml:space="preserve">, </w:t>
      </w:r>
      <w:r>
        <w:rPr>
          <w:rStyle w:val="CodeChar"/>
        </w:rPr>
        <w:t xml:space="preserve">skos:scopeNote</w:t>
      </w:r>
      <w:r>
        <w:t xml:space="preserve">.</w:t>
      </w:r>
    </w:p>
    <w:p>
      <w:pPr>
        <w:pStyle w:val="ListParagraph"/>
        <w:numPr>
          <w:ilvl w:val="0"/>
          <w:numId w:val="4"/>
        </w:numPr>
      </w:pPr>
      <w:r>
        <w:t xml:space="preserve">Locales : </w:t>
      </w:r>
      <w:r>
        <w:rPr>
          <w:rStyle w:val="CodeChar"/>
        </w:rPr>
        <w:t xml:space="preserve">mv:associeAuPeuple</w:t>
      </w:r>
      <w:r>
        <w:t xml:space="preserve">, </w:t>
      </w:r>
      <w:r>
        <w:rPr>
          <w:rStyle w:val="CodeChar"/>
        </w:rPr>
        <w:t xml:space="preserve">mv:pratiquePar</w:t>
      </w:r>
      <w:r>
        <w:t xml:space="preserve">, </w:t>
      </w:r>
      <w:r>
        <w:rPr>
          <w:rStyle w:val="CodeChar"/>
        </w:rPr>
        <w:t xml:space="preserve">mv:siecleDebut</w:t>
      </w:r>
      <w:r>
        <w:t xml:space="preserve">, </w:t>
      </w:r>
      <w:r>
        <w:rPr>
          <w:rStyle w:val="CodeChar"/>
        </w:rPr>
        <w:t xml:space="preserve">mv:siecleFin</w:t>
      </w:r>
      <w:r>
        <w:t xml:space="preserve">, </w:t>
      </w:r>
      <w:r>
        <w:rPr>
          <w:rStyle w:val="CodeChar"/>
        </w:rPr>
        <w:t xml:space="preserve">mv:inscritUnesco</w:t>
      </w:r>
      <w:r>
        <w:t xml:space="preserve">, </w:t>
      </w:r>
      <w:r>
        <w:rPr>
          <w:rStyle w:val="CodeChar"/>
        </w:rPr>
        <w:t xml:space="preserve">mv:critereUnesco</w:t>
      </w:r>
      <w:r>
        <w:t xml:space="preserve">.</w:t>
      </w:r>
    </w:p>
    <w:p>
      <w:pPr>
        <w:pStyle w:val="ListParagraph"/>
        <w:numPr>
          <w:ilvl w:val="0"/>
          <w:numId w:val="4"/>
        </w:numPr>
      </w:pPr>
      <w:r>
        <w:t xml:space="preserve">Prévues mais non peuplées : </w:t>
      </w:r>
      <w:r>
        <w:rPr>
          <w:rStyle w:val="CodeChar"/>
        </w:rPr>
        <w:t xml:space="preserve">mv:jouePendant</w:t>
      </w:r>
      <w:r>
        <w:t xml:space="preserve"> et </w:t>
      </w:r>
      <w:r>
        <w:rPr>
          <w:rStyle w:val="CodeChar"/>
        </w:rPr>
        <w:t xml:space="preserve">mv:joueParPeuple</w:t>
      </w:r>
      <w:r>
        <w:t xml:space="preserve"> (QC2), en attente d'une source.</w:t>
      </w:r>
    </w:p>
    <w:p>
      <w:pPr>
        <w:pStyle w:val="ListParagraph"/>
        <w:numPr>
          <w:ilvl w:val="0"/>
          <w:numId w:val="4"/>
        </w:numPr>
      </w:pPr>
      <w:r>
        <w:t xml:space="preserve">Point faible assumé : </w:t>
      </w:r>
      <w:r>
        <w:rPr>
          <w:rStyle w:val="CodeChar"/>
        </w:rPr>
        <w:t xml:space="preserve">dct:relation</w:t>
      </w:r>
      <w:r>
        <w:t xml:space="preserve"> est très générique. Il sera remplacé par des relations plus précises si les sources le permettent.</w:t>
      </w:r>
    </w:p>
    <w:p>
      <w:pPr>
        <w:pStyle w:val="Heading3"/>
      </w:pPr>
      <w:r>
        <w:t xml:space="preserve">2.4 Vocabulaires</w:t>
      </w:r>
    </w:p>
    <w:p>
      <w:pPr/>
      <w:r>
        <w:t xml:space="preserve">Le noyau retenu est DCTerms, FOAF, SKOS, schema.org, PROV-O, Europeana Data Model (pour le recueil) et WGS84 (coordonnées à venir). CIDOC-CRM reste une option pour les objets patrimoniaux mais n'est pas utilisé dans le premier jet. Dix vocabulaires pour une centaine de triplets surchargeraient le modèle. Web Annotation et Media Fragments couvrent les médias.</w:t>
      </w:r>
    </w:p>
    <w:p>
      <w:pPr>
        <w:pStyle w:val="Heading2"/>
      </w:pPr>
      <w:r>
        <w:t xml:space="preserve">3. URI et Linked Data</w:t>
      </w:r>
    </w:p>
    <w:p>
      <w:pPr>
        <w:pStyle w:val="ListParagraph"/>
        <w:numPr>
          <w:ilvl w:val="0"/>
          <w:numId w:val="5"/>
        </w:numPr>
      </w:pPr>
      <w:r>
        <w:t xml:space="preserve">Schéma : </w:t>
      </w:r>
      <w:r>
        <w:rPr>
          <w:rStyle w:val="CodeChar"/>
        </w:rPr>
        <w:t xml:space="preserve">http://memoria-nord.cm/id/{type}/{slug}</w:t>
      </w:r>
      <w:r>
        <w:t xml:space="preserve"> pour la chose, </w:t>
      </w:r>
      <w:r>
        <w:rPr>
          <w:rStyle w:val="CodeChar"/>
        </w:rPr>
        <w:t xml:space="preserve">/page/</w:t>
      </w:r>
      <w:r>
        <w:t xml:space="preserve"> pour la page HTML, </w:t>
      </w:r>
      <w:r>
        <w:rPr>
          <w:rStyle w:val="CodeChar"/>
        </w:rPr>
        <w:t xml:space="preserve">/data/</w:t>
      </w:r>
      <w:r>
        <w:t xml:space="preserve"> pour les données RDF.</w:t>
      </w:r>
    </w:p>
    <w:p>
      <w:pPr>
        <w:pStyle w:val="ListParagraph"/>
        <w:numPr>
          <w:ilvl w:val="0"/>
          <w:numId w:val="5"/>
        </w:numPr>
      </w:pPr>
      <w:r>
        <w:t xml:space="preserve">Une URI </w:t>
      </w:r>
      <w:r>
        <w:rPr>
          <w:rStyle w:val="CodeChar"/>
        </w:rPr>
        <w:t xml:space="preserve">/id/</w:t>
      </w:r>
      <w:r>
        <w:t xml:space="preserve"> identifie une chose du monde réel : elle ne renvoie pas directement la page, mais une redirection 303 vers </w:t>
      </w:r>
      <w:r>
        <w:rPr>
          <w:rStyle w:val="CodeChar"/>
        </w:rPr>
        <w:t xml:space="preserve">/page/</w:t>
      </w:r>
      <w:r>
        <w:t xml:space="preserve"> (si le client demande du HTML) ou vers </w:t>
      </w:r>
      <w:r>
        <w:rPr>
          <w:rStyle w:val="CodeChar"/>
        </w:rPr>
        <w:t xml:space="preserve">/data/</w:t>
      </w:r>
      <w:r>
        <w:t xml:space="preserve"> (s'il demande du Turtle).</w:t>
      </w:r>
    </w:p>
    <w:p>
      <w:pPr>
        <w:pStyle w:val="ListParagraph"/>
        <w:numPr>
          <w:ilvl w:val="0"/>
          <w:numId w:val="5"/>
        </w:numPr>
      </w:pPr>
      <w:r>
        <w:t xml:space="preserve">Le domaine est fictif et Fuseki seul ne gère pas le 303 : un mini-serveur local (Flask ou </w:t>
      </w:r>
      <w:r>
        <w:rPr>
          <w:rStyle w:val="CodeChar"/>
        </w:rPr>
        <w:t xml:space="preserve">.htaccess</w:t>
      </w:r>
      <w:r>
        <w:t xml:space="preserve">) simulera la redirection.</w:t>
      </w:r>
    </w:p>
    <w:p>
      <w:pPr>
        <w:pStyle w:val="ListParagraph"/>
        <w:numPr>
          <w:ilvl w:val="0"/>
          <w:numId w:val="5"/>
        </w:numPr>
      </w:pPr>
      <w:r>
        <w:t xml:space="preserve">Le vocabulaire local (</w:t>
      </w:r>
      <w:r>
        <w:rPr>
          <w:rStyle w:val="CodeChar"/>
        </w:rPr>
        <w:t xml:space="preserve">http://memoria-nord.cm/vocab#</w:t>
      </w:r>
      <w:r>
        <w:t xml:space="preserve">) n'est pas encore déréférençable. Ses classes et propriétés seront déclarées dans l'ontologie sous Protégé.</w:t>
      </w:r>
    </w:p>
    <w:p>
      <w:pPr>
        <w:pStyle w:val="Heading2"/>
      </w:pPr>
      <w:r>
        <w:t xml:space="preserve">4. Architecture en quatre couches</w:t>
      </w:r>
    </w:p>
    <w:p>
      <w:pPr>
        <w:pStyle w:val="ListParagraph"/>
        <w:numPr>
          <w:ilvl w:val="0"/>
          <w:numId w:val="6"/>
        </w:numPr>
      </w:pPr>
      <w:r>
        <w:rPr>
          <w:b/>
        </w:rPr>
        <w:t xml:space="preserve">Couche 1, données</w:t>
      </w:r>
      <w:r>
        <w:t xml:space="preserve"> : </w:t>
      </w:r>
      <w:r>
        <w:rPr>
          <w:rStyle w:val="CodeChar"/>
        </w:rPr>
        <w:t xml:space="preserve">archive.ttl</w:t>
      </w:r>
      <w:r>
        <w:t xml:space="preserve">, alignements externes et annotations médias.</w:t>
      </w:r>
    </w:p>
    <w:p>
      <w:pPr>
        <w:pStyle w:val="ListParagraph"/>
        <w:numPr>
          <w:ilvl w:val="0"/>
          <w:numId w:val="6"/>
        </w:numPr>
      </w:pPr>
      <w:r>
        <w:rPr>
          <w:b/>
        </w:rPr>
        <w:t xml:space="preserve">Couche 2, accès</w:t>
      </w:r>
      <w:r>
        <w:t xml:space="preserve"> : serveur Apache Jena Fuseki local, mini-serveur 303, cache JSON facultatif, et Wikidata comme service externe interrogé par </w:t>
      </w:r>
      <w:r>
        <w:rPr>
          <w:rStyle w:val="CodeChar"/>
        </w:rPr>
        <w:t xml:space="preserve">SERVICE</w:t>
      </w:r>
      <w:r>
        <w:t xml:space="preserve">.</w:t>
      </w:r>
    </w:p>
    <w:p>
      <w:pPr>
        <w:pStyle w:val="ListParagraph"/>
        <w:numPr>
          <w:ilvl w:val="0"/>
          <w:numId w:val="6"/>
        </w:numPr>
      </w:pPr>
      <w:r>
        <w:rPr>
          <w:b/>
        </w:rPr>
        <w:t xml:space="preserve">Couche 3, logique</w:t>
      </w:r>
      <w:r>
        <w:t xml:space="preserve"> : liens contextuels, parcours adaptatif et assemblage des fiches par SPARQL.</w:t>
      </w:r>
    </w:p>
    <w:p>
      <w:pPr>
        <w:pStyle w:val="ListParagraph"/>
        <w:numPr>
          <w:ilvl w:val="0"/>
          <w:numId w:val="6"/>
        </w:numPr>
      </w:pPr>
      <w:r>
        <w:rPr>
          <w:b/>
        </w:rPr>
        <w:t xml:space="preserve">Couche 4, présentation</w:t>
      </w:r>
      <w:r>
        <w:t xml:space="preserve"> : HTML/CSS, Leaflet, YASGUI, JSON-LD.</w:t>
      </w:r>
    </w:p>
    <w:p>
      <w:pPr/>
      <w:r>
        <w:t xml:space="preserve">Les requêtes descendent de la présentation vers les données, et les résultats remontent. Figure 1 : schéma des quatre couches (à insérer).</w:t>
      </w:r>
    </w:p>
    <w:p>
      <w:pPr>
        <w:pStyle w:val="Heading2"/>
      </w:pPr>
      <w:r>
        <w:t xml:space="preserve">5. Alignements</w:t>
      </w:r>
    </w:p>
    <w:p>
      <w:pPr/>
      <w:r>
        <w:t xml:space="preserve">Règle : </w:t>
      </w:r>
      <w:r>
        <w:rPr>
          <w:rStyle w:val="CodeChar"/>
        </w:rPr>
        <w:t xml:space="preserve">owl:sameAs</w:t>
      </w:r>
      <w:r>
        <w:t xml:space="preserve"> pour les individus (lieux, sites, personnes), </w:t>
      </w:r>
      <w:r>
        <w:rPr>
          <w:rStyle w:val="CodeChar"/>
        </w:rPr>
        <w:t xml:space="preserve">skos:exactMatch</w:t>
      </w:r>
      <w:r>
        <w:t xml:space="preserve"> pour les concepts (langues, peuples, instruments), </w:t>
      </w:r>
      <w:r>
        <w:rPr>
          <w:rStyle w:val="CodeChar"/>
        </w:rPr>
        <w:t xml:space="preserve">skos:closeMatch</w:t>
      </w:r>
      <w:r>
        <w:t xml:space="preserve"> pour une correspondance approximative.</w:t>
      </w:r>
    </w:p>
    <w:p>
      <w:pPr/>
      <w:r>
        <w:t xml:space="preserve">L'objectif est d'au moins 10 alignements vérifiés. Six identifiants Wikidata viennent du briefing, aucun n'est encore vérifié : Psikyɛ, Fulfulde, Fulbe, balafon, Cameroun et Garoua. Pour le Cameroun, l'identifiant retenu est Q1009, car Q1000 désigne probablement le Gabon (à confirmer sur wikidata.org). Sept alignements restent à rechercher : Kapsiki, Mafa, Monts Mandara, Rhumsiki, Diy-Gid-Biy, ainsi que GeoNames pour Garoua et les Monts Mandara.</w:t>
      </w:r>
    </w:p>
    <w:p>
      <w:pPr/>
      <w:r>
        <w:t xml:space="preserve">Procédure : seuls les alignements marqués comme vérifiés entrent dans le graphe. Les autres sont gardés dans un fichier séparé jusqu'à contrôle.</w:t>
      </w:r>
    </w:p>
    <w:p>
      <w:pPr>
        <w:pStyle w:val="Heading2"/>
      </w:pPr>
      <w:r>
        <w:t xml:space="preserve">6. Questions de compétence et requêtes</w:t>
      </w:r>
    </w:p>
    <w:p>
      <w:pPr>
        <w:pStyle w:val="ListParagraph"/>
        <w:numPr>
          <w:ilvl w:val="0"/>
          <w:numId w:val="7"/>
        </w:numPr>
      </w:pPr>
      <w:r>
        <w:rPr>
          <w:b/>
        </w:rPr>
        <w:t xml:space="preserve">QC1</w:t>
      </w:r>
      <w:r>
        <w:t xml:space="preserve"> (contes, peuple, langue, collectrice) : réalisable.</w:t>
      </w:r>
    </w:p>
    <w:p>
      <w:pPr>
        <w:pStyle w:val="ListParagraph"/>
        <w:numPr>
          <w:ilvl w:val="0"/>
          <w:numId w:val="7"/>
        </w:numPr>
      </w:pPr>
      <w:r>
        <w:rPr>
          <w:b/>
        </w:rPr>
        <w:t xml:space="preserve">QC2</w:t>
      </w:r>
      <w:r>
        <w:t xml:space="preserve"> (instruments, rituels ou fêtes, peuples) : requête écrite, mais sans résultat tant que la source manque.</w:t>
      </w:r>
    </w:p>
    <w:p>
      <w:pPr>
        <w:pStyle w:val="ListParagraph"/>
        <w:numPr>
          <w:ilvl w:val="0"/>
          <w:numId w:val="7"/>
        </w:numPr>
      </w:pPr>
      <w:r>
        <w:rPr>
          <w:b/>
        </w:rPr>
        <w:t xml:space="preserve">QC3</w:t>
      </w:r>
      <w:r>
        <w:t xml:space="preserve"> (sites des Monts Mandara et période) : réalisable, avec un </w:t>
      </w:r>
      <w:r>
        <w:rPr>
          <w:rStyle w:val="CodeChar"/>
        </w:rPr>
        <w:t xml:space="preserve">OPTIONAL</w:t>
      </w:r>
      <w:r>
        <w:t xml:space="preserve"> car seul Diy-Gid-Biy a une période.</w:t>
      </w:r>
    </w:p>
    <w:p>
      <w:pPr>
        <w:pStyle w:val="ListParagraph"/>
        <w:numPr>
          <w:ilvl w:val="0"/>
          <w:numId w:val="7"/>
        </w:numPr>
      </w:pPr>
      <w:r>
        <w:rPr>
          <w:b/>
        </w:rPr>
        <w:t xml:space="preserve">QC4</w:t>
      </w:r>
      <w:r>
        <w:t xml:space="preserve"> (requête fédérée vers Wikidata) : écrite, dépend des identifiants vérifiés et d'un accès Internet depuis Fuseki.</w:t>
      </w:r>
    </w:p>
    <w:p>
      <w:pPr>
        <w:pStyle w:val="ListParagraph"/>
        <w:numPr>
          <w:ilvl w:val="0"/>
          <w:numId w:val="7"/>
        </w:numPr>
      </w:pPr>
      <w:r>
        <w:rPr>
          <w:b/>
        </w:rPr>
        <w:t xml:space="preserve">QC5</w:t>
      </w:r>
      <w:r>
        <w:t xml:space="preserve"> (agrégat, nombre d'entités par catégorie) : réalisable, résultat attendu de 22 entités au total.</w:t>
      </w:r>
    </w:p>
    <w:p>
      <w:pPr>
        <w:pStyle w:val="Heading2"/>
      </w:pPr>
      <w:r>
        <w:t xml:space="preserve">7. Prototype hypermédia</w:t>
      </w:r>
    </w:p>
    <w:p>
      <w:pPr/>
      <w:r>
        <w:t xml:space="preserve">Neuf nœuds : accueil, Diy-Gid-Biy, Kapsiki, Mafa, instruments, contes de Goggo Addi, rituels et fêtes, carte interactive, Fulbe et Lamidat de Garoua. Les liens contextuels suivent un tableau défini (par exemple Diy-Gid-Biy renvoie vers l'accueil, les Mafa, les rituels et la carte). Chaque page est une </w:t>
      </w:r>
      <w:r>
        <w:rPr>
          <w:rStyle w:val="CodeChar"/>
        </w:rPr>
        <w:t xml:space="preserve">WebPage</w:t>
      </w:r>
      <w:r>
        <w:t xml:space="preserve"> en JSON-LD dont la propriété </w:t>
      </w:r>
      <w:r>
        <w:rPr>
          <w:rStyle w:val="CodeChar"/>
        </w:rPr>
        <w:t xml:space="preserve">about</w:t>
      </w:r>
      <w:r>
        <w:t xml:space="preserve"> pointe vers les URI </w:t>
      </w:r>
      <w:r>
        <w:rPr>
          <w:rStyle w:val="CodeChar"/>
        </w:rPr>
        <w:t xml:space="preserve">/id/</w:t>
      </w:r>
      <w:r>
        <w:t xml:space="preserve"> du graphe.</w:t>
      </w:r>
    </w:p>
    <w:p>
      <w:pPr/>
      <w:r>
        <w:t xml:space="preserve">Accessibilité : langue déclarée, lien d'évitement, repères de navigation, textes alternatifs, sous-titres WebVTT pour les vidéos, transcription pour les contes, contrastes en clair et en sombre, navigation au clavier. Sécurité : contenu inséré en JavaScript avec </w:t>
      </w:r>
      <w:r>
        <w:rPr>
          <w:rStyle w:val="CodeChar"/>
        </w:rPr>
        <w:t xml:space="preserve">textContent</w:t>
      </w:r>
      <w:r>
        <w:t xml:space="preserve">, jamais avec </w:t>
      </w:r>
      <w:r>
        <w:rPr>
          <w:rStyle w:val="CodeChar"/>
        </w:rPr>
        <w:t xml:space="preserve">innerHTML</w:t>
      </w:r>
      <w:r>
        <w:t xml:space="preserve">. Les appels du navigateur vers Fuseki poseront un problème de CORS à traiter par un proxy local.</w:t>
      </w:r>
    </w:p>
    <w:p>
      <w:pPr>
        <w:pStyle w:val="Heading2"/>
      </w:pPr>
      <w:r>
        <w:t xml:space="preserve">8. Annotation multimédia</w:t>
      </w:r>
    </w:p>
    <w:p>
      <w:pPr/>
      <w:r>
        <w:t xml:space="preserve">Les annotations suivent le Web Annotation Data Model, regroupées dans une </w:t>
      </w:r>
      <w:r>
        <w:rPr>
          <w:rStyle w:val="CodeChar"/>
        </w:rPr>
        <w:t xml:space="preserve">AnnotationPage</w:t>
      </w:r>
      <w:r>
        <w:t xml:space="preserve">. Les cibles utilisent des Media Fragments : </w:t>
      </w:r>
      <w:r>
        <w:rPr>
          <w:rStyle w:val="CodeChar"/>
        </w:rPr>
        <w:t xml:space="preserve">xywh=pixel:x,y,l,h</w:t>
      </w:r>
      <w:r>
        <w:t xml:space="preserve"> pour une zone d'image, </w:t>
      </w:r>
      <w:r>
        <w:rPr>
          <w:rStyle w:val="CodeChar"/>
        </w:rPr>
        <w:t xml:space="preserve">t=début,fin</w:t>
      </w:r>
      <w:r>
        <w:t xml:space="preserve"> pour un extrait audio ou vidéo. Deux motivations sont utilisées : </w:t>
      </w:r>
      <w:r>
        <w:rPr>
          <w:rStyle w:val="CodeChar"/>
        </w:rPr>
        <w:t xml:space="preserve">identifying</w:t>
      </w:r>
      <w:r>
        <w:t xml:space="preserve"> (relier une zone à une entité du graphe) et </w:t>
      </w:r>
      <w:r>
        <w:rPr>
          <w:rStyle w:val="CodeChar"/>
        </w:rPr>
        <w:t xml:space="preserve">describing</w:t>
      </w:r>
      <w:r>
        <w:t xml:space="preserve"> (texte alternatif). Les annotations seront chargées dans un graphe nommé séparé afin de ne pas fausser le comptage de QC5.</w:t>
      </w:r>
    </w:p>
    <w:p>
      <w:pPr>
        <w:pStyle w:val="Heading2"/>
      </w:pPr>
      <w:r>
        <w:t xml:space="preserve">9. Licences, droits et provenance</w:t>
      </w:r>
    </w:p>
    <w:p>
      <w:pPr>
        <w:pStyle w:val="ListParagraph"/>
        <w:numPr>
          <w:ilvl w:val="0"/>
          <w:numId w:val="8"/>
        </w:numPr>
      </w:pPr>
      <w:r>
        <w:t xml:space="preserve">Les métadonnées produites par le binôme sont sous licence CC BY 4.0. Cette licence ne couvre pas les contes ni les médias.</w:t>
      </w:r>
    </w:p>
    <w:p>
      <w:pPr>
        <w:pStyle w:val="ListParagraph"/>
        <w:numPr>
          <w:ilvl w:val="0"/>
          <w:numId w:val="8"/>
        </w:numPr>
      </w:pPr>
      <w:r>
        <w:t xml:space="preserve">Les contes de Goggo Addi relèvent d'un fonds de recherche (INALCO et CNRS) : leur régime de droits sera établi puis déclaré avec </w:t>
      </w:r>
      <w:r>
        <w:rPr>
          <w:rStyle w:val="CodeChar"/>
        </w:rPr>
        <w:t xml:space="preserve">dct:rights</w:t>
      </w:r>
      <w:r>
        <w:t xml:space="preserve">.</w:t>
      </w:r>
    </w:p>
    <w:p>
      <w:pPr>
        <w:pStyle w:val="ListParagraph"/>
        <w:numPr>
          <w:ilvl w:val="0"/>
          <w:numId w:val="8"/>
        </w:numPr>
      </w:pPr>
      <w:r>
        <w:t xml:space="preserve">Chaque entité recevra un </w:t>
      </w:r>
      <w:r>
        <w:rPr>
          <w:rStyle w:val="CodeChar"/>
        </w:rPr>
        <w:t xml:space="preserve">dct:source</w:t>
      </w:r>
      <w:r>
        <w:t xml:space="preserve">. La provenance de la collecte est portée par </w:t>
      </w:r>
      <w:r>
        <w:rPr>
          <w:rStyle w:val="CodeChar"/>
        </w:rPr>
        <w:t xml:space="preserve">prov:wasAttributedTo</w:t>
      </w:r>
      <w:r>
        <w:t xml:space="preserve">.</w:t>
      </w:r>
    </w:p>
    <w:p>
      <w:pPr>
        <w:pStyle w:val="ListParagraph"/>
        <w:numPr>
          <w:ilvl w:val="0"/>
          <w:numId w:val="8"/>
        </w:numPr>
      </w:pPr>
      <w:r>
        <w:t xml:space="preserve">Toute photo, vidéo ou extrait audio publié exige une autorisation vérifiée.</w:t>
      </w:r>
    </w:p>
    <w:p>
      <w:pPr>
        <w:pStyle w:val="Heading2"/>
      </w:pPr>
      <w:r>
        <w:t xml:space="preserve">10. Points ouverts et risques</w:t>
      </w:r>
    </w:p>
    <w:p>
      <w:pPr>
        <w:pStyle w:val="ListParagraph"/>
        <w:numPr>
          <w:ilvl w:val="0"/>
          <w:numId w:val="9"/>
        </w:numPr>
      </w:pPr>
      <w:r>
        <w:t xml:space="preserve">Source manquante pour QC2 (lien instruments, rituels ou fêtes).</w:t>
      </w:r>
    </w:p>
    <w:p>
      <w:pPr>
        <w:pStyle w:val="ListParagraph"/>
        <w:numPr>
          <w:ilvl w:val="0"/>
          <w:numId w:val="9"/>
        </w:numPr>
      </w:pPr>
      <w:r>
        <w:t xml:space="preserve">Identifiants Wikidata et GeoNames à vérifier ; sept alignements à trouver.</w:t>
      </w:r>
    </w:p>
    <w:p>
      <w:pPr>
        <w:pStyle w:val="ListParagraph"/>
        <w:numPr>
          <w:ilvl w:val="0"/>
          <w:numId w:val="9"/>
        </w:numPr>
      </w:pPr>
      <w:r>
        <w:t xml:space="preserve">Faits à confirmer dans les sources : nombre de vestiges et critère UNESCO de Diy-Gid-Biy, nombre de contes, classification et nombre de locuteurs du psikyɛ, présence des Mafa depuis le XVe siècle, localisation de Diy-Gid-Biy et de Rhumsiki dans les Monts Mandara.</w:t>
      </w:r>
    </w:p>
    <w:p>
      <w:pPr>
        <w:pStyle w:val="ListParagraph"/>
        <w:numPr>
          <w:ilvl w:val="0"/>
          <w:numId w:val="9"/>
        </w:numPr>
      </w:pPr>
      <w:r>
        <w:t xml:space="preserve">Coordonnées géographiques à relever pour la carte.</w:t>
      </w:r>
    </w:p>
    <w:p>
      <w:pPr>
        <w:pStyle w:val="ListParagraph"/>
        <w:numPr>
          <w:ilvl w:val="0"/>
          <w:numId w:val="9"/>
        </w:numPr>
      </w:pPr>
      <w:r>
        <w:t xml:space="preserve">Peuple associé à chaque fête à établir.</w:t>
      </w:r>
    </w:p>
    <w:p>
      <w:pPr>
        <w:pStyle w:val="ListParagraph"/>
        <w:numPr>
          <w:ilvl w:val="0"/>
          <w:numId w:val="9"/>
        </w:numPr>
      </w:pPr>
      <w:r>
        <w:t xml:space="preserve">Droits des médias et du fonds de contes à clarifier.</w:t>
      </w:r>
    </w:p>
    <w:p>
      <w:pPr>
        <w:pStyle w:val="ListParagraph"/>
        <w:numPr>
          <w:ilvl w:val="0"/>
          <w:numId w:val="9"/>
        </w:numPr>
      </w:pPr>
      <w:r>
        <w:t xml:space="preserve">Ontologie à formaliser sous Protégé et à visualiser avec WebVOWL.</w:t>
      </w:r>
    </w:p>
    <w:p>
      <w:pPr>
        <w:pStyle w:val="Heading2"/>
      </w:pPr>
      <w:r>
        <w:t xml:space="preserve">11. Chaîne de production</w:t>
      </w:r>
    </w:p>
    <w:p>
      <w:pPr/>
      <w:r>
        <w:t xml:space="preserve">Les données sont saisies dans trois fichiers CSV (entités, relations, alignements). Un script Python avec RDFLib génère </w:t>
      </w:r>
      <w:r>
        <w:rPr>
          <w:rStyle w:val="CodeChar"/>
        </w:rPr>
        <w:t xml:space="preserve">archive.ttl</w:t>
      </w:r>
      <w:r>
        <w:t xml:space="preserve"> et vérifie les références, puis le graphe est chargé dans Fuseki et interrogé depuis YASGUI. Un contrôle préalable refuse les références orphelines et signale les alignements non vérifiés. Outils : Protégé, RDFLib, Fuseki, OpenRefine pour la réconciliation Wikidata, WebVOWL, Leaflet, VS Code.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Dossier de conception  MémoireS du Nord</dc:title>
  <dc:description>Claude Docs node/a0c78b83-621e@1 docx-w6</dc:description>
  <cp:revision>1</cp:revision>
</cp:coreProperties>
</file>