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Note de cadrage : MémoireS du Nord</w:t>
      </w:r>
    </w:p>
    <w:p>
      <w:pPr>
        <w:pStyle w:val="Normal"/>
        <w:rPr/>
      </w:pPr>
      <w:r>
        <w:rPr/>
        <w:t>ZRA et Bambe Kennedy · Institut des Beaux-Arts et de l'Innovation (IBAI), Université de Garoua · UE « Hypermédia et Web Sémantique », Master 1 Arts et Humanités · Octobre 2026</w:t>
      </w:r>
    </w:p>
    <w:p>
      <w:pPr>
        <w:pStyle w:val="Heading2"/>
        <w:rPr/>
      </w:pPr>
      <w:r>
        <w:rPr/>
        <w:t>1. Sujet</w:t>
      </w:r>
    </w:p>
    <w:p>
      <w:pPr>
        <w:pStyle w:val="Normal"/>
        <w:rPr/>
      </w:pPr>
      <w:r>
        <w:rPr/>
        <w:t>« MémoireS du Nord » est une archive hypermédia sémantique du patrimoine culturel du Nord-Cameroun. Elle relie, dans un graphe de données RDF, des peuples, des langues, des sites, des contes, des rituels, des fêtes et des instruments de musique, puis les présente sous forme de pages hypermédias navigables et annotées. Le projet relève de l'option « archive hypermédia annotée / édition numérique sémantique ».</w:t>
      </w:r>
    </w:p>
    <w:p>
      <w:pPr>
        <w:pStyle w:val="Heading2"/>
        <w:rPr/>
      </w:pPr>
      <w:r>
        <w:rPr/>
        <w:t>2. Contexte et justification</w:t>
      </w:r>
    </w:p>
    <w:p>
      <w:pPr>
        <w:pStyle w:val="Normal"/>
        <w:rPr/>
      </w:pPr>
      <w:r>
        <w:rPr/>
        <w:t>Le patrimoine du Nord-Cameroun est riche mais dispersé et peu structuré en données ouvertes. L'inscription récente du paysage culturel de Diy-Gid-Biy à l'UNESCO (juillet 2025, source à citer) renforce l'intérêt de documenter la région. Un graphe lié à Wikidata et à GeoNames permet de rendre ces connaissances interrogeables, réutilisables et vérifiables, avec leur provenance.</w:t>
      </w:r>
    </w:p>
    <w:p>
      <w:pPr>
        <w:pStyle w:val="Heading2"/>
        <w:rPr/>
      </w:pPr>
      <w:r>
        <w:rPr/>
        <w:t>3. Objectifs</w:t>
      </w:r>
    </w:p>
    <w:p>
      <w:pPr>
        <w:pStyle w:val="ListParagraph"/>
        <w:numPr>
          <w:ilvl w:val="0"/>
          <w:numId w:val="1"/>
        </w:numPr>
        <w:rPr/>
      </w:pPr>
      <w:r>
        <w:rPr/>
        <w:t>Modéliser et publier un graphe RDF cohérent d'au moins 50 triplets (visé : 80 à 120) sur au moins 15 entités.</w:t>
      </w:r>
    </w:p>
    <w:p>
      <w:pPr>
        <w:pStyle w:val="ListParagraph"/>
        <w:numPr>
          <w:ilvl w:val="0"/>
          <w:numId w:val="1"/>
        </w:numPr>
        <w:rPr/>
      </w:pPr>
      <w:r>
        <w:rPr/>
        <w:t>Interroger ce graphe par 5 requêtes SPARQL, dont une d'agrégat et une fédérée vers Wikidata.</w:t>
      </w:r>
    </w:p>
    <w:p>
      <w:pPr>
        <w:pStyle w:val="ListParagraph"/>
        <w:numPr>
          <w:ilvl w:val="0"/>
          <w:numId w:val="1"/>
        </w:numPr>
        <w:rPr/>
      </w:pPr>
      <w:r>
        <w:rPr/>
        <w:t>Aligner au moins 10 entités sur Wikidata, DBpedia ou GeoNames.</w:t>
      </w:r>
    </w:p>
    <w:p>
      <w:pPr>
        <w:pStyle w:val="ListParagraph"/>
        <w:numPr>
          <w:ilvl w:val="0"/>
          <w:numId w:val="1"/>
        </w:numPr>
        <w:rPr/>
      </w:pPr>
      <w:r>
        <w:rPr/>
        <w:t>Réaliser un prototype de 9 nœuds hypermédias mobilisant au moins 3 types de médias, avec annotations (Web Annotation, Media Fragments) et accessibilité (alternatives textuelles, sous-titres WebVTT, contrastes, navigation au clavier).</w:t>
      </w:r>
    </w:p>
    <w:p>
      <w:pPr>
        <w:pStyle w:val="Heading2"/>
        <w:rPr/>
      </w:pPr>
      <w:r>
        <w:rPr/>
        <w:t xml:space="preserve">4. Public visé </w:t>
      </w:r>
    </w:p>
    <w:p>
      <w:pPr>
        <w:pStyle w:val="Normal"/>
        <w:rPr/>
      </w:pPr>
      <w:r>
        <w:rPr/>
        <w:t>Étudiants et chercheurs en humanités numériques, acteurs culturels locaux, grand public intéressé par le patrimoine du Nord.</w:t>
      </w:r>
    </w:p>
    <w:p>
      <w:pPr>
        <w:pStyle w:val="Heading2"/>
        <w:rPr/>
      </w:pPr>
      <w:r>
        <w:rPr/>
        <w:t>5. Corpus</w:t>
      </w:r>
    </w:p>
    <w:p>
      <w:pPr>
        <w:pStyle w:val="Normal"/>
        <w:rPr/>
      </w:pPr>
      <w:r>
        <w:rPr/>
        <w:t>Le corpus compte 22 entités :</w:t>
      </w:r>
    </w:p>
    <w:p>
      <w:pPr>
        <w:pStyle w:val="ListParagraph"/>
        <w:numPr>
          <w:ilvl w:val="0"/>
          <w:numId w:val="8"/>
        </w:numPr>
        <w:rPr/>
      </w:pPr>
      <w:r>
        <w:rPr>
          <w:b/>
        </w:rPr>
        <w:t>Peuples et langues</w:t>
      </w:r>
      <w:r>
        <w:rPr/>
        <w:t xml:space="preserve"> : Kapsiki, Mafa, Fulbe, Psikyɛ, Fulfulde.</w:t>
      </w:r>
    </w:p>
    <w:p>
      <w:pPr>
        <w:pStyle w:val="ListParagraph"/>
        <w:numPr>
          <w:ilvl w:val="0"/>
          <w:numId w:val="9"/>
        </w:numPr>
        <w:rPr/>
      </w:pPr>
      <w:r>
        <w:rPr>
          <w:b/>
        </w:rPr>
        <w:t>Patrimoine matériel</w:t>
      </w:r>
      <w:r>
        <w:rPr/>
        <w:t xml:space="preserve"> : Diy-Gid-Biy, Rhumsiki, Monts Mandara, Lamidat de Garoua.</w:t>
      </w:r>
    </w:p>
    <w:p>
      <w:pPr>
        <w:pStyle w:val="ListParagraph"/>
        <w:numPr>
          <w:ilvl w:val="0"/>
          <w:numId w:val="10"/>
        </w:numPr>
        <w:rPr/>
      </w:pPr>
      <w:r>
        <w:rPr>
          <w:b/>
        </w:rPr>
        <w:t>Patrimoine immatériel</w:t>
      </w:r>
      <w:r>
        <w:rPr/>
        <w:t xml:space="preserve"> : recueil des contes de Goggo Addi, rituels mafa, fêtes Msla, Goalala et Maray.</w:t>
      </w:r>
    </w:p>
    <w:p>
      <w:pPr>
        <w:pStyle w:val="ListParagraph"/>
        <w:numPr>
          <w:ilvl w:val="0"/>
          <w:numId w:val="11"/>
        </w:numPr>
        <w:rPr/>
      </w:pPr>
      <w:r>
        <w:rPr>
          <w:b/>
        </w:rPr>
        <w:t>Personnes</w:t>
      </w:r>
      <w:r>
        <w:rPr/>
        <w:t xml:space="preserve"> : Goggo Addi (conteuse peule), Ursula Baumgardt (collectrice, INALCO et CNRS).</w:t>
      </w:r>
    </w:p>
    <w:p>
      <w:pPr>
        <w:pStyle w:val="ListParagraph"/>
        <w:numPr>
          <w:ilvl w:val="0"/>
          <w:numId w:val="12"/>
        </w:numPr>
        <w:rPr/>
      </w:pPr>
      <w:r>
        <w:rPr>
          <w:b/>
        </w:rPr>
        <w:t>Lieux</w:t>
      </w:r>
      <w:r>
        <w:rPr/>
        <w:t xml:space="preserve"> : Bibemi, Garoua, Cameroun.</w:t>
      </w:r>
    </w:p>
    <w:p>
      <w:pPr>
        <w:pStyle w:val="ListParagraph"/>
        <w:numPr>
          <w:ilvl w:val="0"/>
          <w:numId w:val="13"/>
        </w:numPr>
        <w:rPr/>
      </w:pPr>
      <w:r>
        <w:rPr>
          <w:b/>
        </w:rPr>
        <w:t>Instruments</w:t>
      </w:r>
      <w:r>
        <w:rPr/>
        <w:t xml:space="preserve"> : balafon, tambour d'eau, corne-flûte.</w:t>
      </w:r>
    </w:p>
    <w:p>
      <w:pPr>
        <w:pStyle w:val="Heading2"/>
        <w:rPr/>
      </w:pPr>
      <w:r>
        <w:rPr/>
        <w:t>6. Questions de compétence</w:t>
      </w:r>
    </w:p>
    <w:p>
      <w:pPr>
        <w:pStyle w:val="ListParagraph"/>
        <w:numPr>
          <w:ilvl w:val="0"/>
          <w:numId w:val="14"/>
        </w:numPr>
        <w:rPr/>
      </w:pPr>
      <w:r>
        <w:rPr>
          <w:b/>
        </w:rPr>
        <w:t>QC1</w:t>
      </w:r>
      <w:r>
        <w:rPr/>
        <w:t xml:space="preserve"> : quels contes sont associés à quel peuple, dans quelle langue et collectés par qui ?</w:t>
      </w:r>
    </w:p>
    <w:p>
      <w:pPr>
        <w:pStyle w:val="ListParagraph"/>
        <w:numPr>
          <w:ilvl w:val="0"/>
          <w:numId w:val="3"/>
        </w:numPr>
        <w:rPr/>
      </w:pPr>
      <w:r>
        <w:rPr>
          <w:b/>
        </w:rPr>
        <w:t>QC2</w:t>
      </w:r>
      <w:r>
        <w:rPr/>
        <w:t xml:space="preserve"> : quels instruments sont joués lors de quels rituels ou fêtes, et par quels peuples ?</w:t>
      </w:r>
    </w:p>
    <w:p>
      <w:pPr>
        <w:pStyle w:val="ListParagraph"/>
        <w:numPr>
          <w:ilvl w:val="0"/>
          <w:numId w:val="3"/>
        </w:numPr>
        <w:rPr/>
      </w:pPr>
      <w:r>
        <w:rPr>
          <w:b/>
        </w:rPr>
        <w:t>QC3</w:t>
      </w:r>
      <w:r>
        <w:rPr/>
        <w:t xml:space="preserve"> : quels sites patrimoniaux sont situés dans les Monts Mandara, et à quelle période remontent-ils ?</w:t>
      </w:r>
    </w:p>
    <w:p>
      <w:pPr>
        <w:pStyle w:val="ListParagraph"/>
        <w:numPr>
          <w:ilvl w:val="0"/>
          <w:numId w:val="3"/>
        </w:numPr>
        <w:rPr/>
      </w:pPr>
      <w:r>
        <w:rPr>
          <w:b/>
        </w:rPr>
        <w:t>QC4</w:t>
      </w:r>
      <w:r>
        <w:rPr/>
        <w:t xml:space="preserve"> (requête fédérée) : pour chaque entité alignée, quels sont le libellé et la description correspondants sur Wikidata ?</w:t>
      </w:r>
    </w:p>
    <w:p>
      <w:pPr>
        <w:pStyle w:val="ListParagraph"/>
        <w:numPr>
          <w:ilvl w:val="0"/>
          <w:numId w:val="3"/>
        </w:numPr>
        <w:rPr/>
      </w:pPr>
      <w:r>
        <w:rPr>
          <w:b/>
        </w:rPr>
        <w:t>QC5</w:t>
      </w:r>
      <w:r>
        <w:rPr/>
        <w:t xml:space="preserve"> (requête d'agrégat) : combien d'entités par catégorie compte le graphe ?</w:t>
      </w:r>
    </w:p>
    <w:p>
      <w:pPr>
        <w:pStyle w:val="Heading2"/>
        <w:rPr/>
      </w:pPr>
      <w:r>
        <w:rPr/>
        <w:t>7. Architecture et outils</w:t>
      </w:r>
    </w:p>
    <w:p>
      <w:pPr>
        <w:pStyle w:val="Normal"/>
        <w:rPr/>
      </w:pPr>
      <w:r>
        <w:rPr/>
        <w:t>L'architecture suit quatre couches : données (</w:t>
      </w:r>
      <w:r>
        <w:rPr>
          <w:rStyle w:val="CodeChar"/>
        </w:rPr>
        <w:t>archive.ttl</w:t>
      </w:r>
      <w:r>
        <w:rPr/>
        <w:t xml:space="preserve">), accès (serveur Apache Jena Fuseki local et Wikidata), logique (liens contextuels, assemblage des fiches par SPARQL) et présentation (HTML/CSS, Leaflet, YASGUI, JSON-LD). Les URI suivent le schéma </w:t>
      </w:r>
      <w:r>
        <w:rPr>
          <w:rStyle w:val="CodeChar"/>
        </w:rPr>
        <w:t>/id/</w:t>
      </w:r>
      <w:r>
        <w:rPr/>
        <w:t xml:space="preserve">, </w:t>
      </w:r>
      <w:r>
        <w:rPr>
          <w:rStyle w:val="CodeChar"/>
        </w:rPr>
        <w:t>/page/</w:t>
      </w:r>
      <w:r>
        <w:rPr/>
        <w:t xml:space="preserve"> et </w:t>
      </w:r>
      <w:r>
        <w:rPr>
          <w:rStyle w:val="CodeChar"/>
        </w:rPr>
        <w:t>/data/</w:t>
      </w:r>
      <w:r>
        <w:rPr/>
        <w:t>, avec redirection 303 simulée par un mini-serveur local. Outils : Protégé, RDFLib, OpenRefine, WebVOWL, VS Code. Vocabulaires : DCTerms, FOAF, SKOS, schema.org, PROV-O, Europeana Data Model.</w:t>
      </w:r>
    </w:p>
    <w:p>
      <w:pPr>
        <w:pStyle w:val="Heading2"/>
        <w:rPr/>
      </w:pPr>
      <w:r>
        <w:rPr/>
        <w:t>8. Rôles</w:t>
      </w:r>
    </w:p>
    <w:p>
      <w:pPr>
        <w:pStyle w:val="ListParagraph"/>
        <w:numPr>
          <w:ilvl w:val="0"/>
          <w:numId w:val="15"/>
        </w:numPr>
        <w:rPr/>
      </w:pPr>
      <w:r>
        <w:rPr>
          <w:b/>
        </w:rPr>
        <w:t>ZRA</w:t>
      </w:r>
      <w:r>
        <w:rPr/>
        <w:t xml:space="preserve"> : conception, ontologie, soutenance orale.</w:t>
      </w:r>
    </w:p>
    <w:p>
      <w:pPr>
        <w:pStyle w:val="ListParagraph"/>
        <w:numPr>
          <w:ilvl w:val="0"/>
          <w:numId w:val="16"/>
        </w:numPr>
        <w:rPr/>
      </w:pPr>
      <w:r>
        <w:rPr>
          <w:b/>
        </w:rPr>
        <w:t>Bambe Kennedy</w:t>
      </w:r>
      <w:r>
        <w:rPr/>
        <w:t xml:space="preserve"> : données RDF, requêtes SPARQL, démonstration technique.</w:t>
      </w:r>
    </w:p>
    <w:p>
      <w:pPr>
        <w:pStyle w:val="Heading2"/>
        <w:rPr/>
      </w:pPr>
      <w:r>
        <w:rPr/>
        <w:t>9. Risques et points de vigilance</w:t>
      </w:r>
    </w:p>
    <w:p>
      <w:pPr>
        <w:pStyle w:val="ListParagraph"/>
        <w:numPr>
          <w:ilvl w:val="0"/>
          <w:numId w:val="17"/>
        </w:numPr>
        <w:rPr/>
      </w:pPr>
      <w:r>
        <w:rPr>
          <w:b/>
        </w:rPr>
        <w:t>Identifiants Wikidata</w:t>
      </w:r>
      <w:r>
        <w:rPr/>
        <w:t xml:space="preserve"> : chaque identifiant sera vérifié sur le site avant usage, aucun n'est repris de mémoire.</w:t>
      </w:r>
    </w:p>
    <w:p>
      <w:pPr>
        <w:pStyle w:val="ListParagraph"/>
        <w:numPr>
          <w:ilvl w:val="0"/>
          <w:numId w:val="18"/>
        </w:numPr>
        <w:rPr/>
      </w:pPr>
      <w:r>
        <w:rPr>
          <w:b/>
        </w:rPr>
        <w:t>Sources manquantes</w:t>
      </w:r>
      <w:r>
        <w:rPr/>
        <w:t xml:space="preserve"> : QC2 dépend d'une source reliant instruments, rituels et fêtes ; sans elle, la requête restera vide.</w:t>
      </w:r>
    </w:p>
    <w:p>
      <w:pPr>
        <w:pStyle w:val="ListParagraph"/>
        <w:numPr>
          <w:ilvl w:val="0"/>
          <w:numId w:val="19"/>
        </w:numPr>
        <w:rPr/>
      </w:pPr>
      <w:r>
        <w:rPr>
          <w:b/>
        </w:rPr>
        <w:t>Droits</w:t>
      </w:r>
      <w:r>
        <w:rPr/>
        <w:t xml:space="preserve"> : les contes de Goggo Addi proviennent d'une collecte de recherche ; leur licence sera vérifiée et déclarée avec </w:t>
      </w:r>
      <w:r>
        <w:rPr>
          <w:rStyle w:val="CodeChar"/>
        </w:rPr>
        <w:t>dct:rights</w:t>
      </w:r>
      <w:r>
        <w:rPr/>
        <w:t>, la licence CC BY 4.0 ne couvrant que les métadonnées produites par le binôme.</w:t>
      </w:r>
    </w:p>
    <w:p>
      <w:pPr>
        <w:pStyle w:val="ListParagraph"/>
        <w:numPr>
          <w:ilvl w:val="0"/>
          <w:numId w:val="20"/>
        </w:numPr>
        <w:rPr/>
      </w:pPr>
      <w:r>
        <w:rPr>
          <w:b/>
        </w:rPr>
        <w:t>Technique</w:t>
      </w:r>
      <w:r>
        <w:rPr/>
        <w:t xml:space="preserve"> : accès réseau de Fuseki vers Wikidata, restrictions CORS pour le navigateur, insertion de contenu sécurisée en JavaScript (</w:t>
      </w:r>
      <w:r>
        <w:rPr>
          <w:rStyle w:val="CodeChar"/>
        </w:rPr>
        <w:t>textContent</w:t>
      </w:r>
      <w:r>
        <w:rPr/>
        <w:t>).</w:t>
      </w:r>
    </w:p>
    <w:p>
      <w:pPr>
        <w:pStyle w:val="ListParagraph"/>
        <w:numPr>
          <w:ilvl w:val="0"/>
          <w:numId w:val="21"/>
        </w:numPr>
        <w:rPr/>
      </w:pPr>
      <w:r>
        <w:rPr>
          <w:b/>
        </w:rPr>
        <w:t>Charge horaire</w:t>
      </w:r>
      <w:r>
        <w:rPr/>
        <w:t xml:space="preserve"> : le cours signale 54 h de travail pour 45 h officielles ; l'effort se concentrera sur les livrables du projet.</w:t>
      </w:r>
    </w:p>
    <w:p>
      <w:pPr>
        <w:pStyle w:val="Heading2"/>
        <w:rPr/>
      </w:pPr>
      <w:r>
        <w:rPr/>
        <w:t>10. Étapes</w:t>
      </w:r>
    </w:p>
    <w:p>
      <w:pPr>
        <w:pStyle w:val="ListParagraph"/>
        <w:numPr>
          <w:ilvl w:val="0"/>
          <w:numId w:val="22"/>
        </w:numPr>
        <w:rPr/>
      </w:pPr>
      <w:r>
        <w:rPr/>
        <w:t>Cadrage (la présente note).</w:t>
      </w:r>
    </w:p>
    <w:p>
      <w:pPr>
        <w:pStyle w:val="ListParagraph"/>
        <w:numPr>
          <w:ilvl w:val="0"/>
          <w:numId w:val="23"/>
        </w:numPr>
        <w:rPr/>
      </w:pPr>
      <w:r>
        <w:rPr/>
        <w:t>Conception : ontologie, architecture, schéma d'URI, vocabulaires.</w:t>
      </w:r>
    </w:p>
    <w:p>
      <w:pPr>
        <w:pStyle w:val="ListParagraph"/>
        <w:numPr>
          <w:ilvl w:val="0"/>
          <w:numId w:val="24"/>
        </w:numPr>
        <w:rPr/>
      </w:pPr>
      <w:r>
        <w:rPr/>
        <w:t xml:space="preserve">Réalisation : </w:t>
      </w:r>
      <w:r>
        <w:rPr>
          <w:rStyle w:val="CodeChar"/>
        </w:rPr>
        <w:t>archive.ttl</w:t>
      </w:r>
      <w:r>
        <w:rPr/>
        <w:t>, 5 requêtes, prototype HTML, Fuseki.</w:t>
      </w:r>
    </w:p>
    <w:p>
      <w:pPr>
        <w:pStyle w:val="ListParagraph"/>
        <w:numPr>
          <w:ilvl w:val="0"/>
          <w:numId w:val="25"/>
        </w:numPr>
        <w:rPr/>
      </w:pPr>
      <w:r>
        <w:rPr/>
        <w:t>Tests : vérification des requêtes, essai auprès de 2 à 3 utilisateurs, corrections.</w:t>
      </w:r>
    </w:p>
    <w:p>
      <w:pPr>
        <w:pStyle w:val="ListParagraph"/>
        <w:numPr>
          <w:ilvl w:val="0"/>
          <w:numId w:val="26"/>
        </w:numPr>
        <w:rPr/>
      </w:pPr>
      <w:r>
        <w:rPr/>
        <w:t>Documentation : guide technique, guide d'utilisation, licences et sources.</w:t>
      </w:r>
    </w:p>
    <w:p>
      <w:pPr>
        <w:pStyle w:val="ListParagraph"/>
        <w:numPr>
          <w:ilvl w:val="0"/>
          <w:numId w:val="27"/>
        </w:numPr>
        <w:spacing w:before="0" w:after="160"/>
        <w:contextualSpacing/>
        <w:rPr/>
      </w:pPr>
      <w:r>
        <w:rPr/>
        <w:t>Soutenance en séance 12 : 10 minutes, du contexte aux limites, avec démonstration en direct.</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3"/>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3"/>
    <w:lvlOverride w:ilvl="0">
      <w:startOverride w:val="1"/>
    </w:lvlOverride>
  </w:num>
  <w:num w:numId="23">
    <w:abstractNumId w:val="3"/>
  </w:num>
  <w:num w:numId="24">
    <w:abstractNumId w:val="3"/>
  </w:num>
  <w:num w:numId="25">
    <w:abstractNumId w:val="3"/>
  </w:num>
  <w:num w:numId="26">
    <w:abstractNumId w:val="3"/>
  </w:num>
  <w:num w:numId="27">
    <w:abstractNumId w:val="3"/>
  </w:num>
</w:numbering>
</file>

<file path=word/settings.xml><?xml version="1.0" encoding="utf-8"?>
<w:settings xmlns:w="http://schemas.openxmlformats.org/wordprocessingml/2006/main">
  <w:zoom w:percent="15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TotalTime>
  <Application>LibreOffice/24.2.7.2$Linux_X86_64 LibreOffice_project/420$Build-2</Application>
  <AppVersion>15.0000</AppVersion>
  <Pages>3</Pages>
  <Words>704</Words>
  <Characters>3815</Characters>
  <CharactersWithSpaces>4447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node/29a5eac9-fc48@1 docx-w6</dc:description>
  <dc:language>fr-FR</dc:language>
  <cp:lastModifiedBy/>
  <dcterms:modified xsi:type="dcterms:W3CDTF">2026-10-13T23:48:40Z</dcterms:modified>
  <cp:revision>2</cp:revision>
  <dc:subject/>
  <dc:title>Note de cadrage  MémoireS du Nord</dc:title>
</cp:coreProperties>
</file>

<file path=docProps/custom.xml><?xml version="1.0" encoding="utf-8"?>
<Properties xmlns="http://schemas.openxmlformats.org/officeDocument/2006/custom-properties" xmlns:vt="http://schemas.openxmlformats.org/officeDocument/2006/docPropsVTypes"/>
</file>